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8CB7DBC" w14:textId="05FD3C43" w:rsidR="000A4159" w:rsidRPr="008253E6" w:rsidRDefault="000A4159" w:rsidP="00381623">
      <w:pPr>
        <w:pStyle w:val="Heading2"/>
        <w:spacing w:before="0" w:line="214" w:lineRule="auto"/>
        <w:ind w:firstLine="288"/>
        <w:jc w:val="center"/>
        <w:rPr>
          <w:sz w:val="40"/>
          <w:szCs w:val="40"/>
          <w:rtl/>
        </w:rPr>
      </w:pPr>
      <w:bookmarkStart w:id="0" w:name="_Toc143804091"/>
      <w:bookmarkStart w:id="1" w:name="_Toc238123214"/>
      <w:r w:rsidRPr="008253E6">
        <w:rPr>
          <w:rFonts w:hint="cs"/>
          <w:sz w:val="40"/>
          <w:szCs w:val="40"/>
          <w:rtl/>
        </w:rPr>
        <w:t xml:space="preserve">الثورة </w:t>
      </w:r>
      <w:r w:rsidR="00381623" w:rsidRPr="008253E6">
        <w:rPr>
          <w:rFonts w:hint="cs"/>
          <w:sz w:val="40"/>
          <w:szCs w:val="40"/>
          <w:rtl/>
        </w:rPr>
        <w:t>العنفيّة</w:t>
      </w:r>
      <w:r w:rsidRPr="008253E6">
        <w:rPr>
          <w:rFonts w:hint="cs"/>
          <w:sz w:val="40"/>
          <w:szCs w:val="40"/>
          <w:rtl/>
        </w:rPr>
        <w:t xml:space="preserve"> ضدّ الأنظمة غير الشرعي</w:t>
      </w:r>
      <w:r w:rsidR="00AA3662" w:rsidRPr="008253E6">
        <w:rPr>
          <w:rFonts w:hint="cs"/>
          <w:sz w:val="40"/>
          <w:szCs w:val="40"/>
          <w:rtl/>
        </w:rPr>
        <w:t>ّ</w:t>
      </w:r>
      <w:r w:rsidRPr="008253E6">
        <w:rPr>
          <w:rFonts w:hint="cs"/>
          <w:sz w:val="40"/>
          <w:szCs w:val="40"/>
          <w:rtl/>
        </w:rPr>
        <w:t>ة أو الحاكم المنحرف</w:t>
      </w:r>
      <w:bookmarkEnd w:id="0"/>
      <w:bookmarkEnd w:id="1"/>
    </w:p>
    <w:p w14:paraId="10FE3754" w14:textId="3E7AC04C" w:rsidR="008253E6" w:rsidRPr="008253E6" w:rsidRDefault="008253E6" w:rsidP="008253E6">
      <w:pPr>
        <w:pStyle w:val="Heading2"/>
        <w:spacing w:before="0" w:line="214" w:lineRule="auto"/>
        <w:ind w:firstLine="288"/>
        <w:jc w:val="center"/>
        <w:rPr>
          <w:sz w:val="36"/>
          <w:szCs w:val="36"/>
          <w:rtl/>
        </w:rPr>
      </w:pPr>
      <w:bookmarkStart w:id="2" w:name="_Toc238123215"/>
      <w:r w:rsidRPr="008253E6">
        <w:rPr>
          <w:rFonts w:hint="cs"/>
          <w:sz w:val="36"/>
          <w:szCs w:val="36"/>
          <w:rtl/>
        </w:rPr>
        <w:t>دراسة فقهيّة استدلاليّة في النظريات والطروحات</w:t>
      </w:r>
      <w:bookmarkEnd w:id="2"/>
    </w:p>
    <w:p w14:paraId="22985E8A" w14:textId="77777777" w:rsidR="008253E6" w:rsidRDefault="008253E6" w:rsidP="008253E6">
      <w:pPr>
        <w:pStyle w:val="Heading2"/>
        <w:spacing w:before="0" w:line="214" w:lineRule="auto"/>
        <w:ind w:firstLine="288"/>
        <w:jc w:val="right"/>
        <w:rPr>
          <w:sz w:val="34"/>
          <w:rtl/>
        </w:rPr>
      </w:pPr>
    </w:p>
    <w:p w14:paraId="130DF617" w14:textId="2623B5C8" w:rsidR="008253E6" w:rsidRPr="008253E6" w:rsidRDefault="008253E6" w:rsidP="008253E6">
      <w:pPr>
        <w:pStyle w:val="Heading2"/>
        <w:spacing w:before="0" w:line="214" w:lineRule="auto"/>
        <w:ind w:firstLine="288"/>
        <w:jc w:val="right"/>
        <w:rPr>
          <w:sz w:val="34"/>
        </w:rPr>
      </w:pPr>
      <w:bookmarkStart w:id="3" w:name="_Toc238123216"/>
      <w:r w:rsidRPr="008253E6">
        <w:rPr>
          <w:rFonts w:hint="cs"/>
          <w:sz w:val="34"/>
          <w:rtl/>
        </w:rPr>
        <w:t>حيدر حب الله</w:t>
      </w:r>
      <w:bookmarkEnd w:id="3"/>
      <w:r w:rsidR="00004B00" w:rsidRPr="000A4159">
        <w:rPr>
          <w:rFonts w:cs="Taher"/>
          <w:vertAlign w:val="superscript"/>
          <w:rtl/>
        </w:rPr>
        <w:t>(</w:t>
      </w:r>
      <w:r w:rsidR="00004B00" w:rsidRPr="000A4159">
        <w:rPr>
          <w:rStyle w:val="FootnoteReference"/>
          <w:rFonts w:cs="Taher"/>
          <w:rtl/>
        </w:rPr>
        <w:footnoteReference w:id="1"/>
      </w:r>
      <w:r w:rsidR="00004B00" w:rsidRPr="000A4159">
        <w:rPr>
          <w:rFonts w:cs="Taher"/>
          <w:vertAlign w:val="superscript"/>
          <w:rtl/>
        </w:rPr>
        <w:t>)</w:t>
      </w:r>
    </w:p>
    <w:p w14:paraId="51A35BF4" w14:textId="77777777" w:rsidR="00294F8E" w:rsidRPr="00294F8E" w:rsidRDefault="00294F8E" w:rsidP="00306426">
      <w:pPr>
        <w:pStyle w:val="Heading2"/>
        <w:spacing w:before="0"/>
        <w:rPr>
          <w:rtl/>
        </w:rPr>
      </w:pPr>
      <w:bookmarkStart w:id="4" w:name="_Toc143804092"/>
      <w:bookmarkStart w:id="5" w:name="_Toc238123217"/>
      <w:r w:rsidRPr="00294F8E">
        <w:rPr>
          <w:rFonts w:hint="cs"/>
          <w:rtl/>
        </w:rPr>
        <w:t>تمهيد</w:t>
      </w:r>
      <w:bookmarkEnd w:id="4"/>
      <w:bookmarkEnd w:id="5"/>
    </w:p>
    <w:p w14:paraId="030B8480" w14:textId="77777777" w:rsidR="00294F8E" w:rsidRDefault="000A4159" w:rsidP="00436400">
      <w:pPr>
        <w:spacing w:line="214" w:lineRule="auto"/>
        <w:rPr>
          <w:rtl/>
        </w:rPr>
      </w:pPr>
      <w:r w:rsidRPr="00822CE9">
        <w:rPr>
          <w:rFonts w:hint="cs"/>
          <w:rtl/>
        </w:rPr>
        <w:t>يعدّ هذا البحث في العصر الحاضر من أهم</w:t>
      </w:r>
      <w:r w:rsidR="00294F8E">
        <w:rPr>
          <w:rFonts w:hint="cs"/>
          <w:rtl/>
        </w:rPr>
        <w:t>ّ</w:t>
      </w:r>
      <w:r w:rsidRPr="00822CE9">
        <w:rPr>
          <w:rFonts w:hint="cs"/>
          <w:rtl/>
        </w:rPr>
        <w:t xml:space="preserve"> أبحاث فقه الجهاد الداخلي في المشاريع السياسي</w:t>
      </w:r>
      <w:r w:rsidR="00294F8E">
        <w:rPr>
          <w:rFonts w:hint="cs"/>
          <w:rtl/>
        </w:rPr>
        <w:t>ّ</w:t>
      </w:r>
      <w:r w:rsidRPr="00822CE9">
        <w:rPr>
          <w:rFonts w:hint="cs"/>
          <w:rtl/>
        </w:rPr>
        <w:t>ة الإسلامي</w:t>
      </w:r>
      <w:r w:rsidR="00294F8E">
        <w:rPr>
          <w:rFonts w:hint="cs"/>
          <w:rtl/>
        </w:rPr>
        <w:t>ّ</w:t>
      </w:r>
      <w:r w:rsidRPr="00822CE9">
        <w:rPr>
          <w:rFonts w:hint="cs"/>
          <w:rtl/>
        </w:rPr>
        <w:t>ة، ومن أهم</w:t>
      </w:r>
      <w:r w:rsidR="00294F8E">
        <w:rPr>
          <w:rFonts w:hint="cs"/>
          <w:rtl/>
        </w:rPr>
        <w:t>ّ</w:t>
      </w:r>
      <w:r w:rsidRPr="00822CE9">
        <w:rPr>
          <w:rFonts w:hint="cs"/>
          <w:rtl/>
        </w:rPr>
        <w:t xml:space="preserve"> موضوعات فقه السياسة الشرعيّة، وقد جرى تداوله بين الإسلامي</w:t>
      </w:r>
      <w:r w:rsidR="00294F8E">
        <w:rPr>
          <w:rFonts w:hint="cs"/>
          <w:rtl/>
        </w:rPr>
        <w:t>ّ</w:t>
      </w:r>
      <w:r w:rsidRPr="00822CE9">
        <w:rPr>
          <w:rFonts w:hint="cs"/>
          <w:rtl/>
        </w:rPr>
        <w:t>ين في الوسط</w:t>
      </w:r>
      <w:r w:rsidR="00294F8E">
        <w:rPr>
          <w:rFonts w:hint="cs"/>
          <w:rtl/>
        </w:rPr>
        <w:t>َ</w:t>
      </w:r>
      <w:r w:rsidRPr="00822CE9">
        <w:rPr>
          <w:rFonts w:hint="cs"/>
          <w:rtl/>
        </w:rPr>
        <w:t>ين: السنّي والشيعي بعد سقوط الدولة العثماني</w:t>
      </w:r>
      <w:r w:rsidR="00294F8E">
        <w:rPr>
          <w:rFonts w:hint="cs"/>
          <w:rtl/>
        </w:rPr>
        <w:t>ّ</w:t>
      </w:r>
      <w:r w:rsidRPr="00822CE9">
        <w:rPr>
          <w:rFonts w:hint="cs"/>
          <w:rtl/>
        </w:rPr>
        <w:t>ة، وحتى قبل ذلك كان هذا الموضوع متداولاً في الأبحاث الفقهي</w:t>
      </w:r>
      <w:r w:rsidR="00294F8E">
        <w:rPr>
          <w:rFonts w:hint="cs"/>
          <w:rtl/>
        </w:rPr>
        <w:t>ّ</w:t>
      </w:r>
      <w:r w:rsidRPr="00822CE9">
        <w:rPr>
          <w:rFonts w:hint="cs"/>
          <w:rtl/>
        </w:rPr>
        <w:t>ة</w:t>
      </w:r>
      <w:r w:rsidR="00294F8E">
        <w:rPr>
          <w:rFonts w:hint="cs"/>
          <w:rtl/>
        </w:rPr>
        <w:t>.</w:t>
      </w:r>
    </w:p>
    <w:p w14:paraId="6BE6C258" w14:textId="77777777" w:rsidR="000A4159" w:rsidRPr="00822CE9" w:rsidRDefault="000A4159" w:rsidP="00294F8E">
      <w:pPr>
        <w:spacing w:line="214" w:lineRule="auto"/>
        <w:rPr>
          <w:rtl/>
        </w:rPr>
      </w:pPr>
      <w:r w:rsidRPr="00436400">
        <w:rPr>
          <w:rFonts w:hint="cs"/>
          <w:b/>
          <w:bCs/>
          <w:rtl/>
        </w:rPr>
        <w:t>وقد تعدّدت التعبيرات الفقهية حول هذا اللون من الجهاد، فعبّر عنه:</w:t>
      </w:r>
      <w:r w:rsidRPr="00822CE9">
        <w:rPr>
          <w:rFonts w:hint="cs"/>
          <w:rtl/>
        </w:rPr>
        <w:t xml:space="preserve"> الخروج، والخروج المسلّح، وجهاد الطغاة، والثورة، والثورة الإسلامي</w:t>
      </w:r>
      <w:r w:rsidR="00294F8E">
        <w:rPr>
          <w:rFonts w:hint="cs"/>
          <w:rtl/>
        </w:rPr>
        <w:t>ّ</w:t>
      </w:r>
      <w:r w:rsidRPr="00822CE9">
        <w:rPr>
          <w:rFonts w:hint="cs"/>
          <w:rtl/>
        </w:rPr>
        <w:t>ة، والثورة المسلّحة، والنهوض، والملحمة، والفتنة، وقتال الظلمة، وقتال الأمراء، والقيام على الحاكم، وجهاد السيف، والانقلاب، والحركة التحريري</w:t>
      </w:r>
      <w:r w:rsidR="00294F8E">
        <w:rPr>
          <w:rFonts w:hint="cs"/>
          <w:rtl/>
        </w:rPr>
        <w:t>ّ</w:t>
      </w:r>
      <w:r w:rsidRPr="00822CE9">
        <w:rPr>
          <w:rFonts w:hint="cs"/>
          <w:rtl/>
        </w:rPr>
        <w:t>ة لتصحيح الأوضاع، والحرب الأهلي</w:t>
      </w:r>
      <w:r w:rsidR="00294F8E">
        <w:rPr>
          <w:rFonts w:hint="cs"/>
          <w:rtl/>
        </w:rPr>
        <w:t>ّ</w:t>
      </w:r>
      <w:r w:rsidRPr="00822CE9">
        <w:rPr>
          <w:rFonts w:hint="cs"/>
          <w:rtl/>
        </w:rPr>
        <w:t>ة</w:t>
      </w:r>
      <w:r w:rsidRPr="000A4159">
        <w:rPr>
          <w:rFonts w:cs="Taher"/>
          <w:vertAlign w:val="superscript"/>
          <w:rtl/>
        </w:rPr>
        <w:t>(</w:t>
      </w:r>
      <w:r w:rsidRPr="000A4159">
        <w:rPr>
          <w:rStyle w:val="FootnoteReference"/>
          <w:rFonts w:cs="Taher"/>
          <w:rtl/>
        </w:rPr>
        <w:footnoteReference w:id="2"/>
      </w:r>
      <w:r w:rsidRPr="000A4159">
        <w:rPr>
          <w:rFonts w:cs="Taher"/>
          <w:vertAlign w:val="superscript"/>
          <w:rtl/>
        </w:rPr>
        <w:t>)</w:t>
      </w:r>
      <w:r w:rsidRPr="00822CE9">
        <w:rPr>
          <w:rFonts w:hint="cs"/>
          <w:rtl/>
        </w:rPr>
        <w:t>.</w:t>
      </w:r>
    </w:p>
    <w:p w14:paraId="0EBA8B62" w14:textId="77777777" w:rsidR="000A4159" w:rsidRPr="00436400" w:rsidRDefault="000A4159" w:rsidP="00A079D6">
      <w:pPr>
        <w:spacing w:line="214" w:lineRule="auto"/>
        <w:rPr>
          <w:b/>
          <w:bCs/>
          <w:rtl/>
        </w:rPr>
      </w:pPr>
      <w:r w:rsidRPr="00436400">
        <w:rPr>
          <w:rFonts w:hint="cs"/>
          <w:b/>
          <w:bCs/>
          <w:rtl/>
        </w:rPr>
        <w:t>والشيء الذي يجمع جملة هذه التسميات ـ وإن كنّا نرى بعضها ليس دقيقاً، مثل تسمية الحرب الأهلي</w:t>
      </w:r>
      <w:r w:rsidR="00294F8E" w:rsidRPr="00436400">
        <w:rPr>
          <w:rFonts w:hint="cs"/>
          <w:b/>
          <w:bCs/>
          <w:rtl/>
        </w:rPr>
        <w:t>ّ</w:t>
      </w:r>
      <w:r w:rsidRPr="00436400">
        <w:rPr>
          <w:rFonts w:hint="cs"/>
          <w:b/>
          <w:bCs/>
          <w:rtl/>
        </w:rPr>
        <w:t>ة، فإن</w:t>
      </w:r>
      <w:r w:rsidR="00294F8E" w:rsidRPr="00436400">
        <w:rPr>
          <w:rFonts w:hint="cs"/>
          <w:b/>
          <w:bCs/>
          <w:rtl/>
        </w:rPr>
        <w:t>ّ</w:t>
      </w:r>
      <w:r w:rsidRPr="00436400">
        <w:rPr>
          <w:rFonts w:hint="cs"/>
          <w:b/>
          <w:bCs/>
          <w:rtl/>
        </w:rPr>
        <w:t>ه عنوان أعمّ ـ هو قيام فريق من المسلمين الذين يعتقدون بعدم شرعي</w:t>
      </w:r>
      <w:r w:rsidR="00294F8E" w:rsidRPr="00436400">
        <w:rPr>
          <w:rFonts w:hint="cs"/>
          <w:b/>
          <w:bCs/>
          <w:rtl/>
        </w:rPr>
        <w:t>ّ</w:t>
      </w:r>
      <w:r w:rsidRPr="00436400">
        <w:rPr>
          <w:rFonts w:hint="cs"/>
          <w:b/>
          <w:bCs/>
          <w:rtl/>
        </w:rPr>
        <w:t>ة السلطة القائمة أو انحرافها، بالثورة (المسلّحة) الدموية ضدّها، بغية تصحيح الانحراف أو إسقاط الحاكم واستبداله بغيره، أو إسقاط النظام ككلّ لإقامة نظام آخر، يقوم في رأيهم على ما يرتضيه الإسلام.</w:t>
      </w:r>
    </w:p>
    <w:p w14:paraId="2581D7E4" w14:textId="77777777" w:rsidR="000A4159" w:rsidRPr="00822CE9" w:rsidRDefault="000A4159" w:rsidP="00294F8E">
      <w:pPr>
        <w:spacing w:line="214" w:lineRule="auto"/>
        <w:rPr>
          <w:rtl/>
        </w:rPr>
      </w:pPr>
      <w:r w:rsidRPr="00822CE9">
        <w:rPr>
          <w:rFonts w:hint="cs"/>
          <w:rtl/>
        </w:rPr>
        <w:t>وقد سعى بعض</w:t>
      </w:r>
      <w:r w:rsidR="00294F8E">
        <w:rPr>
          <w:rFonts w:hint="cs"/>
          <w:rtl/>
        </w:rPr>
        <w:t>ُ</w:t>
      </w:r>
      <w:r w:rsidRPr="00822CE9">
        <w:rPr>
          <w:rFonts w:hint="cs"/>
          <w:rtl/>
        </w:rPr>
        <w:t>هم لجعل هذا النوع من الجهاد، ثلاثة أصناف ه</w:t>
      </w:r>
      <w:r w:rsidR="00294F8E">
        <w:rPr>
          <w:rFonts w:hint="cs"/>
          <w:rtl/>
        </w:rPr>
        <w:t>و</w:t>
      </w:r>
      <w:r w:rsidRPr="00822CE9">
        <w:rPr>
          <w:rFonts w:hint="cs"/>
          <w:rtl/>
        </w:rPr>
        <w:t>: القتال ضدّ الحاكم المنحرف، وقتال مغتصب السلطة، والقتال لإقامة دولة إسلامي</w:t>
      </w:r>
      <w:r w:rsidR="00294F8E">
        <w:rPr>
          <w:rFonts w:hint="cs"/>
          <w:rtl/>
        </w:rPr>
        <w:t>ّ</w:t>
      </w:r>
      <w:r w:rsidRPr="00822CE9">
        <w:rPr>
          <w:rFonts w:hint="cs"/>
          <w:rtl/>
        </w:rPr>
        <w:t>ة</w:t>
      </w:r>
      <w:r w:rsidRPr="000A4159">
        <w:rPr>
          <w:rFonts w:cs="Taher"/>
          <w:vertAlign w:val="superscript"/>
          <w:rtl/>
        </w:rPr>
        <w:t>(</w:t>
      </w:r>
      <w:r w:rsidRPr="000A4159">
        <w:rPr>
          <w:rStyle w:val="FootnoteReference"/>
          <w:rFonts w:cs="Taher"/>
          <w:rtl/>
        </w:rPr>
        <w:footnoteReference w:id="3"/>
      </w:r>
      <w:r w:rsidRPr="000A4159">
        <w:rPr>
          <w:rFonts w:cs="Taher"/>
          <w:vertAlign w:val="superscript"/>
          <w:rtl/>
        </w:rPr>
        <w:t>)</w:t>
      </w:r>
      <w:r w:rsidRPr="00822CE9">
        <w:rPr>
          <w:rtl/>
        </w:rPr>
        <w:t xml:space="preserve">، </w:t>
      </w:r>
      <w:r w:rsidRPr="00822CE9">
        <w:rPr>
          <w:rFonts w:hint="cs"/>
          <w:rtl/>
        </w:rPr>
        <w:t xml:space="preserve">وهي محاولة تمييز جيّدة في </w:t>
      </w:r>
      <w:r w:rsidRPr="00822CE9">
        <w:rPr>
          <w:rFonts w:hint="cs"/>
          <w:rtl/>
        </w:rPr>
        <w:lastRenderedPageBreak/>
        <w:t>حدّ نفسها من حيث نتيجة البحث على تقدير صحّتها، فقد يذهب الفقيه إلى وجوب قتال مغتصب السلطة، لكن</w:t>
      </w:r>
      <w:r w:rsidR="00294F8E">
        <w:rPr>
          <w:rFonts w:hint="cs"/>
          <w:rtl/>
        </w:rPr>
        <w:t>ّ</w:t>
      </w:r>
      <w:r w:rsidRPr="00822CE9">
        <w:rPr>
          <w:rFonts w:hint="cs"/>
          <w:rtl/>
        </w:rPr>
        <w:t>ه لا يذهب إلى وجوب إقامة دولةٍ إسلامي</w:t>
      </w:r>
      <w:r w:rsidR="00294F8E">
        <w:rPr>
          <w:rFonts w:hint="cs"/>
          <w:rtl/>
        </w:rPr>
        <w:t>ّ</w:t>
      </w:r>
      <w:r w:rsidRPr="00822CE9">
        <w:rPr>
          <w:rFonts w:hint="cs"/>
          <w:rtl/>
        </w:rPr>
        <w:t>ة، فهذا الافتراض معقول طبقاً لنظري</w:t>
      </w:r>
      <w:r w:rsidR="00294F8E">
        <w:rPr>
          <w:rFonts w:hint="cs"/>
          <w:rtl/>
        </w:rPr>
        <w:t>ّ</w:t>
      </w:r>
      <w:r w:rsidRPr="00822CE9">
        <w:rPr>
          <w:rFonts w:hint="cs"/>
          <w:rtl/>
        </w:rPr>
        <w:t>ات عدّة في الفكر السياسي الإسلامي، فالحاكم العادل الذي لا يظلم شعبه ويرضى شعبُه به ربما يعتبر ـ وفق بعض النظريات السياسي</w:t>
      </w:r>
      <w:r w:rsidR="00294F8E">
        <w:rPr>
          <w:rFonts w:hint="cs"/>
          <w:rtl/>
        </w:rPr>
        <w:t>ّ</w:t>
      </w:r>
      <w:r w:rsidRPr="00822CE9">
        <w:rPr>
          <w:rFonts w:hint="cs"/>
          <w:rtl/>
        </w:rPr>
        <w:t>ة ـ غير مغتصب للسلطة، لكنّ دولته قد لا تكون دولةً إسلامي</w:t>
      </w:r>
      <w:r w:rsidR="00294F8E">
        <w:rPr>
          <w:rFonts w:hint="cs"/>
          <w:rtl/>
        </w:rPr>
        <w:t>ّ</w:t>
      </w:r>
      <w:r w:rsidRPr="00822CE9">
        <w:rPr>
          <w:rFonts w:hint="cs"/>
          <w:rtl/>
        </w:rPr>
        <w:t>ة تعتمد الإسلام مصدراً للقوانين والإجراءات، فمن يقول بوجوب مقاتلة مغتصب السلطة لا يحكم بوجوب القتال هنا على تقدير عدم اعتقاده بوجوب إقامة دولة إسلامي</w:t>
      </w:r>
      <w:r w:rsidR="00294F8E">
        <w:rPr>
          <w:rFonts w:hint="cs"/>
          <w:rtl/>
        </w:rPr>
        <w:t>ّ</w:t>
      </w:r>
      <w:r w:rsidRPr="00822CE9">
        <w:rPr>
          <w:rFonts w:hint="cs"/>
          <w:rtl/>
        </w:rPr>
        <w:t>ة، وهكذا.</w:t>
      </w:r>
    </w:p>
    <w:p w14:paraId="0143FC88" w14:textId="77777777" w:rsidR="000A4159" w:rsidRDefault="000A4159" w:rsidP="00306426">
      <w:pPr>
        <w:pStyle w:val="normal930"/>
        <w:rPr>
          <w:rtl/>
        </w:rPr>
      </w:pPr>
      <w:r w:rsidRPr="00294F8E">
        <w:rPr>
          <w:rFonts w:hint="cs"/>
          <w:b/>
          <w:bCs/>
          <w:rtl/>
        </w:rPr>
        <w:t>إلا أنّ هذا التمييز من حيث النتائج لا نجده يستدعي ـ على مستوى مباحث باب الجهاد ـ فرز ثلاثة أنواع للحرب للبحث عن أدلّتها،</w:t>
      </w:r>
      <w:r w:rsidRPr="00822CE9">
        <w:rPr>
          <w:rFonts w:hint="cs"/>
          <w:rtl/>
        </w:rPr>
        <w:t xml:space="preserve"> وإن</w:t>
      </w:r>
      <w:r w:rsidR="00294F8E">
        <w:rPr>
          <w:rFonts w:hint="cs"/>
          <w:rtl/>
        </w:rPr>
        <w:t>ّ</w:t>
      </w:r>
      <w:r w:rsidRPr="00822CE9">
        <w:rPr>
          <w:rFonts w:hint="cs"/>
          <w:rtl/>
        </w:rPr>
        <w:t>ما المطلوب كفايةً هو السعي نحو الأدلّة تحت عنوان واحد، والخروج بهذه النتيجة أو تلك؛ لعدم وفرة الأدلّة التي تجعل إمكان الفصل وارداً</w:t>
      </w:r>
      <w:r w:rsidR="005853DF">
        <w:rPr>
          <w:rFonts w:hint="cs"/>
          <w:rtl/>
        </w:rPr>
        <w:t>، ما دامت الأحكام واحدة</w:t>
      </w:r>
      <w:r w:rsidRPr="00822CE9">
        <w:rPr>
          <w:rFonts w:hint="cs"/>
          <w:rtl/>
        </w:rPr>
        <w:t>.</w:t>
      </w:r>
    </w:p>
    <w:p w14:paraId="283B9173" w14:textId="77777777" w:rsidR="00294F8E" w:rsidRPr="00A87C89" w:rsidRDefault="00294F8E" w:rsidP="00BF0865">
      <w:pPr>
        <w:pStyle w:val="Heading2"/>
        <w:rPr>
          <w:rtl/>
        </w:rPr>
      </w:pPr>
      <w:bookmarkStart w:id="6" w:name="_Toc143804093"/>
      <w:bookmarkStart w:id="7" w:name="_Toc238123218"/>
      <w:r w:rsidRPr="00A87C89">
        <w:rPr>
          <w:rFonts w:hint="cs"/>
          <w:rtl/>
        </w:rPr>
        <w:t xml:space="preserve">ضرورة التمييز بين </w:t>
      </w:r>
      <w:r w:rsidR="002E2BA7">
        <w:rPr>
          <w:rFonts w:hint="cs"/>
          <w:rtl/>
        </w:rPr>
        <w:t xml:space="preserve">مفهومَي: </w:t>
      </w:r>
      <w:r w:rsidR="00A87C89">
        <w:rPr>
          <w:rFonts w:hint="cs"/>
          <w:rtl/>
        </w:rPr>
        <w:t>إ</w:t>
      </w:r>
      <w:r w:rsidRPr="00A87C89">
        <w:rPr>
          <w:rFonts w:hint="cs"/>
          <w:rtl/>
        </w:rPr>
        <w:t xml:space="preserve">قامة الدولة </w:t>
      </w:r>
      <w:r w:rsidR="00A87C89">
        <w:rPr>
          <w:rFonts w:hint="cs"/>
          <w:rtl/>
        </w:rPr>
        <w:t xml:space="preserve">الدينيّة </w:t>
      </w:r>
      <w:r w:rsidRPr="00A87C89">
        <w:rPr>
          <w:rFonts w:hint="cs"/>
          <w:rtl/>
        </w:rPr>
        <w:t>و</w:t>
      </w:r>
      <w:r w:rsidR="00A87C89">
        <w:rPr>
          <w:rFonts w:hint="cs"/>
          <w:rtl/>
        </w:rPr>
        <w:t>جهاد الطغاة</w:t>
      </w:r>
      <w:bookmarkEnd w:id="6"/>
      <w:bookmarkEnd w:id="7"/>
    </w:p>
    <w:p w14:paraId="1047AA6B" w14:textId="77777777" w:rsidR="000A4159" w:rsidRPr="00822CE9" w:rsidRDefault="000A4159" w:rsidP="00306426">
      <w:pPr>
        <w:pStyle w:val="normal930"/>
        <w:rPr>
          <w:rtl/>
        </w:rPr>
      </w:pPr>
      <w:r w:rsidRPr="00294F8E">
        <w:rPr>
          <w:rFonts w:hint="cs"/>
          <w:b/>
          <w:bCs/>
          <w:rtl/>
        </w:rPr>
        <w:t>كما يجب أن نعرف في بداية هذا البحث،</w:t>
      </w:r>
      <w:r w:rsidRPr="00822CE9">
        <w:rPr>
          <w:rFonts w:hint="cs"/>
          <w:rtl/>
        </w:rPr>
        <w:t xml:space="preserve"> أنّه لا علاقة لنا هنا بالنظري</w:t>
      </w:r>
      <w:r w:rsidR="00294F8E">
        <w:rPr>
          <w:rFonts w:hint="cs"/>
          <w:rtl/>
        </w:rPr>
        <w:t>ّ</w:t>
      </w:r>
      <w:r w:rsidRPr="00822CE9">
        <w:rPr>
          <w:rFonts w:hint="cs"/>
          <w:rtl/>
        </w:rPr>
        <w:t>ة الفقهي</w:t>
      </w:r>
      <w:r w:rsidR="00294F8E">
        <w:rPr>
          <w:rFonts w:hint="cs"/>
          <w:rtl/>
        </w:rPr>
        <w:t>ّ</w:t>
      </w:r>
      <w:r w:rsidRPr="00822CE9">
        <w:rPr>
          <w:rFonts w:hint="cs"/>
          <w:rtl/>
        </w:rPr>
        <w:t>ة السياسية التي تحدّد انحراف هذا الحاكم أو عدم انحرافه</w:t>
      </w:r>
      <w:r w:rsidRPr="000A4159">
        <w:rPr>
          <w:rFonts w:cs="Taher"/>
          <w:vertAlign w:val="superscript"/>
          <w:rtl/>
        </w:rPr>
        <w:t>(</w:t>
      </w:r>
      <w:r w:rsidRPr="000A4159">
        <w:rPr>
          <w:rStyle w:val="FootnoteReference"/>
          <w:rFonts w:cs="Taher"/>
          <w:rtl/>
        </w:rPr>
        <w:footnoteReference w:id="4"/>
      </w:r>
      <w:r w:rsidRPr="000A4159">
        <w:rPr>
          <w:rFonts w:cs="Taher"/>
          <w:vertAlign w:val="superscript"/>
          <w:rtl/>
        </w:rPr>
        <w:t>)</w:t>
      </w:r>
      <w:r w:rsidRPr="00822CE9">
        <w:rPr>
          <w:rtl/>
        </w:rPr>
        <w:t xml:space="preserve">، </w:t>
      </w:r>
      <w:r w:rsidRPr="00822CE9">
        <w:rPr>
          <w:rFonts w:hint="cs"/>
          <w:rtl/>
        </w:rPr>
        <w:t>أو تحدّد إسلامي</w:t>
      </w:r>
      <w:r w:rsidR="00294F8E">
        <w:rPr>
          <w:rFonts w:hint="cs"/>
          <w:rtl/>
        </w:rPr>
        <w:t>ّ</w:t>
      </w:r>
      <w:r w:rsidRPr="00822CE9">
        <w:rPr>
          <w:rFonts w:hint="cs"/>
          <w:rtl/>
        </w:rPr>
        <w:t>ة النظام وعدم إسلاميّته، أو تحدّد اغتصاب هذا الحاكم للسلطة وعدم اغتصابه لها، فهذا بحث</w:t>
      </w:r>
      <w:r w:rsidR="00294F8E">
        <w:rPr>
          <w:rFonts w:hint="cs"/>
          <w:rtl/>
        </w:rPr>
        <w:t>ٌ</w:t>
      </w:r>
      <w:r w:rsidRPr="00822CE9">
        <w:rPr>
          <w:rFonts w:hint="cs"/>
          <w:rtl/>
        </w:rPr>
        <w:t xml:space="preserve"> من شؤون الفقه السياسي على مستوى شرعيّة السلطة وهيكليّتها، فمثلاً هل يجب إقامة دولة إسلامية في عصر الغيبة </w:t>
      </w:r>
      <w:r w:rsidR="00294F8E">
        <w:rPr>
          <w:rFonts w:hint="cs"/>
          <w:rtl/>
        </w:rPr>
        <w:t xml:space="preserve">(شيعيّاً) </w:t>
      </w:r>
      <w:r w:rsidRPr="00822CE9">
        <w:rPr>
          <w:rFonts w:hint="cs"/>
          <w:rtl/>
        </w:rPr>
        <w:t>أ</w:t>
      </w:r>
      <w:r w:rsidR="00294F8E">
        <w:rPr>
          <w:rFonts w:hint="cs"/>
          <w:rtl/>
        </w:rPr>
        <w:t>و</w:t>
      </w:r>
      <w:r w:rsidRPr="00822CE9">
        <w:rPr>
          <w:rFonts w:hint="cs"/>
          <w:rtl/>
        </w:rPr>
        <w:t xml:space="preserve"> لا؟ سؤال هام على صعيد الفقه الشيعي، لكنّه ليس هو بحثنا، إن</w:t>
      </w:r>
      <w:r w:rsidR="00294F8E">
        <w:rPr>
          <w:rFonts w:hint="cs"/>
          <w:rtl/>
        </w:rPr>
        <w:t>ّ</w:t>
      </w:r>
      <w:r w:rsidRPr="00822CE9">
        <w:rPr>
          <w:rFonts w:hint="cs"/>
          <w:rtl/>
        </w:rPr>
        <w:t>ما الذي يعنينا هنا هو: على تقدير وجوب إقامة هذه الدولة أو مشروعي</w:t>
      </w:r>
      <w:r w:rsidR="00294F8E">
        <w:rPr>
          <w:rFonts w:hint="cs"/>
          <w:rtl/>
        </w:rPr>
        <w:t>ّ</w:t>
      </w:r>
      <w:r w:rsidRPr="00822CE9">
        <w:rPr>
          <w:rFonts w:hint="cs"/>
          <w:rtl/>
        </w:rPr>
        <w:t>تها</w:t>
      </w:r>
      <w:r w:rsidR="00294F8E">
        <w:rPr>
          <w:rFonts w:hint="cs"/>
          <w:rtl/>
        </w:rPr>
        <w:t>،</w:t>
      </w:r>
      <w:r w:rsidRPr="00822CE9">
        <w:rPr>
          <w:rFonts w:hint="cs"/>
          <w:rtl/>
        </w:rPr>
        <w:t xml:space="preserve"> هل يجب أو يجوز إقامتها عبر استخدام الجهاد المسلّح على طريقة الانقلابات العسكريّة أو الحرب الأهلي</w:t>
      </w:r>
      <w:r w:rsidR="00294F8E">
        <w:rPr>
          <w:rFonts w:hint="cs"/>
          <w:rtl/>
        </w:rPr>
        <w:t>ّ</w:t>
      </w:r>
      <w:r w:rsidRPr="00822CE9">
        <w:rPr>
          <w:rFonts w:hint="cs"/>
          <w:rtl/>
        </w:rPr>
        <w:t xml:space="preserve">ة أو الثورات ذات الطابع الدموي.. </w:t>
      </w:r>
      <w:r w:rsidRPr="00822CE9">
        <w:rPr>
          <w:rFonts w:hint="cs"/>
          <w:rtl/>
        </w:rPr>
        <w:lastRenderedPageBreak/>
        <w:t>أ</w:t>
      </w:r>
      <w:r w:rsidR="00294F8E">
        <w:rPr>
          <w:rFonts w:hint="cs"/>
          <w:rtl/>
        </w:rPr>
        <w:t>و</w:t>
      </w:r>
      <w:r w:rsidRPr="00822CE9">
        <w:rPr>
          <w:rFonts w:hint="cs"/>
          <w:rtl/>
        </w:rPr>
        <w:t xml:space="preserve"> أنّ ذلك منحصر بالطرق السلمي</w:t>
      </w:r>
      <w:r w:rsidR="00294F8E">
        <w:rPr>
          <w:rFonts w:hint="cs"/>
          <w:rtl/>
        </w:rPr>
        <w:t>ّ</w:t>
      </w:r>
      <w:r w:rsidRPr="00822CE9">
        <w:rPr>
          <w:rFonts w:hint="cs"/>
          <w:rtl/>
        </w:rPr>
        <w:t>ة كالمظاهرات السلميّة والتغييرات الحاصلة من داخل المؤسّسات الحكومية أو المدنيّة أو نحو ذلك؟</w:t>
      </w:r>
    </w:p>
    <w:p w14:paraId="28618E59" w14:textId="77777777" w:rsidR="000A4159" w:rsidRPr="00822CE9" w:rsidRDefault="000A4159" w:rsidP="00306426">
      <w:pPr>
        <w:spacing w:line="223" w:lineRule="auto"/>
        <w:rPr>
          <w:rtl/>
        </w:rPr>
      </w:pPr>
      <w:r w:rsidRPr="0037704C">
        <w:rPr>
          <w:rFonts w:hint="cs"/>
          <w:b/>
          <w:bCs/>
          <w:rtl/>
        </w:rPr>
        <w:t>وقد وقع بعض الباحثين في هذا الخلط، فتصوّر أنّ إقامة الدولة إذا كانت واجبةً فيجب الجهاد لذلك</w:t>
      </w:r>
      <w:r w:rsidR="005853DF" w:rsidRPr="0037704C">
        <w:rPr>
          <w:rFonts w:hint="cs"/>
          <w:b/>
          <w:bCs/>
          <w:rtl/>
        </w:rPr>
        <w:t xml:space="preserve"> ضرورةً</w:t>
      </w:r>
      <w:r w:rsidRPr="0037704C">
        <w:rPr>
          <w:rFonts w:hint="cs"/>
          <w:b/>
          <w:bCs/>
          <w:rtl/>
        </w:rPr>
        <w:t>، مع أنّ الموضوع مختلف؛</w:t>
      </w:r>
      <w:r w:rsidRPr="00822CE9">
        <w:rPr>
          <w:rFonts w:hint="cs"/>
          <w:rtl/>
        </w:rPr>
        <w:t xml:space="preserve"> إذ قد تجب إقامة الدولة لكنّ طريقة إقامتها قد تُشرط شرعاً بأن لا تكون دمويةً تؤدي إلى حرب داخليّة، وإنّما تكون سلمي</w:t>
      </w:r>
      <w:r w:rsidR="00294F8E">
        <w:rPr>
          <w:rFonts w:hint="cs"/>
          <w:rtl/>
        </w:rPr>
        <w:t>ّ</w:t>
      </w:r>
      <w:r w:rsidRPr="00822CE9">
        <w:rPr>
          <w:rFonts w:hint="cs"/>
          <w:rtl/>
        </w:rPr>
        <w:t xml:space="preserve">ة. </w:t>
      </w:r>
      <w:r w:rsidRPr="0037704C">
        <w:rPr>
          <w:rFonts w:hint="cs"/>
          <w:b/>
          <w:bCs/>
          <w:rtl/>
        </w:rPr>
        <w:t>كما تصوّر بعضٌ آخر أنّ بعض الروايات التي نهت عن القتال الدموي ضدّ الحكم الجائر تعني حرمة إقامة نظام إسلامي،</w:t>
      </w:r>
      <w:r w:rsidRPr="00822CE9">
        <w:rPr>
          <w:rFonts w:hint="cs"/>
          <w:rtl/>
        </w:rPr>
        <w:t xml:space="preserve"> مع أن</w:t>
      </w:r>
      <w:r w:rsidR="00294F8E">
        <w:rPr>
          <w:rFonts w:hint="cs"/>
          <w:rtl/>
        </w:rPr>
        <w:t>ّ</w:t>
      </w:r>
      <w:r w:rsidRPr="00822CE9">
        <w:rPr>
          <w:rFonts w:hint="cs"/>
          <w:rtl/>
        </w:rPr>
        <w:t>ه لا ملازمة ضروري</w:t>
      </w:r>
      <w:r w:rsidR="00294F8E">
        <w:rPr>
          <w:rFonts w:hint="cs"/>
          <w:rtl/>
        </w:rPr>
        <w:t>ّ</w:t>
      </w:r>
      <w:r w:rsidRPr="00822CE9">
        <w:rPr>
          <w:rFonts w:hint="cs"/>
          <w:rtl/>
        </w:rPr>
        <w:t xml:space="preserve">ة، كما هو واضح، </w:t>
      </w:r>
      <w:r w:rsidRPr="0037704C">
        <w:rPr>
          <w:rFonts w:hint="cs"/>
          <w:b/>
          <w:bCs/>
          <w:rtl/>
        </w:rPr>
        <w:t>فتفكيك جهة البحث هنا وتمييز مركزه أمرٌ في غاية</w:t>
      </w:r>
      <w:r w:rsidR="005853DF" w:rsidRPr="0037704C">
        <w:rPr>
          <w:rFonts w:hint="cs"/>
          <w:b/>
          <w:bCs/>
          <w:rtl/>
        </w:rPr>
        <w:t xml:space="preserve"> الأهمية، لا يصحّ تجاهله البتة،</w:t>
      </w:r>
      <w:r w:rsidR="005853DF">
        <w:rPr>
          <w:rFonts w:hint="cs"/>
          <w:rtl/>
        </w:rPr>
        <w:t xml:space="preserve"> وإن كانت بعض هذه المفاهيم استخدمت لإثبات بعضها الآخر، كما سوف نرى ونناقش ذلك في محلّه.</w:t>
      </w:r>
    </w:p>
    <w:p w14:paraId="419EA265" w14:textId="77777777" w:rsidR="000A4159" w:rsidRPr="00822CE9" w:rsidRDefault="000A4159" w:rsidP="005853DF">
      <w:pPr>
        <w:spacing w:line="214" w:lineRule="auto"/>
        <w:rPr>
          <w:rtl/>
        </w:rPr>
      </w:pPr>
      <w:r w:rsidRPr="00A87C89">
        <w:rPr>
          <w:rFonts w:hint="cs"/>
          <w:b/>
          <w:bCs/>
          <w:rtl/>
        </w:rPr>
        <w:t>أضف إلى ذلك، ثمّة فرق بين مسألة معونة الجائر والتعاون معه وقبول هداياه والصيرورة من رجاله وأعوانه مما بحثه الفقهاء مؤخراً في مباحث المكاسب،</w:t>
      </w:r>
      <w:r w:rsidRPr="00822CE9">
        <w:rPr>
          <w:rFonts w:hint="cs"/>
          <w:rtl/>
        </w:rPr>
        <w:t xml:space="preserve"> وبين البحث الذي نحن فيه، فذاك البحث حتى لو كانت نتيجته هي الحرمة الشديدة لا يعني وجوب قتاله أو إسقاط نظامه أو السعي لإقامة نظام بديل، بل غاية ذلك حرمة التعاون معه، فهي تحرّم الفعل الإيجابي، لكنها لا تأمر بالفعل السلبي بأشكاله، بل قد تكتفي بمنطق العزلة دون موالاة للسلطة ولا معارضة لها</w:t>
      </w:r>
      <w:r w:rsidR="005853DF">
        <w:rPr>
          <w:rFonts w:hint="cs"/>
          <w:rtl/>
        </w:rPr>
        <w:t>، كما يقال بأنّ الشيعة الإماميّة تاريخيّاً كانوا يختارون العزلة السياسيّة فيما الزيدية والإسماعيليّة كانوا يفضلون المعارضة السياسيّة</w:t>
      </w:r>
      <w:r w:rsidRPr="00822CE9">
        <w:rPr>
          <w:rFonts w:hint="cs"/>
          <w:rtl/>
        </w:rPr>
        <w:t xml:space="preserve">. </w:t>
      </w:r>
      <w:r w:rsidR="00A87C89">
        <w:rPr>
          <w:rFonts w:hint="cs"/>
          <w:rtl/>
        </w:rPr>
        <w:t xml:space="preserve">لكن </w:t>
      </w:r>
      <w:r w:rsidRPr="00822CE9">
        <w:rPr>
          <w:rFonts w:hint="cs"/>
          <w:rtl/>
        </w:rPr>
        <w:t>سيأتي أنّ بعض الأدلّة قد تتلاقى، إن</w:t>
      </w:r>
      <w:r w:rsidR="00A87C89">
        <w:rPr>
          <w:rFonts w:hint="cs"/>
          <w:rtl/>
        </w:rPr>
        <w:t>ّ</w:t>
      </w:r>
      <w:r w:rsidRPr="00822CE9">
        <w:rPr>
          <w:rFonts w:hint="cs"/>
          <w:rtl/>
        </w:rPr>
        <w:t>ما نرفض الربط التام</w:t>
      </w:r>
      <w:r w:rsidR="00A87C89">
        <w:rPr>
          <w:rFonts w:hint="cs"/>
          <w:rtl/>
        </w:rPr>
        <w:t>ّ</w:t>
      </w:r>
      <w:r w:rsidRPr="00822CE9">
        <w:rPr>
          <w:rFonts w:hint="cs"/>
          <w:rtl/>
        </w:rPr>
        <w:t xml:space="preserve"> بين الموضوعات.</w:t>
      </w:r>
    </w:p>
    <w:p w14:paraId="7DC8C568" w14:textId="77777777" w:rsidR="000A4159" w:rsidRPr="00822CE9" w:rsidRDefault="000A4159" w:rsidP="00306426">
      <w:pPr>
        <w:pStyle w:val="normal930"/>
        <w:rPr>
          <w:rtl/>
        </w:rPr>
      </w:pPr>
      <w:r w:rsidRPr="00822CE9">
        <w:rPr>
          <w:rFonts w:hint="cs"/>
          <w:rtl/>
        </w:rPr>
        <w:t>وعلى أي</w:t>
      </w:r>
      <w:r w:rsidR="00A87C89">
        <w:rPr>
          <w:rFonts w:hint="cs"/>
          <w:rtl/>
        </w:rPr>
        <w:t>ّ</w:t>
      </w:r>
      <w:r w:rsidRPr="00822CE9">
        <w:rPr>
          <w:rFonts w:hint="cs"/>
          <w:rtl/>
        </w:rPr>
        <w:t>ة حال، فسوف نستعرض هنا النظريّتين الرئيستين في هذا الموضوع لبيان ما هي أدلّتها ومحاكمتها، ثم بعد ذلك ملاحظة النتائج والتفاصيل.</w:t>
      </w:r>
    </w:p>
    <w:p w14:paraId="1A4A1EAB" w14:textId="77777777" w:rsidR="000A4159" w:rsidRDefault="000A4159" w:rsidP="00306426">
      <w:pPr>
        <w:pStyle w:val="normal930"/>
        <w:rPr>
          <w:rtl/>
        </w:rPr>
      </w:pPr>
      <w:r w:rsidRPr="00822CE9">
        <w:rPr>
          <w:rFonts w:hint="cs"/>
          <w:rtl/>
        </w:rPr>
        <w:t>ونؤكّد على أنّه حيث معركة الآراء هنا تقع بين الفريق الذي يرى شرعي</w:t>
      </w:r>
      <w:r w:rsidR="00A87C89">
        <w:rPr>
          <w:rFonts w:hint="cs"/>
          <w:rtl/>
        </w:rPr>
        <w:t>ّ</w:t>
      </w:r>
      <w:r w:rsidRPr="00822CE9">
        <w:rPr>
          <w:rFonts w:hint="cs"/>
          <w:rtl/>
        </w:rPr>
        <w:t>ة هذا الجهاد والفريق الذي يرى حرمته، سنجعل محور الاتجاهين الرئيسي</w:t>
      </w:r>
      <w:r w:rsidR="00A87C89">
        <w:rPr>
          <w:rFonts w:hint="cs"/>
          <w:rtl/>
        </w:rPr>
        <w:t>ّ</w:t>
      </w:r>
      <w:r w:rsidRPr="00822CE9">
        <w:rPr>
          <w:rFonts w:hint="cs"/>
          <w:rtl/>
        </w:rPr>
        <w:t>ين قائماً على الشرعي</w:t>
      </w:r>
      <w:r w:rsidR="00A87C89">
        <w:rPr>
          <w:rFonts w:hint="cs"/>
          <w:rtl/>
        </w:rPr>
        <w:t>ّ</w:t>
      </w:r>
      <w:r w:rsidRPr="00822CE9">
        <w:rPr>
          <w:rFonts w:hint="cs"/>
          <w:rtl/>
        </w:rPr>
        <w:t>ة أو عدم الشرعي</w:t>
      </w:r>
      <w:r w:rsidR="00A87C89">
        <w:rPr>
          <w:rFonts w:hint="cs"/>
          <w:rtl/>
        </w:rPr>
        <w:t>ّ</w:t>
      </w:r>
      <w:r w:rsidRPr="00822CE9">
        <w:rPr>
          <w:rFonts w:hint="cs"/>
          <w:rtl/>
        </w:rPr>
        <w:t>ة، ومن هذا المدخل نطل</w:t>
      </w:r>
      <w:r w:rsidR="004718AC">
        <w:rPr>
          <w:rFonts w:hint="cs"/>
          <w:rtl/>
        </w:rPr>
        <w:t>ّ</w:t>
      </w:r>
      <w:r w:rsidRPr="00822CE9">
        <w:rPr>
          <w:rFonts w:hint="cs"/>
          <w:rtl/>
        </w:rPr>
        <w:t xml:space="preserve"> على سائر الأمور، إن شاء الله تعالى.</w:t>
      </w:r>
    </w:p>
    <w:p w14:paraId="28875193" w14:textId="77777777" w:rsidR="00151D60" w:rsidRPr="00822CE9" w:rsidRDefault="00151D60" w:rsidP="00306426">
      <w:pPr>
        <w:rPr>
          <w:rtl/>
        </w:rPr>
      </w:pPr>
      <w:r w:rsidRPr="0037704C">
        <w:rPr>
          <w:rFonts w:hint="cs"/>
          <w:b/>
          <w:bCs/>
          <w:rtl/>
        </w:rPr>
        <w:t xml:space="preserve">وأختم هذا التمهيد بإبداء أسفي ودهشتي معاً ـ بعد تتبّعي قدر مكنتي ـ لقلّة الأبحاث الفقهيّة </w:t>
      </w:r>
      <w:r w:rsidRPr="0037704C">
        <w:rPr>
          <w:rFonts w:hint="cs"/>
          <w:b/>
          <w:bCs/>
          <w:rtl/>
        </w:rPr>
        <w:lastRenderedPageBreak/>
        <w:t>الاستدلاليّة في هذا الموضوع نسبيّاً،</w:t>
      </w:r>
      <w:r w:rsidRPr="00151D60">
        <w:rPr>
          <w:rFonts w:hint="cs"/>
          <w:rtl/>
        </w:rPr>
        <w:t xml:space="preserve"> رغم مرور عقود على انطلاقة الحركة الثوري</w:t>
      </w:r>
      <w:r>
        <w:rPr>
          <w:rFonts w:hint="cs"/>
          <w:rtl/>
        </w:rPr>
        <w:t>ّ</w:t>
      </w:r>
      <w:r w:rsidRPr="00151D60">
        <w:rPr>
          <w:rFonts w:hint="cs"/>
          <w:rtl/>
        </w:rPr>
        <w:t>ة الإسلاميّة وغيرها، مع أنّ انطلاقة المشروع الثوري يستدعي في المرحلة السابقة ممارسة تنظير فكري له ـ وهو ما تمّ إنجاز الكثير على صعيده ـ إلى جانب تنظير فقهي وفقاً لأسس الاجتهاد الإسلامي، وذلك بغية تذليل العقبات العلمي</w:t>
      </w:r>
      <w:r>
        <w:rPr>
          <w:rFonts w:hint="cs"/>
          <w:rtl/>
        </w:rPr>
        <w:t>ّ</w:t>
      </w:r>
      <w:r w:rsidRPr="00151D60">
        <w:rPr>
          <w:rFonts w:hint="cs"/>
          <w:rtl/>
        </w:rPr>
        <w:t>ة التي قد تقف أمامه أو لتصويب الحركة ومساراتها.</w:t>
      </w:r>
    </w:p>
    <w:p w14:paraId="6A514ADE" w14:textId="77777777" w:rsidR="000A4159" w:rsidRPr="00A87C89" w:rsidRDefault="000A4159" w:rsidP="00BF0865">
      <w:pPr>
        <w:pStyle w:val="Heading2"/>
        <w:rPr>
          <w:rtl/>
        </w:rPr>
      </w:pPr>
      <w:bookmarkStart w:id="8" w:name="_Toc143804094"/>
      <w:bookmarkStart w:id="9" w:name="_Toc238123219"/>
      <w:r w:rsidRPr="00A87C89">
        <w:rPr>
          <w:rFonts w:hint="cs"/>
          <w:rtl/>
        </w:rPr>
        <w:t>استعراض تاريخي موجز للموقف من الثورة المسل</w:t>
      </w:r>
      <w:r w:rsidR="0037704C">
        <w:rPr>
          <w:rFonts w:hint="cs"/>
          <w:rtl/>
        </w:rPr>
        <w:t>ّ</w:t>
      </w:r>
      <w:r w:rsidRPr="00A87C89">
        <w:rPr>
          <w:rFonts w:hint="cs"/>
          <w:rtl/>
        </w:rPr>
        <w:t>حة</w:t>
      </w:r>
      <w:bookmarkEnd w:id="8"/>
      <w:bookmarkEnd w:id="9"/>
    </w:p>
    <w:p w14:paraId="4BB21804" w14:textId="77777777" w:rsidR="00292533" w:rsidRDefault="000A4159" w:rsidP="00306426">
      <w:pPr>
        <w:spacing w:line="221" w:lineRule="auto"/>
        <w:rPr>
          <w:rtl/>
        </w:rPr>
      </w:pPr>
      <w:r w:rsidRPr="00822CE9">
        <w:rPr>
          <w:rFonts w:hint="cs"/>
          <w:rtl/>
        </w:rPr>
        <w:t>انقسم الفقهاء والمفكّرون المسلمون في شرعي</w:t>
      </w:r>
      <w:r w:rsidR="00D256C8">
        <w:rPr>
          <w:rFonts w:hint="cs"/>
          <w:rtl/>
        </w:rPr>
        <w:t>ّ</w:t>
      </w:r>
      <w:r w:rsidRPr="00822CE9">
        <w:rPr>
          <w:rFonts w:hint="cs"/>
          <w:rtl/>
        </w:rPr>
        <w:t xml:space="preserve">ة الخروج المسلّح على الحاكم الجائر، </w:t>
      </w:r>
      <w:r w:rsidRPr="00840172">
        <w:rPr>
          <w:rFonts w:hint="cs"/>
          <w:b/>
          <w:bCs/>
          <w:rtl/>
        </w:rPr>
        <w:t xml:space="preserve">ويقدّم لنا أبو الحسن الأشعري </w:t>
      </w:r>
      <w:r w:rsidR="00840172" w:rsidRPr="00840172">
        <w:rPr>
          <w:rFonts w:hint="cs"/>
          <w:b/>
          <w:bCs/>
          <w:rtl/>
        </w:rPr>
        <w:t xml:space="preserve">(324هـ) </w:t>
      </w:r>
      <w:r w:rsidRPr="00840172">
        <w:rPr>
          <w:rFonts w:hint="cs"/>
          <w:b/>
          <w:bCs/>
          <w:rtl/>
        </w:rPr>
        <w:t>تصنيفاً رباعي</w:t>
      </w:r>
      <w:r w:rsidR="00D256C8" w:rsidRPr="00840172">
        <w:rPr>
          <w:rFonts w:hint="cs"/>
          <w:b/>
          <w:bCs/>
          <w:rtl/>
        </w:rPr>
        <w:t>ّ</w:t>
      </w:r>
      <w:r w:rsidRPr="00840172">
        <w:rPr>
          <w:rFonts w:hint="cs"/>
          <w:b/>
          <w:bCs/>
          <w:rtl/>
        </w:rPr>
        <w:t>اً</w:t>
      </w:r>
      <w:r w:rsidRPr="00822CE9">
        <w:rPr>
          <w:rFonts w:hint="cs"/>
          <w:rtl/>
        </w:rPr>
        <w:t xml:space="preserve"> لمواقف المذاهب القديمة</w:t>
      </w:r>
      <w:r w:rsidR="00D256C8">
        <w:rPr>
          <w:rFonts w:hint="cs"/>
          <w:rtl/>
        </w:rPr>
        <w:t>،</w:t>
      </w:r>
      <w:r w:rsidRPr="00822CE9">
        <w:rPr>
          <w:rFonts w:hint="cs"/>
          <w:rtl/>
        </w:rPr>
        <w:t xml:space="preserve"> </w:t>
      </w:r>
      <w:r w:rsidR="00292533">
        <w:rPr>
          <w:rFonts w:hint="cs"/>
          <w:rtl/>
        </w:rPr>
        <w:t xml:space="preserve">فيقول: </w:t>
      </w:r>
      <w:r w:rsidR="00292533">
        <w:rPr>
          <w:rFonts w:hint="eastAsia"/>
          <w:rtl/>
        </w:rPr>
        <w:t>«</w:t>
      </w:r>
      <w:r w:rsidR="00292533" w:rsidRPr="00292533">
        <w:rPr>
          <w:rFonts w:hint="cs"/>
          <w:rtl/>
        </w:rPr>
        <w:t>اختلف الناس ف</w:t>
      </w:r>
      <w:r w:rsidR="00292533">
        <w:rPr>
          <w:rFonts w:hint="cs"/>
          <w:rtl/>
        </w:rPr>
        <w:t>ي السيف على أربعة أ</w:t>
      </w:r>
      <w:r w:rsidR="00292533" w:rsidRPr="00292533">
        <w:rPr>
          <w:rFonts w:hint="cs"/>
          <w:rtl/>
        </w:rPr>
        <w:t>قاويل:</w:t>
      </w:r>
      <w:r w:rsidR="00292533">
        <w:rPr>
          <w:rFonts w:hint="cs"/>
          <w:rtl/>
        </w:rPr>
        <w:t xml:space="preserve"> </w:t>
      </w:r>
      <w:r w:rsidR="00292533" w:rsidRPr="00292533">
        <w:rPr>
          <w:rFonts w:hint="cs"/>
          <w:rtl/>
        </w:rPr>
        <w:t>فقالت المعتزلة والزيدي</w:t>
      </w:r>
      <w:r w:rsidR="00292533">
        <w:rPr>
          <w:rFonts w:hint="cs"/>
          <w:rtl/>
        </w:rPr>
        <w:t>ّ</w:t>
      </w:r>
      <w:r w:rsidR="00292533" w:rsidRPr="00292533">
        <w:rPr>
          <w:rFonts w:hint="cs"/>
          <w:rtl/>
        </w:rPr>
        <w:t xml:space="preserve">ة والخوارج وكثير من </w:t>
      </w:r>
      <w:r w:rsidR="00292533">
        <w:rPr>
          <w:rFonts w:hint="cs"/>
          <w:rtl/>
        </w:rPr>
        <w:t xml:space="preserve">المرجئة: </w:t>
      </w:r>
      <w:r w:rsidR="00292533" w:rsidRPr="00292533">
        <w:rPr>
          <w:rFonts w:hint="cs"/>
          <w:rtl/>
        </w:rPr>
        <w:t>ذلك واجب</w:t>
      </w:r>
      <w:r w:rsidR="00292533">
        <w:rPr>
          <w:rFonts w:hint="cs"/>
          <w:rtl/>
        </w:rPr>
        <w:t>ٌ إذا أمكننا أن نزيل بالسيف أ</w:t>
      </w:r>
      <w:r w:rsidR="00292533" w:rsidRPr="00292533">
        <w:rPr>
          <w:rFonts w:hint="cs"/>
          <w:rtl/>
        </w:rPr>
        <w:t>هل البغ</w:t>
      </w:r>
      <w:r w:rsidR="00292533">
        <w:rPr>
          <w:rFonts w:hint="cs"/>
          <w:rtl/>
        </w:rPr>
        <w:t>ي</w:t>
      </w:r>
      <w:r w:rsidR="00292533" w:rsidRPr="00292533">
        <w:rPr>
          <w:rFonts w:hint="cs"/>
          <w:rtl/>
        </w:rPr>
        <w:t xml:space="preserve"> ونقيم الحقّ، واعتلّوا بقول </w:t>
      </w:r>
      <w:r w:rsidR="00292533">
        <w:rPr>
          <w:rFonts w:hint="cs"/>
          <w:rtl/>
        </w:rPr>
        <w:t>الله ع</w:t>
      </w:r>
      <w:r w:rsidR="00292533" w:rsidRPr="00292533">
        <w:rPr>
          <w:rFonts w:hint="cs"/>
          <w:rtl/>
        </w:rPr>
        <w:t>ز</w:t>
      </w:r>
      <w:r w:rsidR="00292533">
        <w:rPr>
          <w:rFonts w:hint="cs"/>
          <w:rtl/>
        </w:rPr>
        <w:t>ّ</w:t>
      </w:r>
      <w:r w:rsidR="00292533" w:rsidRPr="00292533">
        <w:rPr>
          <w:rFonts w:hint="cs"/>
          <w:rtl/>
        </w:rPr>
        <w:t xml:space="preserve"> وجل</w:t>
      </w:r>
      <w:r w:rsidR="00292533">
        <w:rPr>
          <w:rFonts w:hint="cs"/>
          <w:rtl/>
        </w:rPr>
        <w:t>ّ</w:t>
      </w:r>
      <w:r w:rsidR="00292533" w:rsidRPr="00292533">
        <w:rPr>
          <w:rFonts w:hint="cs"/>
          <w:rtl/>
        </w:rPr>
        <w:t>: وَتَعاوَنُوا عَلَى الْبِرِّ</w:t>
      </w:r>
      <w:r w:rsidR="0003673F">
        <w:rPr>
          <w:rFonts w:hint="cs"/>
          <w:rtl/>
        </w:rPr>
        <w:t xml:space="preserve"> و</w:t>
      </w:r>
      <w:r w:rsidR="00292533" w:rsidRPr="00292533">
        <w:rPr>
          <w:rFonts w:hint="cs"/>
          <w:rtl/>
        </w:rPr>
        <w:t>التَّقْوى</w:t>
      </w:r>
      <w:r w:rsidR="00292533">
        <w:rPr>
          <w:rFonts w:hint="cs"/>
          <w:rtl/>
        </w:rPr>
        <w:t>،</w:t>
      </w:r>
      <w:r w:rsidR="00292533" w:rsidRPr="00292533">
        <w:rPr>
          <w:rFonts w:hint="cs"/>
          <w:rtl/>
        </w:rPr>
        <w:t xml:space="preserve"> وبقوله:</w:t>
      </w:r>
      <w:r w:rsidR="00292533">
        <w:rPr>
          <w:rFonts w:hint="cs"/>
          <w:rtl/>
        </w:rPr>
        <w:t xml:space="preserve"> </w:t>
      </w:r>
      <w:r w:rsidR="00292533" w:rsidRPr="00292533">
        <w:rPr>
          <w:rFonts w:hint="cs"/>
          <w:rtl/>
        </w:rPr>
        <w:t>فَقاتِلُوا الَّتِي تَبْغِي حَتَّى تَفِي‏ءَ إِلى‏ أَمْرِ اللَّهِ‏</w:t>
      </w:r>
      <w:r w:rsidR="00292533">
        <w:rPr>
          <w:rFonts w:hint="cs"/>
          <w:rtl/>
        </w:rPr>
        <w:t>.</w:t>
      </w:r>
      <w:r w:rsidR="00292533" w:rsidRPr="00292533">
        <w:rPr>
          <w:rFonts w:hint="cs"/>
          <w:rtl/>
        </w:rPr>
        <w:t xml:space="preserve"> واعتلّوا بقول اللّه عز</w:t>
      </w:r>
      <w:r w:rsidR="00292533">
        <w:rPr>
          <w:rFonts w:hint="cs"/>
          <w:rtl/>
        </w:rPr>
        <w:t>ّ</w:t>
      </w:r>
      <w:r w:rsidR="00292533" w:rsidRPr="00292533">
        <w:rPr>
          <w:rFonts w:hint="cs"/>
          <w:rtl/>
        </w:rPr>
        <w:t xml:space="preserve"> وجل: لا يَنالُ عَهْدِي الظَّالِمِينَ‏</w:t>
      </w:r>
      <w:r w:rsidR="00292533">
        <w:rPr>
          <w:rFonts w:hint="cs"/>
          <w:rtl/>
        </w:rPr>
        <w:t>.</w:t>
      </w:r>
      <w:r w:rsidR="00292533" w:rsidRPr="00292533">
        <w:rPr>
          <w:rFonts w:hint="cs"/>
          <w:rtl/>
        </w:rPr>
        <w:t xml:space="preserve"> وقالت الروافض</w:t>
      </w:r>
      <w:r w:rsidR="00292533">
        <w:rPr>
          <w:rFonts w:hint="cs"/>
          <w:rtl/>
        </w:rPr>
        <w:t xml:space="preserve"> بإ</w:t>
      </w:r>
      <w:r w:rsidR="00292533" w:rsidRPr="00292533">
        <w:rPr>
          <w:rFonts w:hint="cs"/>
          <w:rtl/>
        </w:rPr>
        <w:t>بطال السيف ولو ق</w:t>
      </w:r>
      <w:r w:rsidR="00292533">
        <w:rPr>
          <w:rFonts w:hint="cs"/>
          <w:rtl/>
        </w:rPr>
        <w:t>ُتلت حتى يظهر الإ</w:t>
      </w:r>
      <w:r w:rsidR="00292533" w:rsidRPr="00292533">
        <w:rPr>
          <w:rFonts w:hint="cs"/>
          <w:rtl/>
        </w:rPr>
        <w:t>مام فيأمر</w:t>
      </w:r>
      <w:r w:rsidR="00292533">
        <w:rPr>
          <w:rFonts w:hint="cs"/>
          <w:rtl/>
        </w:rPr>
        <w:t>َ</w:t>
      </w:r>
      <w:r w:rsidR="00292533" w:rsidRPr="00292533">
        <w:rPr>
          <w:rFonts w:hint="cs"/>
          <w:rtl/>
        </w:rPr>
        <w:t xml:space="preserve"> بذلك</w:t>
      </w:r>
      <w:r w:rsidR="00292533">
        <w:rPr>
          <w:rFonts w:hint="cs"/>
          <w:rtl/>
        </w:rPr>
        <w:t>.</w:t>
      </w:r>
      <w:r w:rsidR="00292533" w:rsidRPr="00292533">
        <w:rPr>
          <w:rFonts w:hint="cs"/>
          <w:rtl/>
        </w:rPr>
        <w:t xml:space="preserve"> وقال </w:t>
      </w:r>
      <w:r w:rsidR="00292533">
        <w:rPr>
          <w:rFonts w:hint="cs"/>
          <w:rtl/>
        </w:rPr>
        <w:t>أبو بكر الأ</w:t>
      </w:r>
      <w:r w:rsidR="00292533" w:rsidRPr="00292533">
        <w:rPr>
          <w:rFonts w:hint="cs"/>
          <w:rtl/>
        </w:rPr>
        <w:t>صمّ</w:t>
      </w:r>
      <w:r w:rsidR="00292533">
        <w:rPr>
          <w:rFonts w:hint="cs"/>
          <w:rtl/>
        </w:rPr>
        <w:t xml:space="preserve"> </w:t>
      </w:r>
      <w:r w:rsidR="00292533" w:rsidRPr="00292533">
        <w:rPr>
          <w:rFonts w:hint="cs"/>
          <w:rtl/>
        </w:rPr>
        <w:t>ومن قال ب</w:t>
      </w:r>
      <w:r w:rsidR="00292533">
        <w:rPr>
          <w:rFonts w:hint="cs"/>
          <w:rtl/>
        </w:rPr>
        <w:t>قوله: السيف إ</w:t>
      </w:r>
      <w:r w:rsidR="00292533" w:rsidRPr="00292533">
        <w:rPr>
          <w:rFonts w:hint="cs"/>
          <w:rtl/>
        </w:rPr>
        <w:t xml:space="preserve">ذا </w:t>
      </w:r>
      <w:r w:rsidR="00292533">
        <w:rPr>
          <w:rFonts w:hint="cs"/>
          <w:rtl/>
        </w:rPr>
        <w:t>اجتمع على إ</w:t>
      </w:r>
      <w:r w:rsidR="00292533" w:rsidRPr="00292533">
        <w:rPr>
          <w:rFonts w:hint="cs"/>
          <w:rtl/>
        </w:rPr>
        <w:t>مام</w:t>
      </w:r>
      <w:r w:rsidR="00292533">
        <w:rPr>
          <w:rFonts w:hint="cs"/>
          <w:rtl/>
        </w:rPr>
        <w:t>ٍ عادل يخرجون معه فيزيل أ</w:t>
      </w:r>
      <w:r w:rsidR="00292533" w:rsidRPr="00292533">
        <w:rPr>
          <w:rFonts w:hint="cs"/>
          <w:rtl/>
        </w:rPr>
        <w:t>هل البغ</w:t>
      </w:r>
      <w:r w:rsidR="00292533">
        <w:rPr>
          <w:rFonts w:hint="cs"/>
          <w:rtl/>
        </w:rPr>
        <w:t>ي.</w:t>
      </w:r>
      <w:r w:rsidR="00292533" w:rsidRPr="00292533">
        <w:rPr>
          <w:rFonts w:hint="cs"/>
          <w:rtl/>
        </w:rPr>
        <w:t xml:space="preserve"> وقال قائلون: السيف باطل</w:t>
      </w:r>
      <w:r w:rsidR="00292533">
        <w:rPr>
          <w:rFonts w:hint="cs"/>
          <w:rtl/>
        </w:rPr>
        <w:t>ٌ</w:t>
      </w:r>
      <w:r w:rsidR="00292533" w:rsidRPr="00292533">
        <w:rPr>
          <w:rFonts w:hint="cs"/>
          <w:rtl/>
        </w:rPr>
        <w:t xml:space="preserve"> ولو قتلت الرجال وس</w:t>
      </w:r>
      <w:r w:rsidR="00292533">
        <w:rPr>
          <w:rFonts w:hint="cs"/>
          <w:rtl/>
        </w:rPr>
        <w:t>ُ</w:t>
      </w:r>
      <w:r w:rsidR="00292533" w:rsidRPr="00292533">
        <w:rPr>
          <w:rFonts w:hint="cs"/>
          <w:rtl/>
        </w:rPr>
        <w:t>بيت الذرّيّة و</w:t>
      </w:r>
      <w:r w:rsidR="00292533">
        <w:rPr>
          <w:rFonts w:hint="cs"/>
          <w:rtl/>
        </w:rPr>
        <w:t>أ</w:t>
      </w:r>
      <w:r w:rsidR="00292533" w:rsidRPr="00292533">
        <w:rPr>
          <w:rFonts w:hint="cs"/>
          <w:rtl/>
        </w:rPr>
        <w:t>ن</w:t>
      </w:r>
      <w:r w:rsidR="00292533">
        <w:rPr>
          <w:rFonts w:hint="cs"/>
          <w:rtl/>
        </w:rPr>
        <w:t>ّ الإ</w:t>
      </w:r>
      <w:r w:rsidR="00292533" w:rsidRPr="00292533">
        <w:rPr>
          <w:rFonts w:hint="cs"/>
          <w:rtl/>
        </w:rPr>
        <w:t>مام قد يكون عادلا</w:t>
      </w:r>
      <w:r w:rsidR="00292533">
        <w:rPr>
          <w:rFonts w:hint="cs"/>
          <w:rtl/>
        </w:rPr>
        <w:t>ً</w:t>
      </w:r>
      <w:r w:rsidR="00292533" w:rsidRPr="00292533">
        <w:rPr>
          <w:rFonts w:hint="cs"/>
          <w:rtl/>
        </w:rPr>
        <w:t xml:space="preserve"> ويكون غير عادل</w:t>
      </w:r>
      <w:r w:rsidR="00292533">
        <w:rPr>
          <w:rFonts w:hint="cs"/>
          <w:rtl/>
        </w:rPr>
        <w:t>،</w:t>
      </w:r>
      <w:r w:rsidR="00292533" w:rsidRPr="00292533">
        <w:rPr>
          <w:rFonts w:hint="cs"/>
          <w:rtl/>
        </w:rPr>
        <w:t xml:space="preserve"> و</w:t>
      </w:r>
      <w:r w:rsidR="00292533">
        <w:rPr>
          <w:rFonts w:hint="cs"/>
          <w:rtl/>
        </w:rPr>
        <w:t>ليس لنا إ</w:t>
      </w:r>
      <w:r w:rsidR="00292533" w:rsidRPr="00292533">
        <w:rPr>
          <w:rFonts w:hint="cs"/>
          <w:rtl/>
        </w:rPr>
        <w:t>زالته و</w:t>
      </w:r>
      <w:r w:rsidR="00292533">
        <w:rPr>
          <w:rFonts w:hint="cs"/>
          <w:rtl/>
        </w:rPr>
        <w:t>إ</w:t>
      </w:r>
      <w:r w:rsidR="00292533" w:rsidRPr="00292533">
        <w:rPr>
          <w:rFonts w:hint="cs"/>
          <w:rtl/>
        </w:rPr>
        <w:t>ن</w:t>
      </w:r>
      <w:r w:rsidR="00292533">
        <w:rPr>
          <w:rFonts w:hint="cs"/>
          <w:rtl/>
        </w:rPr>
        <w:t xml:space="preserve"> </w:t>
      </w:r>
      <w:r w:rsidR="00292533" w:rsidRPr="00292533">
        <w:rPr>
          <w:rFonts w:hint="cs"/>
          <w:rtl/>
        </w:rPr>
        <w:t>كان فاسقا</w:t>
      </w:r>
      <w:r w:rsidR="00292533">
        <w:rPr>
          <w:rFonts w:hint="cs"/>
          <w:rtl/>
        </w:rPr>
        <w:t>ً،</w:t>
      </w:r>
      <w:r w:rsidR="00292533" w:rsidRPr="00292533">
        <w:rPr>
          <w:rFonts w:hint="cs"/>
          <w:rtl/>
        </w:rPr>
        <w:t xml:space="preserve"> و</w:t>
      </w:r>
      <w:r w:rsidR="00292533">
        <w:rPr>
          <w:rFonts w:hint="cs"/>
          <w:rtl/>
        </w:rPr>
        <w:t>أ</w:t>
      </w:r>
      <w:r w:rsidR="00292533" w:rsidRPr="00292533">
        <w:rPr>
          <w:rFonts w:hint="cs"/>
          <w:rtl/>
        </w:rPr>
        <w:t>نكروا الخروج على السلطان ولم يروه، وهذا قول</w:t>
      </w:r>
      <w:r w:rsidR="00292533">
        <w:rPr>
          <w:rFonts w:hint="cs"/>
          <w:rtl/>
        </w:rPr>
        <w:t xml:space="preserve"> أصحاب الحديث.</w:t>
      </w:r>
      <w:r w:rsidR="00292533" w:rsidRPr="00292533">
        <w:rPr>
          <w:rFonts w:hint="cs"/>
          <w:rtl/>
        </w:rPr>
        <w:t xml:space="preserve"> واختلفوا ف</w:t>
      </w:r>
      <w:r w:rsidR="00292533">
        <w:rPr>
          <w:rFonts w:hint="cs"/>
          <w:rtl/>
        </w:rPr>
        <w:t>ي إ</w:t>
      </w:r>
      <w:r w:rsidR="00292533" w:rsidRPr="00292533">
        <w:rPr>
          <w:rFonts w:hint="cs"/>
          <w:rtl/>
        </w:rPr>
        <w:t>نكار المنكر و</w:t>
      </w:r>
      <w:r w:rsidR="00292533">
        <w:rPr>
          <w:rFonts w:hint="cs"/>
          <w:rtl/>
        </w:rPr>
        <w:t>الأ</w:t>
      </w:r>
      <w:r w:rsidR="00292533" w:rsidRPr="00292533">
        <w:rPr>
          <w:rFonts w:hint="cs"/>
          <w:rtl/>
        </w:rPr>
        <w:t>مر بالمعروف بغير السيف</w:t>
      </w:r>
      <w:r w:rsidR="00292533">
        <w:rPr>
          <w:rFonts w:hint="cs"/>
          <w:rtl/>
        </w:rPr>
        <w:t>،</w:t>
      </w:r>
      <w:r w:rsidR="00292533" w:rsidRPr="00292533">
        <w:rPr>
          <w:rFonts w:hint="cs"/>
          <w:rtl/>
        </w:rPr>
        <w:t xml:space="preserve"> فقال قائلون: تغيّر</w:t>
      </w:r>
      <w:r w:rsidR="00292533">
        <w:rPr>
          <w:rFonts w:hint="cs"/>
          <w:rtl/>
        </w:rPr>
        <w:t xml:space="preserve"> بقلبك فإن أ</w:t>
      </w:r>
      <w:r w:rsidR="00292533" w:rsidRPr="00292533">
        <w:rPr>
          <w:rFonts w:hint="cs"/>
          <w:rtl/>
        </w:rPr>
        <w:t>مكنك فبلسانك‏</w:t>
      </w:r>
      <w:r w:rsidR="00292533">
        <w:rPr>
          <w:rFonts w:hint="cs"/>
          <w:rtl/>
        </w:rPr>
        <w:t>، فإن أ</w:t>
      </w:r>
      <w:r w:rsidR="00292533" w:rsidRPr="00292533">
        <w:rPr>
          <w:rFonts w:hint="cs"/>
          <w:rtl/>
        </w:rPr>
        <w:t>مكنك فبيدك</w:t>
      </w:r>
      <w:r w:rsidR="00292533">
        <w:rPr>
          <w:rFonts w:hint="cs"/>
          <w:rtl/>
        </w:rPr>
        <w:t>. وأ</w:t>
      </w:r>
      <w:r w:rsidR="00292533" w:rsidRPr="00292533">
        <w:rPr>
          <w:rFonts w:hint="cs"/>
          <w:rtl/>
        </w:rPr>
        <w:t>م</w:t>
      </w:r>
      <w:r w:rsidR="00292533">
        <w:rPr>
          <w:rFonts w:hint="cs"/>
          <w:rtl/>
        </w:rPr>
        <w:t>ّ</w:t>
      </w:r>
      <w:r w:rsidR="00292533" w:rsidRPr="00292533">
        <w:rPr>
          <w:rFonts w:hint="cs"/>
          <w:rtl/>
        </w:rPr>
        <w:t>ا السيف فلا يجوز، وقال قائلون: ي</w:t>
      </w:r>
      <w:r w:rsidR="00292533">
        <w:rPr>
          <w:rFonts w:hint="cs"/>
          <w:rtl/>
        </w:rPr>
        <w:t>جوز تغيير ذلك باللسان</w:t>
      </w:r>
      <w:r w:rsidR="0003673F">
        <w:rPr>
          <w:rFonts w:hint="cs"/>
          <w:rtl/>
        </w:rPr>
        <w:t xml:space="preserve"> و</w:t>
      </w:r>
      <w:r w:rsidR="00292533">
        <w:rPr>
          <w:rFonts w:hint="cs"/>
          <w:rtl/>
        </w:rPr>
        <w:t>القلب فأ</w:t>
      </w:r>
      <w:r w:rsidR="00292533" w:rsidRPr="00292533">
        <w:rPr>
          <w:rFonts w:hint="cs"/>
          <w:rtl/>
        </w:rPr>
        <w:t>م</w:t>
      </w:r>
      <w:r w:rsidR="00292533">
        <w:rPr>
          <w:rFonts w:hint="cs"/>
          <w:rtl/>
        </w:rPr>
        <w:t>ّ</w:t>
      </w:r>
      <w:r w:rsidR="00292533" w:rsidRPr="00292533">
        <w:rPr>
          <w:rFonts w:hint="cs"/>
          <w:rtl/>
        </w:rPr>
        <w:t>ا باليد فلا</w:t>
      </w:r>
      <w:r w:rsidR="00292533">
        <w:rPr>
          <w:rFonts w:hint="eastAsia"/>
          <w:rtl/>
        </w:rPr>
        <w:t>»</w:t>
      </w:r>
      <w:r w:rsidR="00292533" w:rsidRPr="000A4159">
        <w:rPr>
          <w:rFonts w:cs="Taher"/>
          <w:vertAlign w:val="superscript"/>
          <w:rtl/>
        </w:rPr>
        <w:t>(</w:t>
      </w:r>
      <w:r w:rsidR="00292533" w:rsidRPr="000A4159">
        <w:rPr>
          <w:rStyle w:val="FootnoteReference"/>
          <w:rFonts w:cs="Taher"/>
          <w:rtl/>
        </w:rPr>
        <w:footnoteReference w:id="5"/>
      </w:r>
      <w:r w:rsidR="00292533" w:rsidRPr="000A4159">
        <w:rPr>
          <w:rFonts w:cs="Taher"/>
          <w:vertAlign w:val="superscript"/>
          <w:rtl/>
        </w:rPr>
        <w:t>)</w:t>
      </w:r>
      <w:r w:rsidR="00292533">
        <w:rPr>
          <w:rFonts w:hint="eastAsia"/>
          <w:rtl/>
        </w:rPr>
        <w:t>.</w:t>
      </w:r>
    </w:p>
    <w:p w14:paraId="0A50247A" w14:textId="77777777" w:rsidR="00292533" w:rsidRPr="00624606" w:rsidRDefault="00292533" w:rsidP="00292533">
      <w:pPr>
        <w:spacing w:line="214" w:lineRule="auto"/>
        <w:rPr>
          <w:b/>
          <w:bCs/>
          <w:rtl/>
        </w:rPr>
      </w:pPr>
      <w:r w:rsidRPr="00624606">
        <w:rPr>
          <w:rFonts w:hint="cs"/>
          <w:b/>
          <w:bCs/>
          <w:rtl/>
        </w:rPr>
        <w:t>وبهذا تكون هناك أربعة اتجاهات</w:t>
      </w:r>
      <w:r w:rsidR="00624606">
        <w:rPr>
          <w:rFonts w:hint="cs"/>
          <w:b/>
          <w:bCs/>
          <w:rtl/>
        </w:rPr>
        <w:t xml:space="preserve"> وفق لعرض أبي الحسن الأشعري</w:t>
      </w:r>
      <w:r w:rsidRPr="00624606">
        <w:rPr>
          <w:rFonts w:hint="cs"/>
          <w:b/>
          <w:bCs/>
          <w:rtl/>
        </w:rPr>
        <w:t>:</w:t>
      </w:r>
    </w:p>
    <w:p w14:paraId="3F9419B0" w14:textId="77777777" w:rsidR="00292533" w:rsidRPr="00822CE9" w:rsidRDefault="00292533" w:rsidP="00292533">
      <w:pPr>
        <w:spacing w:line="214" w:lineRule="auto"/>
        <w:rPr>
          <w:rtl/>
        </w:rPr>
      </w:pPr>
      <w:r>
        <w:rPr>
          <w:rFonts w:hint="cs"/>
          <w:b/>
          <w:bCs/>
          <w:rtl/>
        </w:rPr>
        <w:t>الاتجاه الأوّل</w:t>
      </w:r>
      <w:r w:rsidRPr="00D256C8">
        <w:rPr>
          <w:rFonts w:hint="cs"/>
          <w:b/>
          <w:bCs/>
          <w:rtl/>
        </w:rPr>
        <w:t>:</w:t>
      </w:r>
      <w:r w:rsidRPr="00822CE9">
        <w:rPr>
          <w:rFonts w:hint="cs"/>
          <w:rtl/>
        </w:rPr>
        <w:t xml:space="preserve"> وجوب إزالة الظالم ولو بالسيف، ن</w:t>
      </w:r>
      <w:r>
        <w:rPr>
          <w:rFonts w:hint="cs"/>
          <w:rtl/>
        </w:rPr>
        <w:t>ُ</w:t>
      </w:r>
      <w:r w:rsidRPr="00822CE9">
        <w:rPr>
          <w:rFonts w:hint="cs"/>
          <w:rtl/>
        </w:rPr>
        <w:t>سب ذلك إلى المعتزلة والزيدي</w:t>
      </w:r>
      <w:r>
        <w:rPr>
          <w:rFonts w:hint="cs"/>
          <w:rtl/>
        </w:rPr>
        <w:t>ّ</w:t>
      </w:r>
      <w:r w:rsidRPr="00822CE9">
        <w:rPr>
          <w:rFonts w:hint="cs"/>
          <w:rtl/>
        </w:rPr>
        <w:t xml:space="preserve">ة والخوارج </w:t>
      </w:r>
      <w:r w:rsidRPr="00822CE9">
        <w:rPr>
          <w:rFonts w:hint="cs"/>
          <w:rtl/>
        </w:rPr>
        <w:lastRenderedPageBreak/>
        <w:t>وكثير من المرجئة.</w:t>
      </w:r>
    </w:p>
    <w:p w14:paraId="2FAA45B6" w14:textId="77777777" w:rsidR="00292533" w:rsidRPr="00822CE9" w:rsidRDefault="00292533" w:rsidP="00292533">
      <w:pPr>
        <w:spacing w:line="214" w:lineRule="auto"/>
        <w:rPr>
          <w:rtl/>
        </w:rPr>
      </w:pPr>
      <w:r w:rsidRPr="00D256C8">
        <w:rPr>
          <w:rFonts w:hint="cs"/>
          <w:b/>
          <w:bCs/>
          <w:rtl/>
        </w:rPr>
        <w:t>الاتجاه الثاني:</w:t>
      </w:r>
      <w:r w:rsidRPr="00822CE9">
        <w:rPr>
          <w:rFonts w:hint="cs"/>
          <w:rtl/>
        </w:rPr>
        <w:t xml:space="preserve"> ما نسبه إلى الروافض حسب تعبيره، من القول بإبطال السيف، حتى لو ق</w:t>
      </w:r>
      <w:r>
        <w:rPr>
          <w:rFonts w:hint="cs"/>
          <w:rtl/>
        </w:rPr>
        <w:t>َ</w:t>
      </w:r>
      <w:r w:rsidRPr="00822CE9">
        <w:rPr>
          <w:rFonts w:hint="cs"/>
          <w:rtl/>
        </w:rPr>
        <w:t>ت</w:t>
      </w:r>
      <w:r>
        <w:rPr>
          <w:rFonts w:hint="cs"/>
          <w:rtl/>
        </w:rPr>
        <w:t>َ</w:t>
      </w:r>
      <w:r w:rsidRPr="00822CE9">
        <w:rPr>
          <w:rFonts w:hint="cs"/>
          <w:rtl/>
        </w:rPr>
        <w:t>ل الحاكم</w:t>
      </w:r>
      <w:r>
        <w:rPr>
          <w:rFonts w:hint="cs"/>
          <w:rtl/>
        </w:rPr>
        <w:t>ُ</w:t>
      </w:r>
      <w:r w:rsidRPr="00822CE9">
        <w:rPr>
          <w:rFonts w:hint="cs"/>
          <w:rtl/>
        </w:rPr>
        <w:t xml:space="preserve"> ما قتل، وأنّ هذا الأمر موكول لظهور الإمام عندهم.</w:t>
      </w:r>
    </w:p>
    <w:p w14:paraId="3241299D" w14:textId="77777777" w:rsidR="00292533" w:rsidRPr="00822CE9" w:rsidRDefault="00292533" w:rsidP="00BD7466">
      <w:pPr>
        <w:spacing w:line="214" w:lineRule="auto"/>
        <w:rPr>
          <w:rtl/>
        </w:rPr>
      </w:pPr>
      <w:r w:rsidRPr="00D256C8">
        <w:rPr>
          <w:rFonts w:hint="cs"/>
          <w:b/>
          <w:bCs/>
          <w:rtl/>
        </w:rPr>
        <w:t xml:space="preserve">الاتجاه الثالث: </w:t>
      </w:r>
      <w:r w:rsidRPr="00822CE9">
        <w:rPr>
          <w:rFonts w:hint="cs"/>
          <w:rtl/>
        </w:rPr>
        <w:t>ما ذهب إليه أبو بكر الأصم</w:t>
      </w:r>
      <w:r>
        <w:rPr>
          <w:rFonts w:hint="cs"/>
          <w:rtl/>
        </w:rPr>
        <w:t>ّ المعتزلي (200 أو 201هـ)</w:t>
      </w:r>
      <w:r w:rsidR="00BD7466" w:rsidRPr="000A4159">
        <w:rPr>
          <w:rFonts w:cs="Taher"/>
          <w:vertAlign w:val="superscript"/>
          <w:rtl/>
        </w:rPr>
        <w:t>(</w:t>
      </w:r>
      <w:r w:rsidR="00BD7466" w:rsidRPr="000A4159">
        <w:rPr>
          <w:rStyle w:val="FootnoteReference"/>
          <w:rFonts w:cs="Taher"/>
          <w:rtl/>
        </w:rPr>
        <w:footnoteReference w:id="6"/>
      </w:r>
      <w:r w:rsidR="00BD7466" w:rsidRPr="000A4159">
        <w:rPr>
          <w:rFonts w:cs="Taher"/>
          <w:vertAlign w:val="superscript"/>
          <w:rtl/>
        </w:rPr>
        <w:t>)</w:t>
      </w:r>
      <w:r w:rsidR="00BD7466">
        <w:rPr>
          <w:rFonts w:hint="cs"/>
          <w:rtl/>
        </w:rPr>
        <w:t>،</w:t>
      </w:r>
      <w:r>
        <w:rPr>
          <w:rFonts w:hint="cs"/>
          <w:rtl/>
        </w:rPr>
        <w:t xml:space="preserve"> و</w:t>
      </w:r>
      <w:r w:rsidRPr="00822CE9">
        <w:rPr>
          <w:rFonts w:hint="cs"/>
          <w:rtl/>
        </w:rPr>
        <w:t xml:space="preserve">من </w:t>
      </w:r>
      <w:r>
        <w:rPr>
          <w:rFonts w:hint="cs"/>
          <w:rtl/>
        </w:rPr>
        <w:t>معه،</w:t>
      </w:r>
      <w:r w:rsidRPr="00822CE9">
        <w:rPr>
          <w:rFonts w:hint="cs"/>
          <w:rtl/>
        </w:rPr>
        <w:t xml:space="preserve"> من </w:t>
      </w:r>
      <w:r w:rsidRPr="00822CE9">
        <w:rPr>
          <w:rFonts w:hint="cs"/>
          <w:rtl/>
        </w:rPr>
        <w:lastRenderedPageBreak/>
        <w:t>وجوب الخروج بالسيف بشرط حصول اجتماعٍ على إمام</w:t>
      </w:r>
      <w:r>
        <w:rPr>
          <w:rFonts w:hint="cs"/>
          <w:rtl/>
        </w:rPr>
        <w:t>ٍ</w:t>
      </w:r>
      <w:r w:rsidRPr="00822CE9">
        <w:rPr>
          <w:rFonts w:hint="cs"/>
          <w:rtl/>
        </w:rPr>
        <w:t xml:space="preserve"> عادل يخرجون معه.</w:t>
      </w:r>
    </w:p>
    <w:p w14:paraId="08E6455A" w14:textId="77777777" w:rsidR="00292533" w:rsidRPr="00822CE9" w:rsidRDefault="00292533" w:rsidP="00292533">
      <w:pPr>
        <w:spacing w:line="214" w:lineRule="auto"/>
        <w:rPr>
          <w:rtl/>
        </w:rPr>
      </w:pPr>
      <w:r w:rsidRPr="00D256C8">
        <w:rPr>
          <w:rFonts w:hint="cs"/>
          <w:b/>
          <w:bCs/>
          <w:rtl/>
        </w:rPr>
        <w:t xml:space="preserve">الاتجاه الرابع: </w:t>
      </w:r>
      <w:r w:rsidRPr="00822CE9">
        <w:rPr>
          <w:rFonts w:hint="cs"/>
          <w:rtl/>
        </w:rPr>
        <w:t>ما ذهب إليه أصحاب الحديث</w:t>
      </w:r>
      <w:r>
        <w:rPr>
          <w:rFonts w:hint="cs"/>
          <w:rtl/>
        </w:rPr>
        <w:t>،</w:t>
      </w:r>
      <w:r w:rsidRPr="00822CE9">
        <w:rPr>
          <w:rFonts w:hint="cs"/>
          <w:rtl/>
        </w:rPr>
        <w:t xml:space="preserve"> من بطلان الخروج بالسيف، ف</w:t>
      </w:r>
      <w:r>
        <w:rPr>
          <w:rFonts w:hint="cs"/>
          <w:rtl/>
        </w:rPr>
        <w:t>َ</w:t>
      </w:r>
      <w:r w:rsidRPr="00822CE9">
        <w:rPr>
          <w:rFonts w:hint="cs"/>
          <w:rtl/>
        </w:rPr>
        <w:t>ع</w:t>
      </w:r>
      <w:r>
        <w:rPr>
          <w:rFonts w:hint="cs"/>
          <w:rtl/>
        </w:rPr>
        <w:t>َ</w:t>
      </w:r>
      <w:r w:rsidRPr="00822CE9">
        <w:rPr>
          <w:rFonts w:hint="cs"/>
          <w:rtl/>
        </w:rPr>
        <w:t>ل الحاكم ما فعل.</w:t>
      </w:r>
    </w:p>
    <w:p w14:paraId="04FF54F5" w14:textId="77777777" w:rsidR="000A4159" w:rsidRPr="00822CE9" w:rsidRDefault="000A4159" w:rsidP="004718AC">
      <w:pPr>
        <w:spacing w:line="214" w:lineRule="auto"/>
        <w:rPr>
          <w:rtl/>
        </w:rPr>
      </w:pPr>
      <w:r w:rsidRPr="00822CE9">
        <w:rPr>
          <w:rFonts w:hint="cs"/>
          <w:rtl/>
        </w:rPr>
        <w:t>ومن خلال هذا التقسيم الرباعي الذي يضعه الأشعري، يتبي</w:t>
      </w:r>
      <w:r w:rsidR="00840172">
        <w:rPr>
          <w:rFonts w:hint="cs"/>
          <w:rtl/>
        </w:rPr>
        <w:t>ّ</w:t>
      </w:r>
      <w:r w:rsidRPr="00822CE9">
        <w:rPr>
          <w:rFonts w:hint="cs"/>
          <w:rtl/>
        </w:rPr>
        <w:t>ن وجود انقسام حادّ بين الاتجاهات الإسلامي</w:t>
      </w:r>
      <w:r w:rsidR="00840172">
        <w:rPr>
          <w:rFonts w:hint="cs"/>
          <w:rtl/>
        </w:rPr>
        <w:t>ّ</w:t>
      </w:r>
      <w:r w:rsidRPr="00822CE9">
        <w:rPr>
          <w:rFonts w:hint="cs"/>
          <w:rtl/>
        </w:rPr>
        <w:t>ة، كما فيما بين الزيدية وأهل الحديث، والملفت أن</w:t>
      </w:r>
      <w:r w:rsidR="00840172">
        <w:rPr>
          <w:rFonts w:hint="cs"/>
          <w:rtl/>
        </w:rPr>
        <w:t>ّ</w:t>
      </w:r>
      <w:r w:rsidRPr="00822CE9">
        <w:rPr>
          <w:rFonts w:hint="cs"/>
          <w:rtl/>
        </w:rPr>
        <w:t xml:space="preserve"> الأشعري</w:t>
      </w:r>
      <w:r w:rsidR="00840172">
        <w:rPr>
          <w:rFonts w:hint="cs"/>
          <w:rtl/>
        </w:rPr>
        <w:t>ّ</w:t>
      </w:r>
      <w:r w:rsidRPr="00822CE9">
        <w:rPr>
          <w:rFonts w:hint="cs"/>
          <w:rtl/>
        </w:rPr>
        <w:t xml:space="preserve"> ينسب إبطال السيف إلى الشيعة إلا مع ظهور الإمام، وهذا يدلّ ـ على الأقل</w:t>
      </w:r>
      <w:r w:rsidR="00840172">
        <w:rPr>
          <w:rFonts w:hint="cs"/>
          <w:rtl/>
        </w:rPr>
        <w:t>ّ</w:t>
      </w:r>
      <w:r w:rsidRPr="00822CE9">
        <w:rPr>
          <w:rFonts w:hint="cs"/>
          <w:rtl/>
        </w:rPr>
        <w:t xml:space="preserve"> ـ على اشتهار هذا الحكم شيعي</w:t>
      </w:r>
      <w:r w:rsidR="00840172">
        <w:rPr>
          <w:rFonts w:hint="cs"/>
          <w:rtl/>
        </w:rPr>
        <w:t>ّ</w:t>
      </w:r>
      <w:r w:rsidRPr="00822CE9">
        <w:rPr>
          <w:rFonts w:hint="cs"/>
          <w:rtl/>
        </w:rPr>
        <w:t>اً في عصره وما قاربه</w:t>
      </w:r>
      <w:r w:rsidR="004718AC">
        <w:rPr>
          <w:rFonts w:hint="cs"/>
          <w:rtl/>
        </w:rPr>
        <w:t>، وهو عصر الغيبة الصغرى في التصنيف الزمني عند الشيعة الإماميّة</w:t>
      </w:r>
      <w:r w:rsidRPr="00822CE9">
        <w:rPr>
          <w:rFonts w:hint="cs"/>
          <w:rtl/>
        </w:rPr>
        <w:t>.</w:t>
      </w:r>
    </w:p>
    <w:p w14:paraId="526AE483" w14:textId="77777777" w:rsidR="000A4159" w:rsidRDefault="000A4159" w:rsidP="00306426">
      <w:pPr>
        <w:rPr>
          <w:rtl/>
        </w:rPr>
      </w:pPr>
      <w:r w:rsidRPr="00C47467">
        <w:rPr>
          <w:rFonts w:hint="cs"/>
          <w:b/>
          <w:bCs/>
          <w:rtl/>
        </w:rPr>
        <w:t>ويذهب ابن حزم الأندلسي ممثلاً ـ تقريباً ـ اتجاه المذهب الظاهري،</w:t>
      </w:r>
      <w:r w:rsidRPr="00822CE9">
        <w:rPr>
          <w:rFonts w:hint="cs"/>
          <w:rtl/>
        </w:rPr>
        <w:t xml:space="preserve"> إلى أنّ الخروج واجب، ويعقد له عد</w:t>
      </w:r>
      <w:r w:rsidR="00C47467">
        <w:rPr>
          <w:rFonts w:hint="cs"/>
          <w:rtl/>
        </w:rPr>
        <w:t>ّة أدلّة، بل يدّعي</w:t>
      </w:r>
      <w:r w:rsidRPr="00822CE9">
        <w:rPr>
          <w:rFonts w:hint="cs"/>
          <w:rtl/>
        </w:rPr>
        <w:t xml:space="preserve"> أن</w:t>
      </w:r>
      <w:r w:rsidR="00C47467">
        <w:rPr>
          <w:rFonts w:hint="cs"/>
          <w:rtl/>
        </w:rPr>
        <w:t>ّ</w:t>
      </w:r>
      <w:r w:rsidRPr="00822CE9">
        <w:rPr>
          <w:rFonts w:hint="cs"/>
          <w:rtl/>
        </w:rPr>
        <w:t xml:space="preserve"> أيّ نصّ ديني يتحدّث عن طاعة الحاكم الفاسق وموادعته منسوخ</w:t>
      </w:r>
      <w:r w:rsidR="00C47467">
        <w:rPr>
          <w:rFonts w:hint="cs"/>
          <w:rtl/>
        </w:rPr>
        <w:t>ٌ</w:t>
      </w:r>
      <w:r w:rsidRPr="00822CE9">
        <w:rPr>
          <w:rFonts w:hint="cs"/>
          <w:rtl/>
        </w:rPr>
        <w:t>، وينسب هذا الرأي في وجوب الجهاد هنا إلى كل</w:t>
      </w:r>
      <w:r w:rsidR="00C47467">
        <w:rPr>
          <w:rFonts w:hint="cs"/>
          <w:rtl/>
        </w:rPr>
        <w:t>ّ</w:t>
      </w:r>
      <w:r w:rsidRPr="00822CE9">
        <w:rPr>
          <w:rFonts w:hint="cs"/>
          <w:rtl/>
        </w:rPr>
        <w:t xml:space="preserve"> من علي</w:t>
      </w:r>
      <w:r w:rsidR="00C47467">
        <w:rPr>
          <w:rFonts w:hint="cs"/>
          <w:rtl/>
        </w:rPr>
        <w:t>ّ بن أ</w:t>
      </w:r>
      <w:r w:rsidRPr="00822CE9">
        <w:rPr>
          <w:rFonts w:hint="cs"/>
          <w:rtl/>
        </w:rPr>
        <w:t>بي طالب ومن معه من الصحابة، وعائشة وطلحة والزبير ومن معهم، ومعاوية ومن معه، والحسين بن علي، وعبد الله بن الزبير، وكل</w:t>
      </w:r>
      <w:r w:rsidR="00C47467">
        <w:rPr>
          <w:rFonts w:hint="cs"/>
          <w:rtl/>
        </w:rPr>
        <w:t>ّ</w:t>
      </w:r>
      <w:r w:rsidRPr="00822CE9">
        <w:rPr>
          <w:rFonts w:hint="cs"/>
          <w:rtl/>
        </w:rPr>
        <w:t xml:space="preserve"> من قام في الحرّة من الصحابة والتابعين</w:t>
      </w:r>
      <w:r w:rsidRPr="000A4159">
        <w:rPr>
          <w:rFonts w:cs="Taher"/>
          <w:vertAlign w:val="superscript"/>
          <w:rtl/>
        </w:rPr>
        <w:t>(</w:t>
      </w:r>
      <w:r w:rsidRPr="000A4159">
        <w:rPr>
          <w:rStyle w:val="FootnoteReference"/>
          <w:rFonts w:cs="Taher"/>
          <w:rtl/>
        </w:rPr>
        <w:footnoteReference w:id="7"/>
      </w:r>
      <w:r w:rsidRPr="000A4159">
        <w:rPr>
          <w:rFonts w:cs="Taher"/>
          <w:vertAlign w:val="superscript"/>
          <w:rtl/>
        </w:rPr>
        <w:t>)</w:t>
      </w:r>
      <w:r w:rsidRPr="00822CE9">
        <w:rPr>
          <w:rFonts w:hint="cs"/>
          <w:rtl/>
        </w:rPr>
        <w:t>.</w:t>
      </w:r>
    </w:p>
    <w:p w14:paraId="69CD678E" w14:textId="77777777" w:rsidR="008840A0" w:rsidRPr="00822CE9" w:rsidRDefault="008840A0" w:rsidP="00587DF9">
      <w:pPr>
        <w:spacing w:line="214" w:lineRule="auto"/>
        <w:rPr>
          <w:rtl/>
        </w:rPr>
      </w:pPr>
      <w:r>
        <w:rPr>
          <w:rFonts w:hint="cs"/>
          <w:rtl/>
        </w:rPr>
        <w:t xml:space="preserve">كما ينسب بعضُ أهل الملل والنحل للجهم بن صفوان </w:t>
      </w:r>
      <w:r w:rsidR="004E389C">
        <w:rPr>
          <w:rFonts w:hint="cs"/>
          <w:rtl/>
        </w:rPr>
        <w:t xml:space="preserve">السمرقندي (128هـ) </w:t>
      </w:r>
      <w:r>
        <w:rPr>
          <w:rFonts w:hint="cs"/>
          <w:rtl/>
        </w:rPr>
        <w:t>القول</w:t>
      </w:r>
      <w:r w:rsidR="004E389C">
        <w:rPr>
          <w:rFonts w:hint="cs"/>
          <w:rtl/>
        </w:rPr>
        <w:t>َ</w:t>
      </w:r>
      <w:r>
        <w:rPr>
          <w:rFonts w:hint="cs"/>
          <w:rtl/>
        </w:rPr>
        <w:t xml:space="preserve"> بجواز الخروج على السلطان الجائر</w:t>
      </w:r>
      <w:r w:rsidR="00587DF9">
        <w:rPr>
          <w:rFonts w:hint="cs"/>
          <w:rtl/>
        </w:rPr>
        <w:t>، بل ممارسته بنفسه للخروج</w:t>
      </w:r>
      <w:r w:rsidRPr="000A4159">
        <w:rPr>
          <w:rFonts w:cs="Taher"/>
          <w:vertAlign w:val="superscript"/>
          <w:rtl/>
        </w:rPr>
        <w:t>(</w:t>
      </w:r>
      <w:r w:rsidRPr="000A4159">
        <w:rPr>
          <w:rStyle w:val="FootnoteReference"/>
          <w:rFonts w:cs="Taher"/>
          <w:rtl/>
        </w:rPr>
        <w:footnoteReference w:id="8"/>
      </w:r>
      <w:r w:rsidRPr="000A4159">
        <w:rPr>
          <w:rFonts w:cs="Taher"/>
          <w:vertAlign w:val="superscript"/>
          <w:rtl/>
        </w:rPr>
        <w:t>)</w:t>
      </w:r>
      <w:r>
        <w:rPr>
          <w:rFonts w:hint="cs"/>
          <w:rtl/>
        </w:rPr>
        <w:t>.</w:t>
      </w:r>
    </w:p>
    <w:p w14:paraId="080A96FE" w14:textId="77777777" w:rsidR="000A4159" w:rsidRPr="00822CE9" w:rsidRDefault="000A4159" w:rsidP="00C47467">
      <w:pPr>
        <w:spacing w:line="214" w:lineRule="auto"/>
        <w:rPr>
          <w:rtl/>
        </w:rPr>
      </w:pPr>
      <w:r w:rsidRPr="00624606">
        <w:rPr>
          <w:rFonts w:hint="cs"/>
          <w:b/>
          <w:bCs/>
          <w:rtl/>
        </w:rPr>
        <w:lastRenderedPageBreak/>
        <w:t>ويبتعد الفقيه</w:t>
      </w:r>
      <w:r w:rsidR="00C47467" w:rsidRPr="00624606">
        <w:rPr>
          <w:rFonts w:hint="cs"/>
          <w:b/>
          <w:bCs/>
          <w:rtl/>
        </w:rPr>
        <w:t>ُ</w:t>
      </w:r>
      <w:r w:rsidRPr="00624606">
        <w:rPr>
          <w:rFonts w:hint="cs"/>
          <w:b/>
          <w:bCs/>
          <w:rtl/>
        </w:rPr>
        <w:t xml:space="preserve"> النووي في شرحه على صحيح مسلم عن ابن حزم ابتعاد السماء عن الأرض،</w:t>
      </w:r>
      <w:r w:rsidRPr="00822CE9">
        <w:rPr>
          <w:rFonts w:hint="cs"/>
          <w:rtl/>
        </w:rPr>
        <w:t xml:space="preserve"> فيرى الخروج على الحاكم ـ ولو فاسقاً ـ حرام</w:t>
      </w:r>
      <w:r w:rsidR="00C47467">
        <w:rPr>
          <w:rFonts w:hint="cs"/>
          <w:rtl/>
        </w:rPr>
        <w:t>اً</w:t>
      </w:r>
      <w:r w:rsidRPr="00822CE9">
        <w:rPr>
          <w:rFonts w:hint="cs"/>
          <w:rtl/>
        </w:rPr>
        <w:t xml:space="preserve"> بإجماع المسلمين</w:t>
      </w:r>
      <w:r w:rsidR="00C47467">
        <w:rPr>
          <w:rFonts w:hint="cs"/>
          <w:rtl/>
        </w:rPr>
        <w:t>.</w:t>
      </w:r>
      <w:r w:rsidRPr="00822CE9">
        <w:rPr>
          <w:rFonts w:hint="cs"/>
          <w:rtl/>
        </w:rPr>
        <w:t xml:space="preserve"> وقد نسب ذلك القاضي عياض اليحصبي ـ فيما نقله عنه النووي ـ إلى جماهير أهل السنّة</w:t>
      </w:r>
      <w:r w:rsidRPr="000A4159">
        <w:rPr>
          <w:rFonts w:cs="Taher"/>
          <w:vertAlign w:val="superscript"/>
          <w:rtl/>
        </w:rPr>
        <w:t>(</w:t>
      </w:r>
      <w:r w:rsidRPr="000A4159">
        <w:rPr>
          <w:rStyle w:val="FootnoteReference"/>
          <w:rFonts w:cs="Taher"/>
          <w:rtl/>
        </w:rPr>
        <w:footnoteReference w:id="9"/>
      </w:r>
      <w:r w:rsidRPr="000A4159">
        <w:rPr>
          <w:rFonts w:cs="Taher"/>
          <w:vertAlign w:val="superscript"/>
          <w:rtl/>
        </w:rPr>
        <w:t>)</w:t>
      </w:r>
      <w:r w:rsidRPr="00822CE9">
        <w:rPr>
          <w:rFonts w:hint="cs"/>
          <w:rtl/>
        </w:rPr>
        <w:t>.</w:t>
      </w:r>
    </w:p>
    <w:p w14:paraId="194F510A" w14:textId="77777777" w:rsidR="000A4159" w:rsidRPr="00822CE9" w:rsidRDefault="000A4159" w:rsidP="00A079D6">
      <w:pPr>
        <w:spacing w:line="214" w:lineRule="auto"/>
        <w:rPr>
          <w:rtl/>
        </w:rPr>
      </w:pPr>
      <w:r w:rsidRPr="00624606">
        <w:rPr>
          <w:rFonts w:hint="cs"/>
          <w:b/>
          <w:bCs/>
          <w:rtl/>
        </w:rPr>
        <w:t>وبملاحظة مواقف أهل السنّة نجد تمييزاً بين كفر الحاكم وفسقه،</w:t>
      </w:r>
      <w:r w:rsidRPr="00822CE9">
        <w:rPr>
          <w:rFonts w:hint="cs"/>
          <w:rtl/>
        </w:rPr>
        <w:t xml:space="preserve"> ففي الكفر الصريح يجاه</w:t>
      </w:r>
      <w:r w:rsidR="00C47467">
        <w:rPr>
          <w:rFonts w:hint="cs"/>
          <w:rtl/>
        </w:rPr>
        <w:t>َ</w:t>
      </w:r>
      <w:r w:rsidRPr="00822CE9">
        <w:rPr>
          <w:rFonts w:hint="cs"/>
          <w:rtl/>
        </w:rPr>
        <w:t>د ولو بالسيف، أم</w:t>
      </w:r>
      <w:r w:rsidR="00C47467">
        <w:rPr>
          <w:rFonts w:hint="cs"/>
          <w:rtl/>
        </w:rPr>
        <w:t>ّ</w:t>
      </w:r>
      <w:r w:rsidRPr="00822CE9">
        <w:rPr>
          <w:rFonts w:hint="cs"/>
          <w:rtl/>
        </w:rPr>
        <w:t>ا في غيره فلا، كما نجد تمييزاً عند بعضهم بين فسق الإمام وبين تبديله في الدين، فيخرج عليه في الثاني دون الأو</w:t>
      </w:r>
      <w:r w:rsidR="00C47467">
        <w:rPr>
          <w:rFonts w:hint="cs"/>
          <w:rtl/>
        </w:rPr>
        <w:t>ّ</w:t>
      </w:r>
      <w:r w:rsidRPr="00822CE9">
        <w:rPr>
          <w:rFonts w:hint="cs"/>
          <w:rtl/>
        </w:rPr>
        <w:t>ل، ومرجع التمييز الثاني إلى الأو</w:t>
      </w:r>
      <w:r w:rsidR="00C47467">
        <w:rPr>
          <w:rFonts w:hint="cs"/>
          <w:rtl/>
        </w:rPr>
        <w:t>ّ</w:t>
      </w:r>
      <w:r w:rsidRPr="00822CE9">
        <w:rPr>
          <w:rFonts w:hint="cs"/>
          <w:rtl/>
        </w:rPr>
        <w:t>ل.</w:t>
      </w:r>
    </w:p>
    <w:p w14:paraId="12E49A0B" w14:textId="77777777" w:rsidR="000A4159" w:rsidRPr="000C6695" w:rsidRDefault="000A4159" w:rsidP="00306426">
      <w:pPr>
        <w:rPr>
          <w:b/>
          <w:bCs/>
          <w:rtl/>
        </w:rPr>
      </w:pPr>
      <w:r w:rsidRPr="00C47467">
        <w:rPr>
          <w:rFonts w:hint="cs"/>
          <w:b/>
          <w:bCs/>
          <w:rtl/>
        </w:rPr>
        <w:t>أما في الوسط الشيعي</w:t>
      </w:r>
      <w:r w:rsidR="00C47467">
        <w:rPr>
          <w:rFonts w:hint="cs"/>
          <w:b/>
          <w:bCs/>
          <w:rtl/>
        </w:rPr>
        <w:t xml:space="preserve"> الإمامي</w:t>
      </w:r>
      <w:r w:rsidRPr="00C47467">
        <w:rPr>
          <w:rFonts w:hint="cs"/>
          <w:b/>
          <w:bCs/>
          <w:rtl/>
        </w:rPr>
        <w:t xml:space="preserve">، </w:t>
      </w:r>
      <w:r w:rsidRPr="00822CE9">
        <w:rPr>
          <w:rFonts w:hint="cs"/>
          <w:rtl/>
        </w:rPr>
        <w:t>فقد سادت ولفترات طويلة نظري</w:t>
      </w:r>
      <w:r w:rsidR="00C47467">
        <w:rPr>
          <w:rFonts w:hint="cs"/>
          <w:rtl/>
        </w:rPr>
        <w:t>ّ</w:t>
      </w:r>
      <w:r w:rsidRPr="00822CE9">
        <w:rPr>
          <w:rFonts w:hint="cs"/>
          <w:rtl/>
        </w:rPr>
        <w:t>ة عدم الخروج المسلّح على الحاكم، ربما لقلّة الإمكانات أحياناً، إلا أنّ هذا الموضوع عاد للتداول في بدايات النصف الثاني من القرن العشرين، مصاحباً لحركة ان</w:t>
      </w:r>
      <w:r w:rsidR="00624606">
        <w:rPr>
          <w:rFonts w:hint="cs"/>
          <w:rtl/>
        </w:rPr>
        <w:t xml:space="preserve">طلاق الحركة </w:t>
      </w:r>
      <w:r w:rsidRPr="00822CE9">
        <w:rPr>
          <w:rFonts w:hint="cs"/>
          <w:rtl/>
        </w:rPr>
        <w:t>الإسلامي</w:t>
      </w:r>
      <w:r w:rsidR="00C47467">
        <w:rPr>
          <w:rFonts w:hint="cs"/>
          <w:rtl/>
        </w:rPr>
        <w:t>ّ</w:t>
      </w:r>
      <w:r w:rsidRPr="00822CE9">
        <w:rPr>
          <w:rFonts w:hint="cs"/>
          <w:rtl/>
        </w:rPr>
        <w:t xml:space="preserve">ة في إيران والعراق ولبنان، وانقسم الفقهاء فريقين: أحدهما موافق والآخر مخالف، </w:t>
      </w:r>
      <w:r w:rsidRPr="000C6695">
        <w:rPr>
          <w:rFonts w:hint="cs"/>
          <w:b/>
          <w:bCs/>
          <w:rtl/>
        </w:rPr>
        <w:t xml:space="preserve">وكانت </w:t>
      </w:r>
      <w:r w:rsidR="00C47467" w:rsidRPr="000C6695">
        <w:rPr>
          <w:rFonts w:hint="cs"/>
          <w:b/>
          <w:bCs/>
          <w:rtl/>
        </w:rPr>
        <w:t xml:space="preserve">من </w:t>
      </w:r>
      <w:r w:rsidRPr="000C6695">
        <w:rPr>
          <w:rFonts w:hint="cs"/>
          <w:b/>
          <w:bCs/>
          <w:rtl/>
        </w:rPr>
        <w:t>أهم</w:t>
      </w:r>
      <w:r w:rsidR="00C47467" w:rsidRPr="000C6695">
        <w:rPr>
          <w:rFonts w:hint="cs"/>
          <w:b/>
          <w:bCs/>
          <w:rtl/>
        </w:rPr>
        <w:t>ّ</w:t>
      </w:r>
      <w:r w:rsidRPr="000C6695">
        <w:rPr>
          <w:rFonts w:hint="cs"/>
          <w:b/>
          <w:bCs/>
          <w:rtl/>
        </w:rPr>
        <w:t xml:space="preserve"> المساهمات الفقهي</w:t>
      </w:r>
      <w:r w:rsidR="00C47467" w:rsidRPr="000C6695">
        <w:rPr>
          <w:rFonts w:hint="cs"/>
          <w:b/>
          <w:bCs/>
          <w:rtl/>
        </w:rPr>
        <w:t>ّ</w:t>
      </w:r>
      <w:r w:rsidRPr="000C6695">
        <w:rPr>
          <w:rFonts w:hint="cs"/>
          <w:b/>
          <w:bCs/>
          <w:rtl/>
        </w:rPr>
        <w:t>ة الجادّة ـ على قلّتها في هذا المضمار ـ محاولتان:</w:t>
      </w:r>
    </w:p>
    <w:p w14:paraId="66F64E51" w14:textId="77777777" w:rsidR="000A4159" w:rsidRPr="00822CE9" w:rsidRDefault="00C47467" w:rsidP="00306426">
      <w:pPr>
        <w:pStyle w:val="normal930"/>
        <w:rPr>
          <w:rtl/>
        </w:rPr>
      </w:pPr>
      <w:r w:rsidRPr="000C6695">
        <w:rPr>
          <w:rFonts w:hint="cs"/>
          <w:b/>
          <w:bCs/>
          <w:rtl/>
        </w:rPr>
        <w:t xml:space="preserve">المحاولة </w:t>
      </w:r>
      <w:r w:rsidR="000A4159" w:rsidRPr="000C6695">
        <w:rPr>
          <w:rFonts w:hint="cs"/>
          <w:b/>
          <w:bCs/>
          <w:rtl/>
        </w:rPr>
        <w:t>الأولى:</w:t>
      </w:r>
      <w:r w:rsidR="000A4159" w:rsidRPr="00822CE9">
        <w:rPr>
          <w:rFonts w:hint="cs"/>
          <w:rtl/>
        </w:rPr>
        <w:t xml:space="preserve"> ما كتبه الشيخ حسين علي منتظري في كتاب: دراسات في ولاية الفقيه أو فقه الدولة الإسلامي</w:t>
      </w:r>
      <w:r>
        <w:rPr>
          <w:rFonts w:hint="cs"/>
          <w:rtl/>
        </w:rPr>
        <w:t>ّ</w:t>
      </w:r>
      <w:r w:rsidR="000A4159" w:rsidRPr="00822CE9">
        <w:rPr>
          <w:rFonts w:hint="cs"/>
          <w:rtl/>
        </w:rPr>
        <w:t>ة.</w:t>
      </w:r>
    </w:p>
    <w:p w14:paraId="12276DB8" w14:textId="77777777" w:rsidR="000A4159" w:rsidRDefault="00C47467" w:rsidP="00306426">
      <w:pPr>
        <w:pStyle w:val="normal930"/>
        <w:rPr>
          <w:rtl/>
        </w:rPr>
      </w:pPr>
      <w:r w:rsidRPr="000C6695">
        <w:rPr>
          <w:rFonts w:hint="cs"/>
          <w:b/>
          <w:bCs/>
          <w:rtl/>
        </w:rPr>
        <w:t xml:space="preserve">المحاولة </w:t>
      </w:r>
      <w:r w:rsidR="000A4159" w:rsidRPr="000C6695">
        <w:rPr>
          <w:rFonts w:hint="cs"/>
          <w:b/>
          <w:bCs/>
          <w:rtl/>
        </w:rPr>
        <w:t>الثانية:</w:t>
      </w:r>
      <w:r w:rsidR="000A4159" w:rsidRPr="00822CE9">
        <w:rPr>
          <w:rFonts w:hint="cs"/>
          <w:rtl/>
        </w:rPr>
        <w:t xml:space="preserve"> ما كتبه السيد كاظم الحائري في كتابيه: الكفاح المسلّح في الإسلام، وولاية الأمر في عصر الغيبة.</w:t>
      </w:r>
    </w:p>
    <w:p w14:paraId="0DA8DBBA" w14:textId="77777777" w:rsidR="004718AC" w:rsidRPr="00822CE9" w:rsidRDefault="004718AC" w:rsidP="001B6BFD">
      <w:pPr>
        <w:spacing w:line="214" w:lineRule="auto"/>
        <w:rPr>
          <w:rtl/>
        </w:rPr>
      </w:pPr>
      <w:r>
        <w:rPr>
          <w:rFonts w:hint="cs"/>
          <w:rtl/>
        </w:rPr>
        <w:t>وغيرهما من المحاولات</w:t>
      </w:r>
      <w:r w:rsidR="001B6BFD">
        <w:rPr>
          <w:rFonts w:hint="cs"/>
          <w:rtl/>
        </w:rPr>
        <w:t>،</w:t>
      </w:r>
      <w:r>
        <w:rPr>
          <w:rFonts w:hint="cs"/>
          <w:rtl/>
        </w:rPr>
        <w:t xml:space="preserve"> مثل ما قدّمه الشيخ محمّ</w:t>
      </w:r>
      <w:r w:rsidR="001B6BFD">
        <w:rPr>
          <w:rFonts w:hint="cs"/>
          <w:rtl/>
        </w:rPr>
        <w:t>د</w:t>
      </w:r>
      <w:r>
        <w:rPr>
          <w:rFonts w:hint="cs"/>
          <w:rtl/>
        </w:rPr>
        <w:t xml:space="preserve"> مهدي الآصفي وغيره.</w:t>
      </w:r>
    </w:p>
    <w:p w14:paraId="220224AC" w14:textId="77777777" w:rsidR="000A4159" w:rsidRPr="00822CE9" w:rsidRDefault="000A4159" w:rsidP="00306426">
      <w:pPr>
        <w:pStyle w:val="normal930"/>
        <w:rPr>
          <w:rtl/>
        </w:rPr>
      </w:pPr>
      <w:r w:rsidRPr="00822CE9">
        <w:rPr>
          <w:rFonts w:hint="cs"/>
          <w:rtl/>
        </w:rPr>
        <w:t>وقد انتصرت هاتان المحاولتان للنظري</w:t>
      </w:r>
      <w:r w:rsidR="00C47467">
        <w:rPr>
          <w:rFonts w:hint="cs"/>
          <w:rtl/>
        </w:rPr>
        <w:t>ّ</w:t>
      </w:r>
      <w:r w:rsidRPr="00822CE9">
        <w:rPr>
          <w:rFonts w:hint="cs"/>
          <w:rtl/>
        </w:rPr>
        <w:t>ة التي أخذت تسود تدريجي</w:t>
      </w:r>
      <w:r w:rsidR="00C47467">
        <w:rPr>
          <w:rFonts w:hint="cs"/>
          <w:rtl/>
        </w:rPr>
        <w:t>ّ</w:t>
      </w:r>
      <w:r w:rsidRPr="00822CE9">
        <w:rPr>
          <w:rFonts w:hint="cs"/>
          <w:rtl/>
        </w:rPr>
        <w:t>اً الوسط الشيعي، وهي نظري</w:t>
      </w:r>
      <w:r w:rsidR="00C47467">
        <w:rPr>
          <w:rFonts w:hint="cs"/>
          <w:rtl/>
        </w:rPr>
        <w:t>ّ</w:t>
      </w:r>
      <w:r w:rsidRPr="00822CE9">
        <w:rPr>
          <w:rFonts w:hint="cs"/>
          <w:rtl/>
        </w:rPr>
        <w:t>ة شرعي</w:t>
      </w:r>
      <w:r w:rsidR="00C47467">
        <w:rPr>
          <w:rFonts w:hint="cs"/>
          <w:rtl/>
        </w:rPr>
        <w:t>ّ</w:t>
      </w:r>
      <w:r w:rsidRPr="00822CE9">
        <w:rPr>
          <w:rFonts w:hint="cs"/>
          <w:rtl/>
        </w:rPr>
        <w:t>ة الخروج على الحاكم الجائر، لكن ومع نهاية الثمانينات وبسبب انتصار الثورة في إيران، وعجز الحركات الإسلامي</w:t>
      </w:r>
      <w:r w:rsidR="00C47467">
        <w:rPr>
          <w:rFonts w:hint="cs"/>
          <w:rtl/>
        </w:rPr>
        <w:t>ّ</w:t>
      </w:r>
      <w:r w:rsidRPr="00822CE9">
        <w:rPr>
          <w:rFonts w:hint="cs"/>
          <w:rtl/>
        </w:rPr>
        <w:t>ة في سائر البلدان الإسلامي</w:t>
      </w:r>
      <w:r w:rsidR="00C47467">
        <w:rPr>
          <w:rFonts w:hint="cs"/>
          <w:rtl/>
        </w:rPr>
        <w:t>ّ</w:t>
      </w:r>
      <w:r w:rsidRPr="00822CE9">
        <w:rPr>
          <w:rFonts w:hint="cs"/>
          <w:rtl/>
        </w:rPr>
        <w:t>ة عن إسقاط الأنظمة، بدأت تظهر فكرة تغيير الأنظمة بالطرق السلمي</w:t>
      </w:r>
      <w:r w:rsidR="00C47467">
        <w:rPr>
          <w:rFonts w:hint="cs"/>
          <w:rtl/>
        </w:rPr>
        <w:t>ّ</w:t>
      </w:r>
      <w:r w:rsidRPr="00822CE9">
        <w:rPr>
          <w:rFonts w:hint="cs"/>
          <w:rtl/>
        </w:rPr>
        <w:t>ة أو تأجيل هذا المشروع، وذاب تدريجي</w:t>
      </w:r>
      <w:r w:rsidR="00C47467">
        <w:rPr>
          <w:rFonts w:hint="cs"/>
          <w:rtl/>
        </w:rPr>
        <w:t>ّ</w:t>
      </w:r>
      <w:r w:rsidRPr="00822CE9">
        <w:rPr>
          <w:rFonts w:hint="cs"/>
          <w:rtl/>
        </w:rPr>
        <w:t xml:space="preserve">اً الطرح الذي ينادي بالتغيير المسلّح أو يرخّص به، </w:t>
      </w:r>
      <w:r w:rsidRPr="00624606">
        <w:rPr>
          <w:rFonts w:hint="cs"/>
          <w:b/>
          <w:bCs/>
          <w:rtl/>
        </w:rPr>
        <w:t>وظهرت في هذا الوسط محاولة الشيخ محمد مهدي شمس الدين الذي نادى فيها بالتغيير السلمي في المجتمع وبالمصالحة بين الحركة الإسلامي</w:t>
      </w:r>
      <w:r w:rsidR="00C47467" w:rsidRPr="00624606">
        <w:rPr>
          <w:rFonts w:hint="cs"/>
          <w:b/>
          <w:bCs/>
          <w:rtl/>
        </w:rPr>
        <w:t>ّ</w:t>
      </w:r>
      <w:r w:rsidRPr="00624606">
        <w:rPr>
          <w:rFonts w:hint="cs"/>
          <w:b/>
          <w:bCs/>
          <w:rtl/>
        </w:rPr>
        <w:t>ة والأنظمة،</w:t>
      </w:r>
      <w:r w:rsidRPr="00822CE9">
        <w:rPr>
          <w:rFonts w:hint="cs"/>
          <w:rtl/>
        </w:rPr>
        <w:t xml:space="preserve"> </w:t>
      </w:r>
      <w:r w:rsidR="00C47467">
        <w:rPr>
          <w:rFonts w:hint="cs"/>
          <w:rtl/>
        </w:rPr>
        <w:t xml:space="preserve">لكن </w:t>
      </w:r>
      <w:r w:rsidRPr="00822CE9">
        <w:rPr>
          <w:rFonts w:hint="cs"/>
          <w:rtl/>
        </w:rPr>
        <w:lastRenderedPageBreak/>
        <w:t xml:space="preserve">استمرّت النظرية التغييرية المسلّحة لدى بعض الباحثين، </w:t>
      </w:r>
      <w:r w:rsidR="00C47467">
        <w:rPr>
          <w:rFonts w:hint="cs"/>
          <w:rtl/>
        </w:rPr>
        <w:t xml:space="preserve">غير أنّ </w:t>
      </w:r>
      <w:r w:rsidRPr="00822CE9">
        <w:rPr>
          <w:rFonts w:hint="cs"/>
          <w:rtl/>
        </w:rPr>
        <w:t>المساهمات الاجتهادية الجادّة</w:t>
      </w:r>
      <w:r w:rsidR="00C47467">
        <w:rPr>
          <w:rFonts w:hint="cs"/>
          <w:rtl/>
        </w:rPr>
        <w:t xml:space="preserve"> ظلّت محدودةً جداً، وهو أمر نأس</w:t>
      </w:r>
      <w:r w:rsidRPr="00822CE9">
        <w:rPr>
          <w:rFonts w:hint="cs"/>
          <w:rtl/>
        </w:rPr>
        <w:t>ف له</w:t>
      </w:r>
      <w:r w:rsidR="00C47467">
        <w:rPr>
          <w:rFonts w:hint="cs"/>
          <w:rtl/>
        </w:rPr>
        <w:t xml:space="preserve"> كما قلنا سابقاً</w:t>
      </w:r>
      <w:r w:rsidRPr="00822CE9">
        <w:rPr>
          <w:rFonts w:hint="cs"/>
          <w:rtl/>
        </w:rPr>
        <w:t>؛ إذ المفترض بموضوع بالغ الخطورة مثل هذا الموضوع أن يشارك الفقهاء فيه بجدّية، كي يساهم ذلك في ترشيد حركة العمل الإسلامي في المجال السياسي.</w:t>
      </w:r>
    </w:p>
    <w:p w14:paraId="47459381" w14:textId="77777777" w:rsidR="000A4159" w:rsidRDefault="000A4159" w:rsidP="00A079D6">
      <w:pPr>
        <w:spacing w:line="214" w:lineRule="auto"/>
      </w:pPr>
      <w:r w:rsidRPr="00822CE9">
        <w:rPr>
          <w:rFonts w:hint="cs"/>
          <w:rtl/>
        </w:rPr>
        <w:t>وعلى أي</w:t>
      </w:r>
      <w:r w:rsidR="00C47467">
        <w:rPr>
          <w:rFonts w:hint="cs"/>
          <w:rtl/>
        </w:rPr>
        <w:t>ّ</w:t>
      </w:r>
      <w:r w:rsidRPr="00822CE9">
        <w:rPr>
          <w:rFonts w:hint="cs"/>
          <w:rtl/>
        </w:rPr>
        <w:t xml:space="preserve">ة حال، نطرح ـ بدايةً </w:t>
      </w:r>
      <w:r w:rsidR="00C47467">
        <w:rPr>
          <w:rFonts w:hint="cs"/>
          <w:rtl/>
        </w:rPr>
        <w:t xml:space="preserve">ـ </w:t>
      </w:r>
      <w:r w:rsidRPr="00822CE9">
        <w:rPr>
          <w:rFonts w:hint="cs"/>
          <w:rtl/>
        </w:rPr>
        <w:t>نظري</w:t>
      </w:r>
      <w:r w:rsidR="004D7ED2">
        <w:rPr>
          <w:rFonts w:hint="cs"/>
          <w:rtl/>
        </w:rPr>
        <w:t>ّ</w:t>
      </w:r>
      <w:r w:rsidRPr="00822CE9">
        <w:rPr>
          <w:rFonts w:hint="cs"/>
          <w:rtl/>
        </w:rPr>
        <w:t>ة الخروج المسلّح على الحاكم الجائر</w:t>
      </w:r>
      <w:r w:rsidR="00C47467">
        <w:rPr>
          <w:rFonts w:hint="cs"/>
          <w:rtl/>
        </w:rPr>
        <w:t>،</w:t>
      </w:r>
      <w:r w:rsidRPr="00822CE9">
        <w:rPr>
          <w:rFonts w:hint="cs"/>
          <w:rtl/>
        </w:rPr>
        <w:t xml:space="preserve"> ثم نطرح النظري</w:t>
      </w:r>
      <w:r w:rsidR="00C47467">
        <w:rPr>
          <w:rFonts w:hint="cs"/>
          <w:rtl/>
        </w:rPr>
        <w:t>ّ</w:t>
      </w:r>
      <w:r w:rsidRPr="00822CE9">
        <w:rPr>
          <w:rFonts w:hint="cs"/>
          <w:rtl/>
        </w:rPr>
        <w:t>ة المقابلة، لنحاول الخروج بتصوّرٍ ما.</w:t>
      </w:r>
    </w:p>
    <w:p w14:paraId="3CED6321" w14:textId="77777777" w:rsidR="00C10EB2" w:rsidRDefault="00C10EB2" w:rsidP="00A079D6">
      <w:pPr>
        <w:spacing w:line="214" w:lineRule="auto"/>
        <w:rPr>
          <w:rtl/>
        </w:rPr>
        <w:sectPr w:rsidR="00C10EB2" w:rsidSect="002C4AA9">
          <w:headerReference w:type="default" r:id="rId8"/>
          <w:footerReference w:type="even" r:id="rId9"/>
          <w:footerReference w:type="default" r:id="rId10"/>
          <w:footnotePr>
            <w:numRestart w:val="eachPage"/>
          </w:footnotePr>
          <w:type w:val="oddPage"/>
          <w:pgSz w:w="11907" w:h="16840" w:code="9"/>
          <w:pgMar w:top="2837" w:right="2218" w:bottom="2664" w:left="2218" w:header="2275" w:footer="0" w:gutter="0"/>
          <w:cols w:space="720"/>
          <w:titlePg/>
          <w:docGrid w:linePitch="360"/>
        </w:sectPr>
      </w:pPr>
    </w:p>
    <w:p w14:paraId="53389E78" w14:textId="10231035" w:rsidR="00C47467" w:rsidRPr="00611BAF" w:rsidRDefault="00C47467" w:rsidP="00611BAF">
      <w:pPr>
        <w:pStyle w:val="Space1"/>
        <w:bidi w:val="0"/>
        <w:rPr>
          <w:rtl/>
        </w:rPr>
      </w:pPr>
    </w:p>
    <w:p w14:paraId="3E243CEF" w14:textId="77777777" w:rsidR="00C47467" w:rsidRDefault="00C47467" w:rsidP="00C10EB2">
      <w:pPr>
        <w:pStyle w:val="Space1"/>
        <w:rPr>
          <w:rtl/>
        </w:rPr>
      </w:pPr>
    </w:p>
    <w:p w14:paraId="0F42606A" w14:textId="77777777" w:rsidR="002E2BA7" w:rsidRPr="00306426" w:rsidRDefault="002E2BA7" w:rsidP="00C10EB2">
      <w:pPr>
        <w:pStyle w:val="Space1"/>
        <w:rPr>
          <w:sz w:val="34"/>
          <w:szCs w:val="34"/>
          <w:rtl/>
        </w:rPr>
      </w:pPr>
    </w:p>
    <w:p w14:paraId="00796FD8" w14:textId="77777777" w:rsidR="002E2BA7" w:rsidRDefault="002E2BA7" w:rsidP="00C10EB2">
      <w:pPr>
        <w:pStyle w:val="Space1"/>
        <w:rPr>
          <w:rtl/>
        </w:rPr>
      </w:pPr>
    </w:p>
    <w:p w14:paraId="4DC460D3" w14:textId="77777777" w:rsidR="002E2BA7" w:rsidRPr="00306426" w:rsidRDefault="002E2BA7" w:rsidP="00306426">
      <w:pPr>
        <w:pStyle w:val="Heading2"/>
        <w:tabs>
          <w:tab w:val="left" w:pos="336"/>
          <w:tab w:val="center" w:pos="3871"/>
        </w:tabs>
        <w:spacing w:before="0"/>
        <w:jc w:val="center"/>
        <w:rPr>
          <w:sz w:val="44"/>
          <w:szCs w:val="44"/>
          <w:rtl/>
        </w:rPr>
      </w:pPr>
      <w:bookmarkStart w:id="10" w:name="_Toc143804095"/>
      <w:bookmarkStart w:id="11" w:name="_Toc238123220"/>
      <w:r w:rsidRPr="00306426">
        <w:rPr>
          <w:rFonts w:hint="cs"/>
          <w:sz w:val="44"/>
          <w:szCs w:val="44"/>
          <w:rtl/>
        </w:rPr>
        <w:t>النظريّة الأولى</w:t>
      </w:r>
      <w:bookmarkEnd w:id="10"/>
      <w:bookmarkEnd w:id="11"/>
    </w:p>
    <w:p w14:paraId="01C350B4" w14:textId="77777777" w:rsidR="000A4159" w:rsidRPr="00306426" w:rsidRDefault="000A4159" w:rsidP="00306426">
      <w:pPr>
        <w:pStyle w:val="Heading2"/>
        <w:tabs>
          <w:tab w:val="left" w:pos="336"/>
          <w:tab w:val="center" w:pos="3871"/>
        </w:tabs>
        <w:spacing w:before="0"/>
        <w:jc w:val="center"/>
        <w:rPr>
          <w:sz w:val="40"/>
          <w:szCs w:val="40"/>
        </w:rPr>
      </w:pPr>
      <w:bookmarkStart w:id="12" w:name="_Toc143804096"/>
      <w:bookmarkStart w:id="13" w:name="_Toc238123221"/>
      <w:r w:rsidRPr="00306426">
        <w:rPr>
          <w:rFonts w:hint="cs"/>
          <w:sz w:val="40"/>
          <w:szCs w:val="40"/>
          <w:rtl/>
        </w:rPr>
        <w:t>نظري</w:t>
      </w:r>
      <w:r w:rsidR="004D7ED2" w:rsidRPr="00306426">
        <w:rPr>
          <w:rFonts w:hint="cs"/>
          <w:sz w:val="40"/>
          <w:szCs w:val="40"/>
          <w:rtl/>
        </w:rPr>
        <w:t>ّ</w:t>
      </w:r>
      <w:r w:rsidRPr="00306426">
        <w:rPr>
          <w:rFonts w:hint="cs"/>
          <w:sz w:val="40"/>
          <w:szCs w:val="40"/>
          <w:rtl/>
        </w:rPr>
        <w:t>ة شرعي</w:t>
      </w:r>
      <w:r w:rsidR="00C47467" w:rsidRPr="00306426">
        <w:rPr>
          <w:rFonts w:hint="cs"/>
          <w:sz w:val="40"/>
          <w:szCs w:val="40"/>
          <w:rtl/>
        </w:rPr>
        <w:t>ّ</w:t>
      </w:r>
      <w:r w:rsidRPr="00306426">
        <w:rPr>
          <w:rFonts w:hint="cs"/>
          <w:sz w:val="40"/>
          <w:szCs w:val="40"/>
          <w:rtl/>
        </w:rPr>
        <w:t>ة الثورة المسلّحة ضدّ الأنظمة</w:t>
      </w:r>
      <w:bookmarkEnd w:id="12"/>
      <w:bookmarkEnd w:id="13"/>
    </w:p>
    <w:p w14:paraId="3CFBC45C" w14:textId="77777777" w:rsidR="00C47467" w:rsidRPr="00306426" w:rsidRDefault="00C47467" w:rsidP="00C47467">
      <w:pPr>
        <w:rPr>
          <w:sz w:val="8"/>
          <w:szCs w:val="8"/>
          <w:rtl/>
        </w:rPr>
      </w:pPr>
    </w:p>
    <w:p w14:paraId="21A8D564" w14:textId="77777777" w:rsidR="000A4159" w:rsidRPr="004D7ED2" w:rsidRDefault="00382F4F" w:rsidP="00C47467">
      <w:pPr>
        <w:spacing w:line="214" w:lineRule="auto"/>
        <w:rPr>
          <w:b/>
          <w:bCs/>
          <w:rtl/>
        </w:rPr>
      </w:pPr>
      <w:r w:rsidRPr="004D7ED2">
        <w:rPr>
          <w:rFonts w:hint="cs"/>
          <w:b/>
          <w:bCs/>
          <w:rtl/>
        </w:rPr>
        <w:t>يُ</w:t>
      </w:r>
      <w:r w:rsidR="000A4159" w:rsidRPr="004D7ED2">
        <w:rPr>
          <w:rFonts w:hint="cs"/>
          <w:b/>
          <w:bCs/>
          <w:rtl/>
        </w:rPr>
        <w:t>ستند لإثبات النظري</w:t>
      </w:r>
      <w:r w:rsidRPr="004D7ED2">
        <w:rPr>
          <w:rFonts w:hint="cs"/>
          <w:b/>
          <w:bCs/>
          <w:rtl/>
        </w:rPr>
        <w:t>ّ</w:t>
      </w:r>
      <w:r w:rsidR="000A4159" w:rsidRPr="004D7ED2">
        <w:rPr>
          <w:rFonts w:hint="cs"/>
          <w:b/>
          <w:bCs/>
          <w:rtl/>
        </w:rPr>
        <w:t>ة القائلة بشرعي</w:t>
      </w:r>
      <w:r w:rsidR="000C6695" w:rsidRPr="004D7ED2">
        <w:rPr>
          <w:rFonts w:hint="cs"/>
          <w:b/>
          <w:bCs/>
          <w:rtl/>
        </w:rPr>
        <w:t>ّ</w:t>
      </w:r>
      <w:r w:rsidR="000A4159" w:rsidRPr="004D7ED2">
        <w:rPr>
          <w:rFonts w:hint="cs"/>
          <w:b/>
          <w:bCs/>
          <w:rtl/>
        </w:rPr>
        <w:t>ة الثورة المسلّحة ضدّ الأنظمة، إلى عدّة أدلّة أساسي</w:t>
      </w:r>
      <w:r w:rsidRPr="004D7ED2">
        <w:rPr>
          <w:rFonts w:hint="cs"/>
          <w:b/>
          <w:bCs/>
          <w:rtl/>
        </w:rPr>
        <w:t>ّ</w:t>
      </w:r>
      <w:r w:rsidR="000A4159" w:rsidRPr="004D7ED2">
        <w:rPr>
          <w:rFonts w:hint="cs"/>
          <w:b/>
          <w:bCs/>
          <w:rtl/>
        </w:rPr>
        <w:t>ة هي:</w:t>
      </w:r>
    </w:p>
    <w:p w14:paraId="650F313F" w14:textId="77777777" w:rsidR="001B6BFD" w:rsidRPr="001B6BFD" w:rsidRDefault="001B6BFD" w:rsidP="00BF0865">
      <w:pPr>
        <w:pStyle w:val="Heading2"/>
        <w:rPr>
          <w:rtl/>
        </w:rPr>
      </w:pPr>
      <w:bookmarkStart w:id="14" w:name="_Toc143804097"/>
      <w:bookmarkStart w:id="15" w:name="_Toc238123222"/>
      <w:r w:rsidRPr="001B6BFD">
        <w:rPr>
          <w:rFonts w:hint="cs"/>
          <w:rtl/>
        </w:rPr>
        <w:t>1 ـ مبدأ الكفر بالطاغوت ودوره في إنتاج الثورات غير السلميّة</w:t>
      </w:r>
      <w:r>
        <w:rPr>
          <w:rFonts w:hint="cs"/>
          <w:rtl/>
        </w:rPr>
        <w:t>، قراءة نقديّة</w:t>
      </w:r>
      <w:bookmarkEnd w:id="14"/>
      <w:bookmarkEnd w:id="15"/>
    </w:p>
    <w:p w14:paraId="12E12883" w14:textId="77777777" w:rsidR="000A4159" w:rsidRPr="00822CE9" w:rsidRDefault="000A4159" w:rsidP="00D10031">
      <w:pPr>
        <w:spacing w:line="214" w:lineRule="auto"/>
        <w:rPr>
          <w:rtl/>
        </w:rPr>
      </w:pPr>
      <w:r w:rsidRPr="00382F4F">
        <w:rPr>
          <w:rFonts w:hint="cs"/>
          <w:b/>
          <w:bCs/>
          <w:rtl/>
        </w:rPr>
        <w:t>أو</w:t>
      </w:r>
      <w:r w:rsidR="00382F4F" w:rsidRPr="00382F4F">
        <w:rPr>
          <w:rFonts w:hint="cs"/>
          <w:b/>
          <w:bCs/>
          <w:rtl/>
        </w:rPr>
        <w:t>ّ</w:t>
      </w:r>
      <w:r w:rsidRPr="00382F4F">
        <w:rPr>
          <w:rFonts w:hint="cs"/>
          <w:b/>
          <w:bCs/>
          <w:rtl/>
        </w:rPr>
        <w:t>ل</w:t>
      </w:r>
      <w:r w:rsidR="00D10031">
        <w:rPr>
          <w:rFonts w:hint="cs"/>
          <w:b/>
          <w:bCs/>
          <w:rtl/>
        </w:rPr>
        <w:t xml:space="preserve"> الأدلّة هنا هو </w:t>
      </w:r>
      <w:r w:rsidRPr="00822CE9">
        <w:rPr>
          <w:rFonts w:hint="cs"/>
          <w:rtl/>
        </w:rPr>
        <w:t>الاستناد إلى الآيات القرآنية الدالّة على لزوم الكفر بالطاغوت</w:t>
      </w:r>
      <w:r w:rsidR="00382F4F">
        <w:rPr>
          <w:rFonts w:hint="cs"/>
          <w:rtl/>
        </w:rPr>
        <w:t>،</w:t>
      </w:r>
      <w:r w:rsidRPr="00822CE9">
        <w:rPr>
          <w:rFonts w:hint="cs"/>
          <w:rtl/>
        </w:rPr>
        <w:t xml:space="preserve"> مثل قوله تعالى: </w:t>
      </w:r>
      <w:r w:rsidRPr="00822CE9">
        <w:rPr>
          <w:rtl/>
        </w:rPr>
        <w:t>﴿</w:t>
      </w:r>
      <w:r w:rsidRPr="00382F4F">
        <w:rPr>
          <w:rFonts w:hint="cs"/>
          <w:b/>
          <w:bCs/>
          <w:rtl/>
        </w:rPr>
        <w:t>يُرِيدُونَ أَنْ يَتَحَاكَمُوا إلى الطَّاغُوتِ وَقَدْ أُمِرُوا أَنْ يَكْفُرُوا بِهِ</w:t>
      </w:r>
      <w:r w:rsidRPr="00822CE9">
        <w:rPr>
          <w:rtl/>
        </w:rPr>
        <w:t>﴾</w:t>
      </w:r>
      <w:r w:rsidRPr="00822CE9">
        <w:rPr>
          <w:rFonts w:hint="cs"/>
          <w:rtl/>
        </w:rPr>
        <w:t xml:space="preserve"> (النساء: 60).</w:t>
      </w:r>
    </w:p>
    <w:p w14:paraId="62DBEF45" w14:textId="77777777" w:rsidR="000A4159" w:rsidRPr="00822CE9" w:rsidRDefault="000A4159" w:rsidP="00306426">
      <w:pPr>
        <w:pStyle w:val="normal930"/>
        <w:rPr>
          <w:rtl/>
        </w:rPr>
      </w:pPr>
      <w:r w:rsidRPr="00822CE9">
        <w:rPr>
          <w:rFonts w:hint="cs"/>
          <w:rtl/>
        </w:rPr>
        <w:t>وتقريب الاستدلال بهذه الآيات أنّ المراد بالطاغوت كلّ متعدّ</w:t>
      </w:r>
      <w:r w:rsidR="00382F4F">
        <w:rPr>
          <w:rFonts w:hint="cs"/>
          <w:rtl/>
        </w:rPr>
        <w:t>ٍ،</w:t>
      </w:r>
      <w:r w:rsidRPr="00822CE9">
        <w:rPr>
          <w:rFonts w:hint="cs"/>
          <w:rtl/>
        </w:rPr>
        <w:t xml:space="preserve"> من الطغيان وهو التجاوز عن الحدّ، مع مبالغة، فالطاغوت إم</w:t>
      </w:r>
      <w:r w:rsidR="00382F4F">
        <w:rPr>
          <w:rFonts w:hint="cs"/>
          <w:rtl/>
        </w:rPr>
        <w:t>ّ</w:t>
      </w:r>
      <w:r w:rsidRPr="00822CE9">
        <w:rPr>
          <w:rFonts w:hint="cs"/>
          <w:rtl/>
        </w:rPr>
        <w:t>ا كل</w:t>
      </w:r>
      <w:r w:rsidR="00382F4F">
        <w:rPr>
          <w:rFonts w:hint="cs"/>
          <w:rtl/>
        </w:rPr>
        <w:t>ّ</w:t>
      </w:r>
      <w:r w:rsidRPr="00822CE9">
        <w:rPr>
          <w:rFonts w:hint="cs"/>
          <w:rtl/>
        </w:rPr>
        <w:t xml:space="preserve"> متجاو</w:t>
      </w:r>
      <w:r w:rsidR="00382F4F">
        <w:rPr>
          <w:rFonts w:hint="cs"/>
          <w:rtl/>
        </w:rPr>
        <w:t>ِ</w:t>
      </w:r>
      <w:r w:rsidRPr="00822CE9">
        <w:rPr>
          <w:rFonts w:hint="cs"/>
          <w:rtl/>
        </w:rPr>
        <w:t>ز أو كل</w:t>
      </w:r>
      <w:r w:rsidR="00382F4F">
        <w:rPr>
          <w:rFonts w:hint="cs"/>
          <w:rtl/>
        </w:rPr>
        <w:t>ّ</w:t>
      </w:r>
      <w:r w:rsidRPr="00822CE9">
        <w:rPr>
          <w:rFonts w:hint="cs"/>
          <w:rtl/>
        </w:rPr>
        <w:t xml:space="preserve"> متجاو</w:t>
      </w:r>
      <w:r w:rsidR="00382F4F">
        <w:rPr>
          <w:rFonts w:hint="cs"/>
          <w:rtl/>
        </w:rPr>
        <w:t>َ</w:t>
      </w:r>
      <w:r w:rsidRPr="00822CE9">
        <w:rPr>
          <w:rFonts w:hint="cs"/>
          <w:rtl/>
        </w:rPr>
        <w:t>ز به مثل الأصنام التي ي</w:t>
      </w:r>
      <w:r w:rsidR="00382F4F">
        <w:rPr>
          <w:rFonts w:hint="cs"/>
          <w:rtl/>
        </w:rPr>
        <w:t>ُ</w:t>
      </w:r>
      <w:r w:rsidRPr="00822CE9">
        <w:rPr>
          <w:rFonts w:hint="cs"/>
          <w:rtl/>
        </w:rPr>
        <w:t>تجاوز بها الله تعالى.</w:t>
      </w:r>
    </w:p>
    <w:p w14:paraId="2A77276C" w14:textId="77777777" w:rsidR="000A4159" w:rsidRPr="00822CE9" w:rsidRDefault="000A4159" w:rsidP="00306426">
      <w:pPr>
        <w:pStyle w:val="normal930"/>
        <w:rPr>
          <w:rtl/>
        </w:rPr>
      </w:pPr>
      <w:r w:rsidRPr="00822CE9">
        <w:rPr>
          <w:rFonts w:hint="cs"/>
          <w:rtl/>
        </w:rPr>
        <w:t>ومن الواضح أنّ هذا المعنى للطاغوت يصدق على الحك</w:t>
      </w:r>
      <w:r w:rsidR="00382F4F">
        <w:rPr>
          <w:rFonts w:hint="cs"/>
          <w:rtl/>
        </w:rPr>
        <w:t>ّ</w:t>
      </w:r>
      <w:r w:rsidRPr="00822CE9">
        <w:rPr>
          <w:rFonts w:hint="cs"/>
          <w:rtl/>
        </w:rPr>
        <w:t xml:space="preserve">ام الظالمين </w:t>
      </w:r>
      <w:r w:rsidR="00382F4F">
        <w:rPr>
          <w:rFonts w:hint="cs"/>
          <w:rtl/>
        </w:rPr>
        <w:t>و</w:t>
      </w:r>
      <w:r w:rsidRPr="00822CE9">
        <w:rPr>
          <w:rFonts w:hint="cs"/>
          <w:rtl/>
        </w:rPr>
        <w:t>حك</w:t>
      </w:r>
      <w:r w:rsidR="00382F4F">
        <w:rPr>
          <w:rFonts w:hint="cs"/>
          <w:rtl/>
        </w:rPr>
        <w:t>ّ</w:t>
      </w:r>
      <w:r w:rsidRPr="00822CE9">
        <w:rPr>
          <w:rFonts w:hint="cs"/>
          <w:rtl/>
        </w:rPr>
        <w:t>ام الجور؛ ذلك أن</w:t>
      </w:r>
      <w:r w:rsidR="00382F4F">
        <w:rPr>
          <w:rFonts w:hint="cs"/>
          <w:rtl/>
        </w:rPr>
        <w:t>ّ</w:t>
      </w:r>
      <w:r w:rsidRPr="00822CE9">
        <w:rPr>
          <w:rFonts w:hint="cs"/>
          <w:rtl/>
        </w:rPr>
        <w:t>هم إم</w:t>
      </w:r>
      <w:r w:rsidR="00382F4F">
        <w:rPr>
          <w:rFonts w:hint="cs"/>
          <w:rtl/>
        </w:rPr>
        <w:t>ّ</w:t>
      </w:r>
      <w:r w:rsidRPr="00822CE9">
        <w:rPr>
          <w:rFonts w:hint="cs"/>
          <w:rtl/>
        </w:rPr>
        <w:t>ا يتجاوزون حدود الله سبحانه، ولهذا كانوا حك</w:t>
      </w:r>
      <w:r w:rsidR="00382F4F">
        <w:rPr>
          <w:rFonts w:hint="cs"/>
          <w:rtl/>
        </w:rPr>
        <w:t>ّ</w:t>
      </w:r>
      <w:r w:rsidRPr="00822CE9">
        <w:rPr>
          <w:rFonts w:hint="cs"/>
          <w:rtl/>
        </w:rPr>
        <w:t>ام طاغوت، أو يتجاوز بهم حدود الله</w:t>
      </w:r>
      <w:r w:rsidR="00382F4F">
        <w:rPr>
          <w:rFonts w:hint="cs"/>
          <w:rtl/>
        </w:rPr>
        <w:t>،</w:t>
      </w:r>
      <w:r w:rsidRPr="00822CE9">
        <w:rPr>
          <w:rFonts w:hint="cs"/>
          <w:rtl/>
        </w:rPr>
        <w:t xml:space="preserve"> وذلك من ق</w:t>
      </w:r>
      <w:r w:rsidR="00382F4F">
        <w:rPr>
          <w:rFonts w:hint="cs"/>
          <w:rtl/>
        </w:rPr>
        <w:t>ِ</w:t>
      </w:r>
      <w:r w:rsidRPr="00822CE9">
        <w:rPr>
          <w:rFonts w:hint="cs"/>
          <w:rtl/>
        </w:rPr>
        <w:t>ب</w:t>
      </w:r>
      <w:r w:rsidR="00382F4F">
        <w:rPr>
          <w:rFonts w:hint="cs"/>
          <w:rtl/>
        </w:rPr>
        <w:t>َ</w:t>
      </w:r>
      <w:r w:rsidRPr="00822CE9">
        <w:rPr>
          <w:rFonts w:hint="cs"/>
          <w:rtl/>
        </w:rPr>
        <w:t>ل محكوميهم، فيكون ذريعة لتجاوز حدود الله سبحانه، بل قد ورد في بعض الروايات ما يفيد تطبيق مفهوم الطاغوت على الحك</w:t>
      </w:r>
      <w:r w:rsidR="00382F4F">
        <w:rPr>
          <w:rFonts w:hint="cs"/>
          <w:rtl/>
        </w:rPr>
        <w:t>ّ</w:t>
      </w:r>
      <w:r w:rsidRPr="00822CE9">
        <w:rPr>
          <w:rFonts w:hint="cs"/>
          <w:rtl/>
        </w:rPr>
        <w:t>ام الجائرين.</w:t>
      </w:r>
    </w:p>
    <w:p w14:paraId="38302FA7" w14:textId="77777777" w:rsidR="000A4159" w:rsidRDefault="000A4159" w:rsidP="00306426">
      <w:pPr>
        <w:pStyle w:val="normal930"/>
        <w:rPr>
          <w:rtl/>
        </w:rPr>
      </w:pPr>
      <w:r w:rsidRPr="00822CE9">
        <w:rPr>
          <w:rFonts w:hint="cs"/>
          <w:rtl/>
        </w:rPr>
        <w:t>هذا على خط</w:t>
      </w:r>
      <w:r w:rsidR="00382F4F">
        <w:rPr>
          <w:rFonts w:hint="cs"/>
          <w:rtl/>
        </w:rPr>
        <w:t>ّ</w:t>
      </w:r>
      <w:r w:rsidRPr="00822CE9">
        <w:rPr>
          <w:rFonts w:hint="cs"/>
          <w:rtl/>
        </w:rPr>
        <w:t xml:space="preserve"> الطاغوت وشموله للحك</w:t>
      </w:r>
      <w:r w:rsidR="00382F4F">
        <w:rPr>
          <w:rFonts w:hint="cs"/>
          <w:rtl/>
        </w:rPr>
        <w:t>ّ</w:t>
      </w:r>
      <w:r w:rsidRPr="00822CE9">
        <w:rPr>
          <w:rFonts w:hint="cs"/>
          <w:rtl/>
        </w:rPr>
        <w:t>ام الجائرين، أم</w:t>
      </w:r>
      <w:r w:rsidR="00382F4F">
        <w:rPr>
          <w:rFonts w:hint="cs"/>
          <w:rtl/>
        </w:rPr>
        <w:t>ّ</w:t>
      </w:r>
      <w:r w:rsidRPr="00822CE9">
        <w:rPr>
          <w:rFonts w:hint="cs"/>
          <w:rtl/>
        </w:rPr>
        <w:t>ا معنى الكفر هنا فهو المخالفة له وا</w:t>
      </w:r>
      <w:r w:rsidR="00382F4F">
        <w:rPr>
          <w:rFonts w:hint="cs"/>
          <w:rtl/>
        </w:rPr>
        <w:t>ل</w:t>
      </w:r>
      <w:r w:rsidRPr="00822CE9">
        <w:rPr>
          <w:rFonts w:hint="cs"/>
          <w:rtl/>
        </w:rPr>
        <w:t>ج</w:t>
      </w:r>
      <w:r w:rsidR="00382F4F">
        <w:rPr>
          <w:rFonts w:hint="cs"/>
          <w:rtl/>
        </w:rPr>
        <w:t>ح</w:t>
      </w:r>
      <w:r w:rsidRPr="00822CE9">
        <w:rPr>
          <w:rFonts w:hint="cs"/>
          <w:rtl/>
        </w:rPr>
        <w:t>و</w:t>
      </w:r>
      <w:r w:rsidR="00382F4F">
        <w:rPr>
          <w:rFonts w:hint="cs"/>
          <w:rtl/>
        </w:rPr>
        <w:t>د</w:t>
      </w:r>
      <w:r w:rsidRPr="00822CE9">
        <w:rPr>
          <w:rFonts w:hint="cs"/>
          <w:rtl/>
        </w:rPr>
        <w:t xml:space="preserve"> به ومقارعته، فتكون النتيجة وجوب مقارعة الحك</w:t>
      </w:r>
      <w:r w:rsidR="00382F4F">
        <w:rPr>
          <w:rFonts w:hint="cs"/>
          <w:rtl/>
        </w:rPr>
        <w:t>ّ</w:t>
      </w:r>
      <w:r w:rsidRPr="00822CE9">
        <w:rPr>
          <w:rFonts w:hint="cs"/>
          <w:rtl/>
        </w:rPr>
        <w:t>ام الجائرين ومواجهتهم، ت</w:t>
      </w:r>
      <w:r w:rsidR="00382F4F">
        <w:rPr>
          <w:rFonts w:hint="cs"/>
          <w:rtl/>
        </w:rPr>
        <w:t>م</w:t>
      </w:r>
      <w:r w:rsidRPr="00822CE9">
        <w:rPr>
          <w:rFonts w:hint="cs"/>
          <w:rtl/>
        </w:rPr>
        <w:t>س</w:t>
      </w:r>
      <w:r w:rsidR="00382F4F">
        <w:rPr>
          <w:rFonts w:hint="cs"/>
          <w:rtl/>
        </w:rPr>
        <w:t>ّك</w:t>
      </w:r>
      <w:r w:rsidRPr="00822CE9">
        <w:rPr>
          <w:rFonts w:hint="cs"/>
          <w:rtl/>
        </w:rPr>
        <w:t xml:space="preserve">اً بدلالة مادة الأمر على الوجوب في قوله: </w:t>
      </w:r>
      <w:r w:rsidR="004D7ED2">
        <w:rPr>
          <w:rFonts w:hint="eastAsia"/>
          <w:rtl/>
        </w:rPr>
        <w:t>«</w:t>
      </w:r>
      <w:r w:rsidRPr="00822CE9">
        <w:rPr>
          <w:rFonts w:hint="cs"/>
          <w:rtl/>
        </w:rPr>
        <w:t>وقد أمروا..</w:t>
      </w:r>
      <w:r w:rsidR="004D7ED2">
        <w:rPr>
          <w:rFonts w:hint="eastAsia"/>
          <w:rtl/>
        </w:rPr>
        <w:t>»</w:t>
      </w:r>
      <w:r w:rsidRPr="000A4159">
        <w:rPr>
          <w:rFonts w:cs="Taher"/>
          <w:vertAlign w:val="superscript"/>
          <w:rtl/>
        </w:rPr>
        <w:t>(</w:t>
      </w:r>
      <w:r w:rsidRPr="000A4159">
        <w:rPr>
          <w:rStyle w:val="FootnoteReference"/>
          <w:rFonts w:cs="Taher"/>
          <w:rtl/>
        </w:rPr>
        <w:footnoteReference w:id="10"/>
      </w:r>
      <w:r w:rsidRPr="000A4159">
        <w:rPr>
          <w:rFonts w:cs="Taher"/>
          <w:vertAlign w:val="superscript"/>
          <w:rtl/>
        </w:rPr>
        <w:t>)</w:t>
      </w:r>
      <w:r w:rsidRPr="00822CE9">
        <w:rPr>
          <w:rtl/>
        </w:rPr>
        <w:t>.</w:t>
      </w:r>
    </w:p>
    <w:p w14:paraId="2BA0F635" w14:textId="77777777" w:rsidR="00382F4F" w:rsidRPr="00382F4F" w:rsidRDefault="00382F4F" w:rsidP="00382F4F">
      <w:pPr>
        <w:spacing w:line="214" w:lineRule="auto"/>
        <w:rPr>
          <w:b/>
          <w:bCs/>
          <w:rtl/>
        </w:rPr>
      </w:pPr>
      <w:r w:rsidRPr="00382F4F">
        <w:rPr>
          <w:rFonts w:hint="cs"/>
          <w:b/>
          <w:bCs/>
          <w:rtl/>
        </w:rPr>
        <w:lastRenderedPageBreak/>
        <w:t>ويمكن التعليق هنا:</w:t>
      </w:r>
    </w:p>
    <w:p w14:paraId="59120F3E" w14:textId="77777777" w:rsidR="000A4159" w:rsidRPr="00822CE9" w:rsidRDefault="000A4159" w:rsidP="004D7ED2">
      <w:pPr>
        <w:spacing w:line="214" w:lineRule="auto"/>
        <w:rPr>
          <w:rtl/>
        </w:rPr>
      </w:pPr>
      <w:r w:rsidRPr="004D7ED2">
        <w:rPr>
          <w:rFonts w:hint="cs"/>
          <w:b/>
          <w:bCs/>
          <w:rtl/>
        </w:rPr>
        <w:t>أ ـ</w:t>
      </w:r>
      <w:r w:rsidRPr="00822CE9">
        <w:rPr>
          <w:rFonts w:hint="cs"/>
          <w:rtl/>
        </w:rPr>
        <w:t xml:space="preserve"> هذا الاستدلال قابل</w:t>
      </w:r>
      <w:r w:rsidR="00382F4F">
        <w:rPr>
          <w:rFonts w:hint="cs"/>
          <w:rtl/>
        </w:rPr>
        <w:t>ٌ</w:t>
      </w:r>
      <w:r w:rsidRPr="00822CE9">
        <w:rPr>
          <w:rFonts w:hint="cs"/>
          <w:rtl/>
        </w:rPr>
        <w:t xml:space="preserve"> للنقاش</w:t>
      </w:r>
      <w:r w:rsidR="00382F4F">
        <w:rPr>
          <w:rFonts w:hint="cs"/>
          <w:rtl/>
        </w:rPr>
        <w:t>،</w:t>
      </w:r>
      <w:r w:rsidRPr="00822CE9">
        <w:rPr>
          <w:rFonts w:hint="cs"/>
          <w:rtl/>
        </w:rPr>
        <w:t xml:space="preserve"> من ناحية أنّ الآيات دالّة على لزوم الكفر بالطاغوت</w:t>
      </w:r>
      <w:r w:rsidR="004D7ED2">
        <w:rPr>
          <w:rFonts w:hint="cs"/>
          <w:rtl/>
        </w:rPr>
        <w:t>.</w:t>
      </w:r>
      <w:r w:rsidRPr="00822CE9">
        <w:rPr>
          <w:rFonts w:hint="cs"/>
          <w:rtl/>
        </w:rPr>
        <w:t xml:space="preserve"> ومفهوم الكفر فيها ورد في مقابل دعوة من دعا إلى التحاكم إلى الطاغوت، فيكون المر</w:t>
      </w:r>
      <w:r w:rsidR="00382F4F">
        <w:rPr>
          <w:rFonts w:hint="cs"/>
          <w:rtl/>
        </w:rPr>
        <w:t xml:space="preserve">اد ـ ولو في الاحتمال القوي </w:t>
      </w:r>
      <w:r w:rsidR="002F5B3A">
        <w:rPr>
          <w:rFonts w:hint="cs"/>
          <w:rtl/>
        </w:rPr>
        <w:t xml:space="preserve">الموجب لهدم دعوى الظهور المقابل </w:t>
      </w:r>
      <w:r w:rsidR="00382F4F">
        <w:rPr>
          <w:rFonts w:hint="cs"/>
          <w:rtl/>
        </w:rPr>
        <w:t>ـ التب</w:t>
      </w:r>
      <w:r w:rsidRPr="00822CE9">
        <w:rPr>
          <w:rFonts w:hint="cs"/>
          <w:rtl/>
        </w:rPr>
        <w:t>ر</w:t>
      </w:r>
      <w:r w:rsidR="00382F4F">
        <w:rPr>
          <w:rFonts w:hint="cs"/>
          <w:rtl/>
        </w:rPr>
        <w:t>ّي منه والجح</w:t>
      </w:r>
      <w:r w:rsidRPr="00822CE9">
        <w:rPr>
          <w:rFonts w:hint="cs"/>
          <w:rtl/>
        </w:rPr>
        <w:t xml:space="preserve">ود به وتركه، ولا دليل على أزيد من </w:t>
      </w:r>
      <w:r w:rsidR="00382F4F">
        <w:rPr>
          <w:rFonts w:hint="cs"/>
          <w:rtl/>
        </w:rPr>
        <w:t>هذه</w:t>
      </w:r>
      <w:r w:rsidRPr="00822CE9">
        <w:rPr>
          <w:rFonts w:hint="cs"/>
          <w:rtl/>
        </w:rPr>
        <w:t xml:space="preserve"> المعاني التي ذكرت في اللغة لمعنى الكفر من التبر</w:t>
      </w:r>
      <w:r w:rsidR="00382F4F">
        <w:rPr>
          <w:rFonts w:hint="cs"/>
          <w:rtl/>
        </w:rPr>
        <w:t>ّي والجح</w:t>
      </w:r>
      <w:r w:rsidRPr="00822CE9">
        <w:rPr>
          <w:rFonts w:hint="cs"/>
          <w:rtl/>
        </w:rPr>
        <w:t xml:space="preserve">ود والستر، وهذا الأمر يحول دون انعقاد ظهور </w:t>
      </w:r>
      <w:r w:rsidR="001B6BFD">
        <w:rPr>
          <w:rFonts w:hint="cs"/>
          <w:rtl/>
        </w:rPr>
        <w:t xml:space="preserve">أو إطلاق </w:t>
      </w:r>
      <w:r w:rsidRPr="00822CE9">
        <w:rPr>
          <w:rFonts w:hint="cs"/>
          <w:rtl/>
        </w:rPr>
        <w:t>في مفهوم المواجهة بما فيها المسلّحة، فيعيق التمسّك بالآية الكريمة.</w:t>
      </w:r>
    </w:p>
    <w:p w14:paraId="24DF9C03" w14:textId="77777777" w:rsidR="000A4159" w:rsidRPr="00822CE9" w:rsidRDefault="000A4159" w:rsidP="004D7ED2">
      <w:pPr>
        <w:spacing w:line="214" w:lineRule="auto"/>
        <w:rPr>
          <w:rtl/>
        </w:rPr>
      </w:pPr>
      <w:r w:rsidRPr="00382F4F">
        <w:rPr>
          <w:rFonts w:hint="cs"/>
          <w:b/>
          <w:bCs/>
          <w:rtl/>
        </w:rPr>
        <w:t>ب ـ</w:t>
      </w:r>
      <w:r w:rsidRPr="00822CE9">
        <w:rPr>
          <w:rFonts w:hint="cs"/>
          <w:rtl/>
        </w:rPr>
        <w:t xml:space="preserve"> أم</w:t>
      </w:r>
      <w:r w:rsidR="00382F4F">
        <w:rPr>
          <w:rFonts w:hint="cs"/>
          <w:rtl/>
        </w:rPr>
        <w:t>ّ</w:t>
      </w:r>
      <w:r w:rsidRPr="00822CE9">
        <w:rPr>
          <w:rFonts w:hint="cs"/>
          <w:rtl/>
        </w:rPr>
        <w:t xml:space="preserve">ا عن نسبة هذا الدليل إلى الأدلّة المانعة عن الخروج المسلّح فهي نسبة العام والخاص، </w:t>
      </w:r>
      <w:r w:rsidR="00382F4F">
        <w:rPr>
          <w:rFonts w:hint="cs"/>
          <w:rtl/>
        </w:rPr>
        <w:t xml:space="preserve">إمّا من جهة كون الحاكم الطاغوت خصوص المسلم أو خصوص عصر الغيبة شيعيّاً أو غير ذلك، </w:t>
      </w:r>
      <w:r w:rsidRPr="00822CE9">
        <w:rPr>
          <w:rFonts w:hint="cs"/>
          <w:rtl/>
        </w:rPr>
        <w:t>فتصلح تلك مقيدةً لإ</w:t>
      </w:r>
      <w:r w:rsidR="00382F4F">
        <w:rPr>
          <w:rFonts w:hint="cs"/>
          <w:rtl/>
        </w:rPr>
        <w:t>ط</w:t>
      </w:r>
      <w:r w:rsidRPr="00822CE9">
        <w:rPr>
          <w:rFonts w:hint="cs"/>
          <w:rtl/>
        </w:rPr>
        <w:t>لاق الدلالة هنا، سواء الإطلاق الموجود في كلمة «طاغوت»، أ</w:t>
      </w:r>
      <w:r w:rsidR="004D7ED2">
        <w:rPr>
          <w:rFonts w:hint="cs"/>
          <w:rtl/>
        </w:rPr>
        <w:t>م</w:t>
      </w:r>
      <w:r w:rsidRPr="00822CE9">
        <w:rPr>
          <w:rFonts w:hint="cs"/>
          <w:rtl/>
        </w:rPr>
        <w:t xml:space="preserve"> الإطلاق الموجود في كلمة «أمروا أن يكفروا به»، فتقد</w:t>
      </w:r>
      <w:r w:rsidR="00382F4F">
        <w:rPr>
          <w:rFonts w:hint="cs"/>
          <w:rtl/>
        </w:rPr>
        <w:t>ّ</w:t>
      </w:r>
      <w:r w:rsidRPr="00822CE9">
        <w:rPr>
          <w:rFonts w:hint="cs"/>
          <w:rtl/>
        </w:rPr>
        <w:t>م تلك الأدلّة على هذا الدليل على تقدير تمامي</w:t>
      </w:r>
      <w:r w:rsidR="004D7ED2">
        <w:rPr>
          <w:rFonts w:hint="cs"/>
          <w:rtl/>
        </w:rPr>
        <w:t>ّ</w:t>
      </w:r>
      <w:r w:rsidRPr="00822CE9">
        <w:rPr>
          <w:rFonts w:hint="cs"/>
          <w:rtl/>
        </w:rPr>
        <w:t>تها.</w:t>
      </w:r>
    </w:p>
    <w:p w14:paraId="3170D471" w14:textId="77777777" w:rsidR="000A4159" w:rsidRDefault="000A4159" w:rsidP="00382F4F">
      <w:pPr>
        <w:spacing w:line="214" w:lineRule="auto"/>
        <w:rPr>
          <w:rtl/>
        </w:rPr>
      </w:pPr>
      <w:r w:rsidRPr="00382F4F">
        <w:rPr>
          <w:rFonts w:hint="cs"/>
          <w:b/>
          <w:bCs/>
          <w:rtl/>
        </w:rPr>
        <w:t>ج ـ</w:t>
      </w:r>
      <w:r w:rsidRPr="00822CE9">
        <w:rPr>
          <w:rFonts w:hint="cs"/>
          <w:rtl/>
        </w:rPr>
        <w:t xml:space="preserve"> إضافةً إلى ذلك، لا تحدّد لنا هذه الآيات المعيار ال</w:t>
      </w:r>
      <w:r w:rsidR="00382F4F">
        <w:rPr>
          <w:rFonts w:hint="cs"/>
          <w:rtl/>
        </w:rPr>
        <w:t>ذ</w:t>
      </w:r>
      <w:r w:rsidRPr="00822CE9">
        <w:rPr>
          <w:rFonts w:hint="cs"/>
          <w:rtl/>
        </w:rPr>
        <w:t>ي يصبح فيه الحاكم طاغوتاً بحيث يجوز القيام عليه، هل ف</w:t>
      </w:r>
      <w:r w:rsidR="00382F4F">
        <w:rPr>
          <w:rFonts w:hint="cs"/>
          <w:rtl/>
        </w:rPr>
        <w:t>س</w:t>
      </w:r>
      <w:r w:rsidRPr="00822CE9">
        <w:rPr>
          <w:rFonts w:hint="cs"/>
          <w:rtl/>
        </w:rPr>
        <w:t>قه الشخصي أو ظلمه للر</w:t>
      </w:r>
      <w:r w:rsidR="00382F4F">
        <w:rPr>
          <w:rFonts w:hint="cs"/>
          <w:rtl/>
        </w:rPr>
        <w:t>ع</w:t>
      </w:r>
      <w:r w:rsidRPr="00822CE9">
        <w:rPr>
          <w:rFonts w:hint="cs"/>
          <w:rtl/>
        </w:rPr>
        <w:t>ي</w:t>
      </w:r>
      <w:r w:rsidR="00382F4F">
        <w:rPr>
          <w:rFonts w:hint="cs"/>
          <w:rtl/>
        </w:rPr>
        <w:t>ّ</w:t>
      </w:r>
      <w:r w:rsidRPr="00822CE9">
        <w:rPr>
          <w:rFonts w:hint="cs"/>
          <w:rtl/>
        </w:rPr>
        <w:t>ة أو عدم تطبيق الشريعة</w:t>
      </w:r>
      <w:r w:rsidR="00382F4F">
        <w:rPr>
          <w:rFonts w:hint="cs"/>
          <w:rtl/>
        </w:rPr>
        <w:t>؟</w:t>
      </w:r>
      <w:r w:rsidRPr="00822CE9">
        <w:rPr>
          <w:rFonts w:hint="cs"/>
          <w:rtl/>
        </w:rPr>
        <w:t xml:space="preserve"> وإن كان المفترض </w:t>
      </w:r>
      <w:r w:rsidR="00382F4F">
        <w:rPr>
          <w:rFonts w:hint="cs"/>
          <w:rtl/>
        </w:rPr>
        <w:t>بالمستدلّ هنا الالتزام بالإطلاق؛</w:t>
      </w:r>
      <w:r w:rsidRPr="00822CE9">
        <w:rPr>
          <w:rFonts w:hint="cs"/>
          <w:rtl/>
        </w:rPr>
        <w:t xml:space="preserve"> لأن</w:t>
      </w:r>
      <w:r w:rsidR="00382F4F">
        <w:rPr>
          <w:rFonts w:hint="cs"/>
          <w:rtl/>
        </w:rPr>
        <w:t>ّ</w:t>
      </w:r>
      <w:r w:rsidRPr="00822CE9">
        <w:rPr>
          <w:rFonts w:hint="cs"/>
          <w:rtl/>
        </w:rPr>
        <w:t>ه جعل معنى «الطاغوت» هو كل</w:t>
      </w:r>
      <w:r w:rsidR="002F5B3A">
        <w:rPr>
          <w:rFonts w:hint="cs"/>
          <w:rtl/>
        </w:rPr>
        <w:t>ّ</w:t>
      </w:r>
      <w:r w:rsidRPr="00822CE9">
        <w:rPr>
          <w:rFonts w:hint="cs"/>
          <w:rtl/>
        </w:rPr>
        <w:t xml:space="preserve"> تعدّ</w:t>
      </w:r>
      <w:r w:rsidR="002F5B3A">
        <w:rPr>
          <w:rFonts w:hint="cs"/>
          <w:rtl/>
        </w:rPr>
        <w:t>ٍ</w:t>
      </w:r>
      <w:r w:rsidRPr="00822CE9">
        <w:rPr>
          <w:rFonts w:hint="cs"/>
          <w:rtl/>
        </w:rPr>
        <w:t xml:space="preserve"> على حدود الله، إلا إذا كانت هناك قرينة صارفة.</w:t>
      </w:r>
    </w:p>
    <w:p w14:paraId="5092B31D" w14:textId="77777777" w:rsidR="001B6BFD" w:rsidRPr="001B6BFD" w:rsidRDefault="001B6BFD" w:rsidP="00BF0865">
      <w:pPr>
        <w:pStyle w:val="Heading2"/>
        <w:rPr>
          <w:rtl/>
        </w:rPr>
      </w:pPr>
      <w:bookmarkStart w:id="16" w:name="_Toc143804098"/>
      <w:bookmarkStart w:id="17" w:name="_Toc238123223"/>
      <w:r w:rsidRPr="001B6BFD">
        <w:rPr>
          <w:rFonts w:hint="cs"/>
          <w:rtl/>
        </w:rPr>
        <w:t>2 ـ مبدأ النهي عن الركون للظالمين وإنتاج فقه الثورة، تعليق ونقد</w:t>
      </w:r>
      <w:bookmarkEnd w:id="16"/>
      <w:bookmarkEnd w:id="17"/>
    </w:p>
    <w:p w14:paraId="26EE44FD" w14:textId="77777777" w:rsidR="000A4159" w:rsidRPr="00822CE9" w:rsidRDefault="000A4159" w:rsidP="004D7ED2">
      <w:pPr>
        <w:spacing w:line="214" w:lineRule="auto"/>
        <w:rPr>
          <w:rtl/>
        </w:rPr>
      </w:pPr>
      <w:r w:rsidRPr="00382F4F">
        <w:rPr>
          <w:rFonts w:hint="cs"/>
          <w:b/>
          <w:bCs/>
          <w:rtl/>
        </w:rPr>
        <w:t>ثاني</w:t>
      </w:r>
      <w:r w:rsidR="00D10031">
        <w:rPr>
          <w:rFonts w:hint="cs"/>
          <w:b/>
          <w:bCs/>
          <w:rtl/>
        </w:rPr>
        <w:t xml:space="preserve"> الأدلّة هو </w:t>
      </w:r>
      <w:r w:rsidRPr="00822CE9">
        <w:rPr>
          <w:rFonts w:hint="cs"/>
          <w:rtl/>
        </w:rPr>
        <w:t>ما دلّ من الآيات والروايات على النهي عن الركون إلى الظالمين</w:t>
      </w:r>
      <w:r w:rsidR="00382F4F">
        <w:rPr>
          <w:rFonts w:hint="cs"/>
          <w:rtl/>
        </w:rPr>
        <w:t>،</w:t>
      </w:r>
      <w:r w:rsidRPr="00822CE9">
        <w:rPr>
          <w:rFonts w:hint="cs"/>
          <w:rtl/>
        </w:rPr>
        <w:t xml:space="preserve"> كقوله تعالى: </w:t>
      </w:r>
      <w:r w:rsidRPr="00822CE9">
        <w:rPr>
          <w:rtl/>
        </w:rPr>
        <w:t>﴿</w:t>
      </w:r>
      <w:r w:rsidR="004D7ED2" w:rsidRPr="004D7ED2">
        <w:rPr>
          <w:b/>
          <w:bCs/>
          <w:rtl/>
        </w:rPr>
        <w:t>وَلَا تَرْكَنُوا إِلَى الَّذِينَ ظَلَمُوا فَتَمَسَّكُمُ النَّارُ وَمَا لَكُمْ مِنْ دُونِ اللَّهِ مِنْ أَوْلِيَاءَ ثُمَّ لَا تُنْصَرُونَ</w:t>
      </w:r>
      <w:r w:rsidRPr="00822CE9">
        <w:rPr>
          <w:rtl/>
        </w:rPr>
        <w:t>﴾</w:t>
      </w:r>
      <w:r w:rsidRPr="00822CE9">
        <w:rPr>
          <w:rFonts w:hint="cs"/>
          <w:rtl/>
        </w:rPr>
        <w:t xml:space="preserve"> (هود: 113).</w:t>
      </w:r>
    </w:p>
    <w:p w14:paraId="1DD97581" w14:textId="77777777" w:rsidR="000A4159" w:rsidRPr="00822CE9" w:rsidRDefault="000A4159" w:rsidP="00382F4F">
      <w:pPr>
        <w:spacing w:line="214" w:lineRule="auto"/>
        <w:rPr>
          <w:rtl/>
        </w:rPr>
      </w:pPr>
      <w:r w:rsidRPr="00822CE9">
        <w:rPr>
          <w:rFonts w:hint="cs"/>
          <w:rtl/>
        </w:rPr>
        <w:t>وبيان الاستدلال بهذه الآيات والروايات أن</w:t>
      </w:r>
      <w:r w:rsidR="00382F4F">
        <w:rPr>
          <w:rFonts w:hint="cs"/>
          <w:rtl/>
        </w:rPr>
        <w:t>ّ</w:t>
      </w:r>
      <w:r w:rsidRPr="00822CE9">
        <w:rPr>
          <w:rFonts w:hint="cs"/>
          <w:rtl/>
        </w:rPr>
        <w:t xml:space="preserve">ها ظاهرة في حرمة الركون، بدلالة صيغة النهي </w:t>
      </w:r>
      <w:r w:rsidR="00382F4F">
        <w:rPr>
          <w:rFonts w:hint="cs"/>
          <w:rtl/>
        </w:rPr>
        <w:t xml:space="preserve">فيها </w:t>
      </w:r>
      <w:r w:rsidRPr="00822CE9">
        <w:rPr>
          <w:rFonts w:hint="cs"/>
          <w:rtl/>
        </w:rPr>
        <w:t>من</w:t>
      </w:r>
      <w:r w:rsidR="00382F4F">
        <w:rPr>
          <w:rFonts w:hint="cs"/>
          <w:rtl/>
        </w:rPr>
        <w:t xml:space="preserve"> </w:t>
      </w:r>
      <w:r w:rsidRPr="00822CE9">
        <w:rPr>
          <w:rFonts w:hint="cs"/>
          <w:rtl/>
        </w:rPr>
        <w:t>جهة</w:t>
      </w:r>
      <w:r w:rsidR="00382F4F">
        <w:rPr>
          <w:rFonts w:hint="cs"/>
          <w:rtl/>
        </w:rPr>
        <w:t xml:space="preserve"> أولى</w:t>
      </w:r>
      <w:r w:rsidRPr="00822CE9">
        <w:rPr>
          <w:rFonts w:hint="cs"/>
          <w:rtl/>
        </w:rPr>
        <w:t>، والإعلام بإيجاب ذلك دخو</w:t>
      </w:r>
      <w:r w:rsidR="00382F4F">
        <w:rPr>
          <w:rFonts w:hint="cs"/>
          <w:rtl/>
        </w:rPr>
        <w:t>ل</w:t>
      </w:r>
      <w:r w:rsidRPr="00822CE9">
        <w:rPr>
          <w:rFonts w:hint="cs"/>
          <w:rtl/>
        </w:rPr>
        <w:t xml:space="preserve"> النار</w:t>
      </w:r>
      <w:r w:rsidR="00382F4F">
        <w:rPr>
          <w:rFonts w:hint="cs"/>
          <w:rtl/>
        </w:rPr>
        <w:t xml:space="preserve"> من جهة ثانية.</w:t>
      </w:r>
      <w:r w:rsidRPr="00822CE9">
        <w:rPr>
          <w:rFonts w:hint="cs"/>
          <w:rtl/>
        </w:rPr>
        <w:t xml:space="preserve"> ومعنى الركون هو الميل، والمصا</w:t>
      </w:r>
      <w:r w:rsidR="00382F4F">
        <w:rPr>
          <w:rFonts w:hint="cs"/>
          <w:rtl/>
        </w:rPr>
        <w:t>ح</w:t>
      </w:r>
      <w:r w:rsidRPr="00822CE9">
        <w:rPr>
          <w:rFonts w:hint="cs"/>
          <w:rtl/>
        </w:rPr>
        <w:t>بة، والانقطاع إليهم، ومداهنتهم وما شابه ذلك</w:t>
      </w:r>
      <w:r w:rsidR="00382F4F">
        <w:rPr>
          <w:rFonts w:hint="cs"/>
          <w:rtl/>
        </w:rPr>
        <w:t>.</w:t>
      </w:r>
      <w:r w:rsidRPr="00822CE9">
        <w:rPr>
          <w:rFonts w:hint="cs"/>
          <w:rtl/>
        </w:rPr>
        <w:t xml:space="preserve"> وهذا كلّه يلازمه فعلياً </w:t>
      </w:r>
      <w:r w:rsidR="00875AEF">
        <w:rPr>
          <w:rFonts w:hint="cs"/>
          <w:rtl/>
        </w:rPr>
        <w:t xml:space="preserve">مواجهتهم </w:t>
      </w:r>
      <w:r w:rsidR="00875AEF">
        <w:rPr>
          <w:rFonts w:hint="cs"/>
          <w:rtl/>
        </w:rPr>
        <w:lastRenderedPageBreak/>
        <w:t>ومقارعتهم؛ إذ لا يمكن أ</w:t>
      </w:r>
      <w:r w:rsidRPr="00822CE9">
        <w:rPr>
          <w:rFonts w:hint="cs"/>
          <w:rtl/>
        </w:rPr>
        <w:t>ن يجتمع عدم الركون إلى الطغاة مع العيش بسلام</w:t>
      </w:r>
      <w:r w:rsidR="00875AEF">
        <w:rPr>
          <w:rFonts w:hint="cs"/>
          <w:rtl/>
        </w:rPr>
        <w:t>ٍ</w:t>
      </w:r>
      <w:r w:rsidRPr="00822CE9">
        <w:rPr>
          <w:rFonts w:hint="cs"/>
          <w:rtl/>
        </w:rPr>
        <w:t xml:space="preserve"> معهم، فتدل</w:t>
      </w:r>
      <w:r w:rsidR="00875AEF">
        <w:rPr>
          <w:rFonts w:hint="cs"/>
          <w:rtl/>
        </w:rPr>
        <w:t>ّ</w:t>
      </w:r>
      <w:r w:rsidRPr="00822CE9">
        <w:rPr>
          <w:rFonts w:hint="cs"/>
          <w:rtl/>
        </w:rPr>
        <w:t xml:space="preserve"> </w:t>
      </w:r>
      <w:r w:rsidR="00875AEF">
        <w:rPr>
          <w:rFonts w:hint="cs"/>
          <w:rtl/>
        </w:rPr>
        <w:t xml:space="preserve">ـ </w:t>
      </w:r>
      <w:r w:rsidRPr="00822CE9">
        <w:rPr>
          <w:rFonts w:hint="cs"/>
          <w:rtl/>
        </w:rPr>
        <w:t xml:space="preserve">التزاماً </w:t>
      </w:r>
      <w:r w:rsidR="00875AEF">
        <w:rPr>
          <w:rFonts w:hint="cs"/>
          <w:rtl/>
        </w:rPr>
        <w:t xml:space="preserve">ـ </w:t>
      </w:r>
      <w:r w:rsidRPr="00822CE9">
        <w:rPr>
          <w:rFonts w:hint="cs"/>
          <w:rtl/>
        </w:rPr>
        <w:t>على وجوب الخروج</w:t>
      </w:r>
      <w:r w:rsidR="00875AEF">
        <w:rPr>
          <w:rFonts w:hint="cs"/>
          <w:rtl/>
        </w:rPr>
        <w:t>،</w:t>
      </w:r>
      <w:r w:rsidRPr="00822CE9">
        <w:rPr>
          <w:rFonts w:hint="cs"/>
          <w:rtl/>
        </w:rPr>
        <w:t xml:space="preserve"> </w:t>
      </w:r>
      <w:r w:rsidR="00875AEF">
        <w:rPr>
          <w:rFonts w:hint="cs"/>
          <w:rtl/>
        </w:rPr>
        <w:t xml:space="preserve">بما فيه </w:t>
      </w:r>
      <w:r w:rsidRPr="00822CE9">
        <w:rPr>
          <w:rFonts w:hint="cs"/>
          <w:rtl/>
        </w:rPr>
        <w:t>المسلّح</w:t>
      </w:r>
      <w:r w:rsidR="00875AEF">
        <w:rPr>
          <w:rFonts w:hint="cs"/>
          <w:rtl/>
        </w:rPr>
        <w:t>،</w:t>
      </w:r>
      <w:r w:rsidRPr="00822CE9">
        <w:rPr>
          <w:rFonts w:hint="cs"/>
          <w:rtl/>
        </w:rPr>
        <w:t xml:space="preserve"> عليهم، حيث لا يمكن غيره</w:t>
      </w:r>
      <w:r w:rsidRPr="000A4159">
        <w:rPr>
          <w:rFonts w:cs="Taher"/>
          <w:vertAlign w:val="superscript"/>
          <w:rtl/>
        </w:rPr>
        <w:t>(</w:t>
      </w:r>
      <w:r w:rsidRPr="000A4159">
        <w:rPr>
          <w:rStyle w:val="FootnoteReference"/>
          <w:rFonts w:cs="Taher"/>
          <w:rtl/>
        </w:rPr>
        <w:footnoteReference w:id="11"/>
      </w:r>
      <w:r w:rsidRPr="000A4159">
        <w:rPr>
          <w:rFonts w:cs="Taher"/>
          <w:vertAlign w:val="superscript"/>
          <w:rtl/>
        </w:rPr>
        <w:t>)</w:t>
      </w:r>
      <w:r w:rsidRPr="00822CE9">
        <w:rPr>
          <w:rtl/>
        </w:rPr>
        <w:t>.</w:t>
      </w:r>
    </w:p>
    <w:p w14:paraId="3A7D964D" w14:textId="77777777" w:rsidR="000A4159" w:rsidRPr="00822CE9" w:rsidRDefault="000A4159" w:rsidP="00306426">
      <w:pPr>
        <w:pStyle w:val="normal930"/>
        <w:rPr>
          <w:rtl/>
        </w:rPr>
      </w:pPr>
      <w:r w:rsidRPr="00875AEF">
        <w:rPr>
          <w:rFonts w:hint="cs"/>
          <w:b/>
          <w:bCs/>
          <w:rtl/>
        </w:rPr>
        <w:t>وهذا الوجه قابل للمناقشة أيضاً؛</w:t>
      </w:r>
      <w:r w:rsidRPr="00822CE9">
        <w:rPr>
          <w:rFonts w:hint="cs"/>
          <w:rtl/>
        </w:rPr>
        <w:t xml:space="preserve"> وذلك أن</w:t>
      </w:r>
      <w:r w:rsidR="00875AEF">
        <w:rPr>
          <w:rFonts w:hint="cs"/>
          <w:rtl/>
        </w:rPr>
        <w:t>ّ</w:t>
      </w:r>
      <w:r w:rsidRPr="00822CE9">
        <w:rPr>
          <w:rFonts w:hint="cs"/>
          <w:rtl/>
        </w:rPr>
        <w:t xml:space="preserve"> عدم الركون لا يلازم ـ عرفاً ـ المواجهة معهم، بل يصدق بالهجرة عن دارهم، وبالمعارضة السلمي</w:t>
      </w:r>
      <w:r w:rsidR="00875AEF">
        <w:rPr>
          <w:rFonts w:hint="cs"/>
          <w:rtl/>
        </w:rPr>
        <w:t>ّ</w:t>
      </w:r>
      <w:r w:rsidRPr="00822CE9">
        <w:rPr>
          <w:rFonts w:hint="cs"/>
          <w:rtl/>
        </w:rPr>
        <w:t xml:space="preserve">ة لهم حتى لو لم </w:t>
      </w:r>
      <w:r w:rsidR="00875AEF">
        <w:rPr>
          <w:rFonts w:hint="cs"/>
          <w:rtl/>
        </w:rPr>
        <w:t>تؤدّ إلى نتيجة، حيث يقال عرفاً إ</w:t>
      </w:r>
      <w:r w:rsidRPr="00822CE9">
        <w:rPr>
          <w:rFonts w:hint="cs"/>
          <w:rtl/>
        </w:rPr>
        <w:t>ن</w:t>
      </w:r>
      <w:r w:rsidR="00875AEF">
        <w:rPr>
          <w:rFonts w:hint="cs"/>
          <w:rtl/>
        </w:rPr>
        <w:t>ّ</w:t>
      </w:r>
      <w:r w:rsidRPr="00822CE9">
        <w:rPr>
          <w:rFonts w:hint="cs"/>
          <w:rtl/>
        </w:rPr>
        <w:t xml:space="preserve">ه لا </w:t>
      </w:r>
      <w:r w:rsidR="00875AEF">
        <w:rPr>
          <w:rFonts w:hint="cs"/>
          <w:rtl/>
        </w:rPr>
        <w:t>ركون إ</w:t>
      </w:r>
      <w:r w:rsidRPr="00822CE9">
        <w:rPr>
          <w:rFonts w:hint="cs"/>
          <w:rtl/>
        </w:rPr>
        <w:t>ليهم ولا ميل نحوهم، فالاستدلال بهذه الملازمة المدّعاة في غير محلّها.</w:t>
      </w:r>
    </w:p>
    <w:p w14:paraId="7EFBE9E7" w14:textId="77777777" w:rsidR="000A4159" w:rsidRDefault="000A4159" w:rsidP="00306426">
      <w:pPr>
        <w:pStyle w:val="normal930"/>
        <w:rPr>
          <w:rtl/>
        </w:rPr>
      </w:pPr>
      <w:r w:rsidRPr="00822CE9">
        <w:rPr>
          <w:rFonts w:hint="cs"/>
          <w:rtl/>
        </w:rPr>
        <w:t>والمدلول اللغوي لك</w:t>
      </w:r>
      <w:r w:rsidR="004D7ED2">
        <w:rPr>
          <w:rFonts w:hint="cs"/>
          <w:rtl/>
        </w:rPr>
        <w:t>لمة الركون وأمثالها يفيد فعلاً إ</w:t>
      </w:r>
      <w:r w:rsidRPr="00822CE9">
        <w:rPr>
          <w:rFonts w:hint="cs"/>
          <w:rtl/>
        </w:rPr>
        <w:t>يجابي</w:t>
      </w:r>
      <w:r w:rsidR="00875AEF">
        <w:rPr>
          <w:rFonts w:hint="cs"/>
          <w:rtl/>
        </w:rPr>
        <w:t>ّ</w:t>
      </w:r>
      <w:r w:rsidRPr="00822CE9">
        <w:rPr>
          <w:rFonts w:hint="cs"/>
          <w:rtl/>
        </w:rPr>
        <w:t xml:space="preserve">اً نحوهم مثل الميل والمصاحبة والانقطاع إليهم ومداهنتهم والتودّد إليهم </w:t>
      </w:r>
      <w:r w:rsidR="004E3652">
        <w:rPr>
          <w:rFonts w:hint="cs"/>
          <w:rtl/>
        </w:rPr>
        <w:t xml:space="preserve">والاعتماد والاتكاء عليهم </w:t>
      </w:r>
      <w:r w:rsidRPr="00822CE9">
        <w:rPr>
          <w:rFonts w:hint="cs"/>
          <w:rtl/>
        </w:rPr>
        <w:t>و..</w:t>
      </w:r>
      <w:r w:rsidR="00875AEF">
        <w:rPr>
          <w:rFonts w:hint="cs"/>
          <w:rtl/>
        </w:rPr>
        <w:t xml:space="preserve"> </w:t>
      </w:r>
      <w:r w:rsidRPr="00822CE9">
        <w:rPr>
          <w:rFonts w:hint="cs"/>
          <w:rtl/>
        </w:rPr>
        <w:t>أم</w:t>
      </w:r>
      <w:r w:rsidR="00875AEF">
        <w:rPr>
          <w:rFonts w:hint="cs"/>
          <w:rtl/>
        </w:rPr>
        <w:t>ّا الانعزال عنهم وهجرهم وأ</w:t>
      </w:r>
      <w:r w:rsidRPr="00822CE9">
        <w:rPr>
          <w:rFonts w:hint="cs"/>
          <w:rtl/>
        </w:rPr>
        <w:t xml:space="preserve">مثال ذلك فلا </w:t>
      </w:r>
      <w:r w:rsidR="00875AEF">
        <w:rPr>
          <w:rFonts w:hint="cs"/>
          <w:rtl/>
        </w:rPr>
        <w:t xml:space="preserve">تفيده </w:t>
      </w:r>
      <w:r w:rsidRPr="00822CE9">
        <w:rPr>
          <w:rFonts w:hint="cs"/>
          <w:rtl/>
        </w:rPr>
        <w:t>الدلالة اللغوية إطلاقاً.</w:t>
      </w:r>
      <w:r w:rsidR="00555972">
        <w:rPr>
          <w:rFonts w:hint="cs"/>
          <w:rtl/>
        </w:rPr>
        <w:t xml:space="preserve"> وقد بح</w:t>
      </w:r>
      <w:r w:rsidR="00875AEF">
        <w:rPr>
          <w:rFonts w:hint="cs"/>
          <w:rtl/>
        </w:rPr>
        <w:t>ثنا حول مفهوم الركون بالتفصيل في موضعه</w:t>
      </w:r>
      <w:r w:rsidR="00875AEF" w:rsidRPr="000A4159">
        <w:rPr>
          <w:rFonts w:cs="Taher"/>
          <w:vertAlign w:val="superscript"/>
          <w:rtl/>
        </w:rPr>
        <w:t>(</w:t>
      </w:r>
      <w:r w:rsidR="00875AEF" w:rsidRPr="000A4159">
        <w:rPr>
          <w:rStyle w:val="FootnoteReference"/>
          <w:rFonts w:cs="Taher"/>
          <w:rtl/>
        </w:rPr>
        <w:footnoteReference w:id="12"/>
      </w:r>
      <w:r w:rsidR="00875AEF" w:rsidRPr="000A4159">
        <w:rPr>
          <w:rFonts w:cs="Taher"/>
          <w:vertAlign w:val="superscript"/>
          <w:rtl/>
        </w:rPr>
        <w:t>)</w:t>
      </w:r>
      <w:r w:rsidR="00875AEF">
        <w:rPr>
          <w:rFonts w:hint="cs"/>
          <w:rtl/>
        </w:rPr>
        <w:t>.</w:t>
      </w:r>
    </w:p>
    <w:p w14:paraId="21492C45" w14:textId="77777777" w:rsidR="003503D0" w:rsidRPr="003503D0" w:rsidRDefault="003503D0" w:rsidP="00BF0865">
      <w:pPr>
        <w:pStyle w:val="Heading2"/>
        <w:rPr>
          <w:rtl/>
        </w:rPr>
      </w:pPr>
      <w:bookmarkStart w:id="18" w:name="_Toc143804099"/>
      <w:bookmarkStart w:id="19" w:name="_Toc238123224"/>
      <w:r w:rsidRPr="003503D0">
        <w:rPr>
          <w:rFonts w:hint="cs"/>
          <w:rtl/>
        </w:rPr>
        <w:t>3 ـ مرجعيّة الأمر بالمعروف والنهي عن المنكر في تأصيل التفكير الثوري</w:t>
      </w:r>
      <w:r>
        <w:rPr>
          <w:rFonts w:hint="cs"/>
          <w:rtl/>
        </w:rPr>
        <w:t>، وقفة تأمّل</w:t>
      </w:r>
      <w:bookmarkEnd w:id="18"/>
      <w:bookmarkEnd w:id="19"/>
    </w:p>
    <w:p w14:paraId="0F341588" w14:textId="77777777" w:rsidR="000A4159" w:rsidRPr="00822CE9" w:rsidRDefault="000A4159" w:rsidP="00306426">
      <w:pPr>
        <w:pStyle w:val="normal930"/>
        <w:rPr>
          <w:rtl/>
        </w:rPr>
      </w:pPr>
      <w:r w:rsidRPr="00555972">
        <w:rPr>
          <w:rFonts w:hint="cs"/>
          <w:b/>
          <w:bCs/>
          <w:rtl/>
        </w:rPr>
        <w:t>ثالث</w:t>
      </w:r>
      <w:r w:rsidR="00C15FF3">
        <w:rPr>
          <w:rFonts w:hint="cs"/>
          <w:b/>
          <w:bCs/>
          <w:rtl/>
        </w:rPr>
        <w:t xml:space="preserve"> المرجعيّات الاستدلاليّة هنا،</w:t>
      </w:r>
      <w:r w:rsidR="00C15FF3" w:rsidRPr="00C15FF3">
        <w:rPr>
          <w:rFonts w:hint="cs"/>
          <w:rtl/>
        </w:rPr>
        <w:t xml:space="preserve"> هو</w:t>
      </w:r>
      <w:r w:rsidRPr="00C15FF3">
        <w:rPr>
          <w:rFonts w:hint="cs"/>
          <w:rtl/>
        </w:rPr>
        <w:t xml:space="preserve"> ال</w:t>
      </w:r>
      <w:r w:rsidRPr="00822CE9">
        <w:rPr>
          <w:rFonts w:hint="cs"/>
          <w:rtl/>
        </w:rPr>
        <w:t>استناد إلى الآيات والروايات الدالّة على وجوب الأمر بالمعروف والنهي عن المن</w:t>
      </w:r>
      <w:r w:rsidR="00555972">
        <w:rPr>
          <w:rFonts w:hint="cs"/>
          <w:rtl/>
        </w:rPr>
        <w:t>كر، حيث تدلّ بإطلاقها على لزوم إ</w:t>
      </w:r>
      <w:r w:rsidRPr="00822CE9">
        <w:rPr>
          <w:rFonts w:hint="cs"/>
          <w:rtl/>
        </w:rPr>
        <w:t>سقاط النظام المنحرف أو القيام عليه، ولو قياماً مسل</w:t>
      </w:r>
      <w:r w:rsidR="00555972">
        <w:rPr>
          <w:rFonts w:hint="cs"/>
          <w:rtl/>
        </w:rPr>
        <w:t>ّح</w:t>
      </w:r>
      <w:r w:rsidRPr="00822CE9">
        <w:rPr>
          <w:rFonts w:hint="cs"/>
          <w:rtl/>
        </w:rPr>
        <w:t>ا</w:t>
      </w:r>
      <w:r w:rsidR="00555972">
        <w:rPr>
          <w:rFonts w:hint="cs"/>
          <w:rtl/>
        </w:rPr>
        <w:t>ً</w:t>
      </w:r>
      <w:r w:rsidRPr="000A4159">
        <w:rPr>
          <w:rFonts w:cs="Taher"/>
          <w:vertAlign w:val="superscript"/>
          <w:rtl/>
        </w:rPr>
        <w:t>(</w:t>
      </w:r>
      <w:r w:rsidRPr="000A4159">
        <w:rPr>
          <w:rStyle w:val="FootnoteReference"/>
          <w:rFonts w:cs="Taher"/>
          <w:rtl/>
        </w:rPr>
        <w:footnoteReference w:id="13"/>
      </w:r>
      <w:r w:rsidRPr="000A4159">
        <w:rPr>
          <w:rFonts w:cs="Taher"/>
          <w:vertAlign w:val="superscript"/>
          <w:rtl/>
        </w:rPr>
        <w:t>)</w:t>
      </w:r>
      <w:r w:rsidRPr="00822CE9">
        <w:rPr>
          <w:rtl/>
        </w:rPr>
        <w:t>.</w:t>
      </w:r>
      <w:r w:rsidR="00333E31">
        <w:rPr>
          <w:rFonts w:hint="cs"/>
          <w:rtl/>
        </w:rPr>
        <w:t xml:space="preserve"> ومن الواضح في أدبيات التاريخ الإسلامي ومذاهبه استخدام هذه المفردة في تبرير الثورات، فخلع عنوان الأمر والنهي هو من الأمور المتداولة في الأدبيات القديمة عند الثوريّين المسلمين المعارضين للسلطات القائمة آنذاك.</w:t>
      </w:r>
    </w:p>
    <w:p w14:paraId="5C2ABA4D" w14:textId="77777777" w:rsidR="000A4159" w:rsidRPr="00306426" w:rsidRDefault="000A4159" w:rsidP="00306426">
      <w:pPr>
        <w:pStyle w:val="normal930"/>
        <w:rPr>
          <w:b/>
          <w:bCs/>
          <w:rtl/>
        </w:rPr>
      </w:pPr>
      <w:r w:rsidRPr="00306426">
        <w:rPr>
          <w:rFonts w:hint="cs"/>
          <w:b/>
          <w:bCs/>
          <w:rtl/>
        </w:rPr>
        <w:t>وبيان كيفي</w:t>
      </w:r>
      <w:r w:rsidR="00555972" w:rsidRPr="00306426">
        <w:rPr>
          <w:rFonts w:hint="cs"/>
          <w:b/>
          <w:bCs/>
          <w:rtl/>
        </w:rPr>
        <w:t>ّة الاستناد إلى أ</w:t>
      </w:r>
      <w:r w:rsidRPr="00306426">
        <w:rPr>
          <w:rFonts w:hint="cs"/>
          <w:b/>
          <w:bCs/>
          <w:rtl/>
        </w:rPr>
        <w:t>دلّة فريضة الأمر بالمعروف هنا، وهو من أهم الأدلّة، هو:</w:t>
      </w:r>
    </w:p>
    <w:p w14:paraId="6E3A0924" w14:textId="77777777" w:rsidR="000A4159" w:rsidRPr="00822CE9" w:rsidRDefault="000A4159" w:rsidP="00306426">
      <w:pPr>
        <w:pStyle w:val="normal930"/>
        <w:rPr>
          <w:rtl/>
        </w:rPr>
      </w:pPr>
      <w:r w:rsidRPr="00555972">
        <w:rPr>
          <w:rFonts w:hint="cs"/>
          <w:b/>
          <w:bCs/>
          <w:rtl/>
        </w:rPr>
        <w:t>أ ـ</w:t>
      </w:r>
      <w:r w:rsidR="00555972">
        <w:rPr>
          <w:rFonts w:hint="cs"/>
          <w:rtl/>
        </w:rPr>
        <w:t xml:space="preserve"> إ</w:t>
      </w:r>
      <w:r w:rsidRPr="00822CE9">
        <w:rPr>
          <w:rFonts w:hint="cs"/>
          <w:rtl/>
        </w:rPr>
        <w:t>نّ المراد بالأمر والنهي في هذه الفريضة ليس الأمر والنهي القو</w:t>
      </w:r>
      <w:r w:rsidR="00555972">
        <w:rPr>
          <w:rFonts w:hint="cs"/>
          <w:rtl/>
        </w:rPr>
        <w:t>ليّين</w:t>
      </w:r>
      <w:r w:rsidRPr="00822CE9">
        <w:rPr>
          <w:rFonts w:hint="cs"/>
          <w:rtl/>
        </w:rPr>
        <w:t>، بحيث يستخدم الآمر صيغة الأمر أو مادته، أو يستخدم الناهي صيغة النهي أو مادته، وإن</w:t>
      </w:r>
      <w:r w:rsidR="00555972">
        <w:rPr>
          <w:rFonts w:hint="cs"/>
          <w:rtl/>
        </w:rPr>
        <w:t>ّ</w:t>
      </w:r>
      <w:r w:rsidRPr="00822CE9">
        <w:rPr>
          <w:rFonts w:hint="cs"/>
          <w:rtl/>
        </w:rPr>
        <w:t xml:space="preserve">ما الحمل على المعروف </w:t>
      </w:r>
      <w:r w:rsidRPr="00822CE9">
        <w:rPr>
          <w:rFonts w:hint="cs"/>
          <w:rtl/>
        </w:rPr>
        <w:lastRenderedPageBreak/>
        <w:t>والمنكر، وهذا المعنى كما يكون باللسان يكون باليد أيضاً، وتطبيقه في موردنا بأن</w:t>
      </w:r>
      <w:r w:rsidR="00555972">
        <w:rPr>
          <w:rFonts w:hint="cs"/>
          <w:rtl/>
        </w:rPr>
        <w:t>ّ</w:t>
      </w:r>
      <w:r w:rsidRPr="00822CE9">
        <w:rPr>
          <w:rFonts w:hint="cs"/>
          <w:rtl/>
        </w:rPr>
        <w:t xml:space="preserve"> استخدام القوّة ضدّه نوع</w:t>
      </w:r>
      <w:r w:rsidR="00555972">
        <w:rPr>
          <w:rFonts w:hint="cs"/>
          <w:rtl/>
        </w:rPr>
        <w:t>ٌ</w:t>
      </w:r>
      <w:r w:rsidRPr="00822CE9">
        <w:rPr>
          <w:rFonts w:hint="cs"/>
          <w:rtl/>
        </w:rPr>
        <w:t xml:space="preserve"> من حمل الحاكم على المعروف وترك المنكر، فتكون إطلاقات هذه الفريضة شاملة لهذا الباب أيضاً.</w:t>
      </w:r>
    </w:p>
    <w:p w14:paraId="437D9CDE" w14:textId="77777777" w:rsidR="000A4159" w:rsidRPr="00822CE9" w:rsidRDefault="000A4159" w:rsidP="00306426">
      <w:pPr>
        <w:pStyle w:val="normal930"/>
        <w:rPr>
          <w:rtl/>
        </w:rPr>
      </w:pPr>
      <w:r w:rsidRPr="00555972">
        <w:rPr>
          <w:rFonts w:hint="cs"/>
          <w:b/>
          <w:bCs/>
          <w:rtl/>
        </w:rPr>
        <w:t>ب ـ</w:t>
      </w:r>
      <w:r w:rsidR="00555972">
        <w:rPr>
          <w:rFonts w:hint="cs"/>
          <w:rtl/>
        </w:rPr>
        <w:t xml:space="preserve"> أن ن</w:t>
      </w:r>
      <w:r w:rsidRPr="00822CE9">
        <w:rPr>
          <w:rFonts w:hint="cs"/>
          <w:rtl/>
        </w:rPr>
        <w:t>ستند إلى الروايات الواردة في باب الأمر بالمعروف والنهي عن المنكر والتي تؤس</w:t>
      </w:r>
      <w:r w:rsidR="00555972">
        <w:rPr>
          <w:rFonts w:hint="cs"/>
          <w:rtl/>
        </w:rPr>
        <w:t>ّ</w:t>
      </w:r>
      <w:r w:rsidRPr="00822CE9">
        <w:rPr>
          <w:rFonts w:hint="cs"/>
          <w:rtl/>
        </w:rPr>
        <w:t>س لمرتبة</w:t>
      </w:r>
      <w:r w:rsidR="00555972">
        <w:rPr>
          <w:rFonts w:hint="cs"/>
          <w:rtl/>
        </w:rPr>
        <w:t>ٍ</w:t>
      </w:r>
      <w:r w:rsidRPr="00822CE9">
        <w:rPr>
          <w:rFonts w:hint="cs"/>
          <w:rtl/>
        </w:rPr>
        <w:t xml:space="preserve"> جديدة من مراتبه، وهي مرتبة اليد، بدعوى أن</w:t>
      </w:r>
      <w:r w:rsidR="00555972">
        <w:rPr>
          <w:rFonts w:hint="cs"/>
          <w:rtl/>
        </w:rPr>
        <w:t>ّ</w:t>
      </w:r>
      <w:r w:rsidRPr="00822CE9">
        <w:rPr>
          <w:rFonts w:hint="cs"/>
          <w:rtl/>
        </w:rPr>
        <w:t xml:space="preserve"> المراد باليد، مطلق الحمل على المعروف ولو باستخدام القوّة، فيكون موردنا هنا مشمولاً لنصوص هذه المرتبة حينئذ.</w:t>
      </w:r>
    </w:p>
    <w:p w14:paraId="44F7D4FA" w14:textId="77777777" w:rsidR="000A4159" w:rsidRPr="00822CE9" w:rsidRDefault="000A4159" w:rsidP="004D7ED2">
      <w:pPr>
        <w:spacing w:line="214" w:lineRule="auto"/>
        <w:rPr>
          <w:rtl/>
        </w:rPr>
      </w:pPr>
      <w:r w:rsidRPr="004D7ED2">
        <w:rPr>
          <w:rFonts w:hint="cs"/>
          <w:b/>
          <w:bCs/>
          <w:rtl/>
        </w:rPr>
        <w:t xml:space="preserve">ومما يساعد على </w:t>
      </w:r>
      <w:r w:rsidR="00555972" w:rsidRPr="004D7ED2">
        <w:rPr>
          <w:rFonts w:hint="cs"/>
          <w:b/>
          <w:bCs/>
          <w:rtl/>
        </w:rPr>
        <w:t xml:space="preserve">هذا </w:t>
      </w:r>
      <w:r w:rsidRPr="004D7ED2">
        <w:rPr>
          <w:rFonts w:hint="cs"/>
          <w:b/>
          <w:bCs/>
          <w:rtl/>
        </w:rPr>
        <w:t>الفهم لباب الأمر بالمعروف هو ما نجده عند بعض الفقهاء من إدراج باب الجهاد في كتاب الأمر بالمعروف والنهي عن المنكر،</w:t>
      </w:r>
      <w:r w:rsidRPr="00822CE9">
        <w:rPr>
          <w:rFonts w:hint="cs"/>
          <w:rtl/>
        </w:rPr>
        <w:t xml:space="preserve"> مما يشير </w:t>
      </w:r>
      <w:r w:rsidR="00555972">
        <w:rPr>
          <w:rFonts w:hint="cs"/>
          <w:rtl/>
        </w:rPr>
        <w:t>إ</w:t>
      </w:r>
      <w:r w:rsidRPr="00822CE9">
        <w:rPr>
          <w:rFonts w:hint="cs"/>
          <w:rtl/>
        </w:rPr>
        <w:t>ل</w:t>
      </w:r>
      <w:r w:rsidR="00555972">
        <w:rPr>
          <w:rFonts w:hint="cs"/>
          <w:rtl/>
        </w:rPr>
        <w:t xml:space="preserve">ى </w:t>
      </w:r>
      <w:r w:rsidRPr="00822CE9">
        <w:rPr>
          <w:rFonts w:hint="cs"/>
          <w:rtl/>
        </w:rPr>
        <w:t>أن</w:t>
      </w:r>
      <w:r w:rsidR="00555972">
        <w:rPr>
          <w:rFonts w:hint="cs"/>
          <w:rtl/>
        </w:rPr>
        <w:t>ّ</w:t>
      </w:r>
      <w:r w:rsidRPr="00822CE9">
        <w:rPr>
          <w:rFonts w:hint="cs"/>
          <w:rtl/>
        </w:rPr>
        <w:t>هم يرون فيها مفهوماً مندرجاً في الأمر بالمعروف أو في جوّه ومناخه.</w:t>
      </w:r>
    </w:p>
    <w:p w14:paraId="72B25CF9" w14:textId="77777777" w:rsidR="000A4159" w:rsidRPr="00555972" w:rsidRDefault="000A4159" w:rsidP="00333E31">
      <w:pPr>
        <w:spacing w:line="214" w:lineRule="auto"/>
        <w:rPr>
          <w:b/>
          <w:bCs/>
          <w:rtl/>
        </w:rPr>
      </w:pPr>
      <w:r w:rsidRPr="00555972">
        <w:rPr>
          <w:rFonts w:hint="cs"/>
          <w:b/>
          <w:bCs/>
          <w:rtl/>
        </w:rPr>
        <w:t xml:space="preserve">وهذا الدليل </w:t>
      </w:r>
      <w:r w:rsidR="00333E31">
        <w:rPr>
          <w:rFonts w:hint="cs"/>
          <w:b/>
          <w:bCs/>
          <w:rtl/>
        </w:rPr>
        <w:t>سبق أن ناقشناه بالتفصيل في مباحث فقه الأمر بالمعروف والنهي عن المنكر</w:t>
      </w:r>
      <w:r w:rsidR="00333E31" w:rsidRPr="000A4159">
        <w:rPr>
          <w:rFonts w:cs="Taher"/>
          <w:vertAlign w:val="superscript"/>
          <w:rtl/>
        </w:rPr>
        <w:t>(</w:t>
      </w:r>
      <w:r w:rsidR="00333E31" w:rsidRPr="000A4159">
        <w:rPr>
          <w:rStyle w:val="FootnoteReference"/>
          <w:rFonts w:cs="Taher"/>
          <w:rtl/>
        </w:rPr>
        <w:footnoteReference w:id="14"/>
      </w:r>
      <w:r w:rsidR="00333E31" w:rsidRPr="000A4159">
        <w:rPr>
          <w:rFonts w:cs="Taher"/>
          <w:vertAlign w:val="superscript"/>
          <w:rtl/>
        </w:rPr>
        <w:t>)</w:t>
      </w:r>
      <w:r w:rsidR="00333E31">
        <w:rPr>
          <w:rFonts w:hint="cs"/>
          <w:b/>
          <w:bCs/>
          <w:rtl/>
        </w:rPr>
        <w:t xml:space="preserve">، لكنّني أشير هنا لبعضٍ من تلك المداخلات باختصار، وعلى هذا </w:t>
      </w:r>
      <w:r w:rsidRPr="00555972">
        <w:rPr>
          <w:rFonts w:hint="cs"/>
          <w:b/>
          <w:bCs/>
          <w:rtl/>
        </w:rPr>
        <w:t>يمكن المناقشة فيه بكل</w:t>
      </w:r>
      <w:r w:rsidR="00555972">
        <w:rPr>
          <w:rFonts w:hint="cs"/>
          <w:b/>
          <w:bCs/>
          <w:rtl/>
        </w:rPr>
        <w:t>ت</w:t>
      </w:r>
      <w:r w:rsidRPr="00555972">
        <w:rPr>
          <w:rFonts w:hint="cs"/>
          <w:b/>
          <w:bCs/>
          <w:rtl/>
        </w:rPr>
        <w:t xml:space="preserve">ا </w:t>
      </w:r>
      <w:r w:rsidR="00555972">
        <w:rPr>
          <w:rFonts w:hint="cs"/>
          <w:b/>
          <w:bCs/>
          <w:rtl/>
        </w:rPr>
        <w:t>ص</w:t>
      </w:r>
      <w:r w:rsidRPr="00555972">
        <w:rPr>
          <w:rFonts w:hint="cs"/>
          <w:b/>
          <w:bCs/>
          <w:rtl/>
        </w:rPr>
        <w:t>ي</w:t>
      </w:r>
      <w:r w:rsidR="00555972">
        <w:rPr>
          <w:rFonts w:hint="cs"/>
          <w:b/>
          <w:bCs/>
          <w:rtl/>
        </w:rPr>
        <w:t>غتي</w:t>
      </w:r>
      <w:r w:rsidRPr="00555972">
        <w:rPr>
          <w:rFonts w:hint="cs"/>
          <w:b/>
          <w:bCs/>
          <w:rtl/>
        </w:rPr>
        <w:t>ه</w:t>
      </w:r>
      <w:r w:rsidR="00555972">
        <w:rPr>
          <w:rFonts w:hint="cs"/>
          <w:b/>
          <w:bCs/>
          <w:rtl/>
        </w:rPr>
        <w:t>؛</w:t>
      </w:r>
      <w:r w:rsidRPr="00555972">
        <w:rPr>
          <w:rFonts w:hint="cs"/>
          <w:b/>
          <w:bCs/>
          <w:rtl/>
        </w:rPr>
        <w:t xml:space="preserve"> وذلك:</w:t>
      </w:r>
    </w:p>
    <w:p w14:paraId="3FA5BAB6" w14:textId="77777777" w:rsidR="000A4159" w:rsidRPr="00822CE9" w:rsidRDefault="000A4159" w:rsidP="00306426">
      <w:pPr>
        <w:pStyle w:val="normal930"/>
        <w:rPr>
          <w:rtl/>
        </w:rPr>
      </w:pPr>
      <w:r w:rsidRPr="00555972">
        <w:rPr>
          <w:rFonts w:hint="cs"/>
          <w:b/>
          <w:bCs/>
          <w:rtl/>
        </w:rPr>
        <w:t>أو</w:t>
      </w:r>
      <w:r w:rsidR="00555972">
        <w:rPr>
          <w:rFonts w:hint="cs"/>
          <w:b/>
          <w:bCs/>
          <w:rtl/>
        </w:rPr>
        <w:t>ّ</w:t>
      </w:r>
      <w:r w:rsidRPr="00555972">
        <w:rPr>
          <w:rFonts w:hint="cs"/>
          <w:b/>
          <w:bCs/>
          <w:rtl/>
        </w:rPr>
        <w:t>لاً:</w:t>
      </w:r>
      <w:r w:rsidRPr="00822CE9">
        <w:rPr>
          <w:rFonts w:hint="cs"/>
          <w:rtl/>
        </w:rPr>
        <w:t xml:space="preserve"> إن</w:t>
      </w:r>
      <w:r w:rsidR="00555972">
        <w:rPr>
          <w:rFonts w:hint="cs"/>
          <w:rtl/>
        </w:rPr>
        <w:t>ّ</w:t>
      </w:r>
      <w:r w:rsidRPr="00822CE9">
        <w:rPr>
          <w:rFonts w:hint="cs"/>
          <w:rtl/>
        </w:rPr>
        <w:t xml:space="preserve"> هذا المورد</w:t>
      </w:r>
      <w:r w:rsidR="00555972">
        <w:rPr>
          <w:rFonts w:hint="cs"/>
          <w:rtl/>
        </w:rPr>
        <w:t>،</w:t>
      </w:r>
      <w:r w:rsidRPr="00822CE9">
        <w:rPr>
          <w:rFonts w:hint="cs"/>
          <w:rtl/>
        </w:rPr>
        <w:t xml:space="preserve"> أي تطبيق باب الأمر بالمعروف والنهي عن المنكر على موارد الجهاد الداخل</w:t>
      </w:r>
      <w:r w:rsidR="00555972">
        <w:rPr>
          <w:rFonts w:hint="cs"/>
          <w:rtl/>
        </w:rPr>
        <w:t xml:space="preserve"> ـ إسلامي</w:t>
      </w:r>
      <w:r w:rsidRPr="00822CE9">
        <w:rPr>
          <w:rFonts w:hint="cs"/>
          <w:rtl/>
        </w:rPr>
        <w:t xml:space="preserve"> الموجب لإراقة الدماء</w:t>
      </w:r>
      <w:r w:rsidR="00555972">
        <w:rPr>
          <w:rFonts w:hint="cs"/>
          <w:rtl/>
        </w:rPr>
        <w:t>،</w:t>
      </w:r>
      <w:r w:rsidRPr="00822CE9">
        <w:rPr>
          <w:rFonts w:hint="cs"/>
          <w:rtl/>
        </w:rPr>
        <w:t xml:space="preserve"> لا يحرز شمول إطلاقات باب الأمر بالمعروف له؛ لأن</w:t>
      </w:r>
      <w:r w:rsidR="00555972">
        <w:rPr>
          <w:rFonts w:hint="cs"/>
          <w:rtl/>
        </w:rPr>
        <w:t>ّ</w:t>
      </w:r>
      <w:r w:rsidRPr="00822CE9">
        <w:rPr>
          <w:rFonts w:hint="cs"/>
          <w:rtl/>
        </w:rPr>
        <w:t xml:space="preserve"> هذه الإطلاقات جاءت</w:t>
      </w:r>
      <w:r w:rsidR="00555972">
        <w:rPr>
          <w:rFonts w:hint="cs"/>
          <w:rtl/>
        </w:rPr>
        <w:t>:</w:t>
      </w:r>
    </w:p>
    <w:p w14:paraId="53F8B481" w14:textId="77777777" w:rsidR="000A4159" w:rsidRPr="00822CE9" w:rsidRDefault="000A4159" w:rsidP="00555972">
      <w:pPr>
        <w:spacing w:line="214" w:lineRule="auto"/>
        <w:rPr>
          <w:rtl/>
        </w:rPr>
      </w:pPr>
      <w:r w:rsidRPr="00555972">
        <w:rPr>
          <w:rFonts w:hint="cs"/>
          <w:b/>
          <w:bCs/>
          <w:rtl/>
        </w:rPr>
        <w:t>أ ـ</w:t>
      </w:r>
      <w:r w:rsidRPr="00822CE9">
        <w:rPr>
          <w:rFonts w:hint="cs"/>
          <w:rtl/>
        </w:rPr>
        <w:t xml:space="preserve"> إم</w:t>
      </w:r>
      <w:r w:rsidR="00555972">
        <w:rPr>
          <w:rFonts w:hint="cs"/>
          <w:rtl/>
        </w:rPr>
        <w:t>ّ</w:t>
      </w:r>
      <w:r w:rsidRPr="00822CE9">
        <w:rPr>
          <w:rFonts w:hint="cs"/>
          <w:rtl/>
        </w:rPr>
        <w:t>ا لوصف المؤمنين بأن</w:t>
      </w:r>
      <w:r w:rsidR="00555972">
        <w:rPr>
          <w:rFonts w:hint="cs"/>
          <w:rtl/>
        </w:rPr>
        <w:t>ّ</w:t>
      </w:r>
      <w:r w:rsidRPr="00822CE9">
        <w:rPr>
          <w:rFonts w:hint="cs"/>
          <w:rtl/>
        </w:rPr>
        <w:t xml:space="preserve">هم يأمرون بالمعروف، كقوله تعالى: </w:t>
      </w:r>
      <w:r w:rsidRPr="00822CE9">
        <w:rPr>
          <w:rtl/>
        </w:rPr>
        <w:t>﴿</w:t>
      </w:r>
      <w:r w:rsidRPr="00555972">
        <w:rPr>
          <w:rFonts w:hint="cs"/>
          <w:b/>
          <w:bCs/>
          <w:rtl/>
        </w:rPr>
        <w:t>وَالْمُؤْمِنُونَ وَالْمُؤْمِنَاتُ بَعْضُهُمْ أَوْلِيَاءُ بَعْضٍ يَأْمُرُونَ بِالْمَعْرُوفِ وَيَنْهَوْنَ عَنِ الْمُنْكَرِ وَيُقِيمُونَ الصَّلاةَ..</w:t>
      </w:r>
      <w:r w:rsidRPr="00822CE9">
        <w:rPr>
          <w:rtl/>
        </w:rPr>
        <w:t>﴾</w:t>
      </w:r>
      <w:r w:rsidRPr="00822CE9">
        <w:rPr>
          <w:rFonts w:hint="cs"/>
          <w:rtl/>
        </w:rPr>
        <w:t xml:space="preserve"> (التوبة: 71)، ومن الواضح أنّ هذا السياق ليس في مقام البيان حتى </w:t>
      </w:r>
      <w:r w:rsidR="00555972">
        <w:rPr>
          <w:rFonts w:hint="cs"/>
          <w:rtl/>
        </w:rPr>
        <w:t>ن</w:t>
      </w:r>
      <w:r w:rsidRPr="00822CE9">
        <w:rPr>
          <w:rFonts w:hint="cs"/>
          <w:rtl/>
        </w:rPr>
        <w:t>أخذ بإطلاقه، فلعلّ فريضة الأمر والنهي خاص</w:t>
      </w:r>
      <w:r w:rsidR="00555972">
        <w:rPr>
          <w:rFonts w:hint="cs"/>
          <w:rtl/>
        </w:rPr>
        <w:t>ّ</w:t>
      </w:r>
      <w:r w:rsidRPr="00822CE9">
        <w:rPr>
          <w:rFonts w:hint="cs"/>
          <w:rtl/>
        </w:rPr>
        <w:t>ة بغير حال القتل والجرح وإقامة الحروب، وهذا محتمل.</w:t>
      </w:r>
    </w:p>
    <w:p w14:paraId="07319148" w14:textId="77777777" w:rsidR="000A4159" w:rsidRPr="00822CE9" w:rsidRDefault="000A4159" w:rsidP="00306426">
      <w:pPr>
        <w:rPr>
          <w:rtl/>
        </w:rPr>
      </w:pPr>
      <w:r w:rsidRPr="00555972">
        <w:rPr>
          <w:rFonts w:hint="cs"/>
          <w:b/>
          <w:bCs/>
          <w:rtl/>
        </w:rPr>
        <w:t>ب ـ</w:t>
      </w:r>
      <w:r w:rsidRPr="00822CE9">
        <w:rPr>
          <w:rFonts w:hint="cs"/>
          <w:rtl/>
        </w:rPr>
        <w:t xml:space="preserve"> أو لوصف النبي</w:t>
      </w:r>
      <w:r w:rsidR="00555972">
        <w:rPr>
          <w:rFonts w:hint="cs"/>
          <w:rtl/>
        </w:rPr>
        <w:t>ّ</w:t>
      </w:r>
      <w:r w:rsidR="004D7ED2">
        <w:rPr>
          <w:rFonts w:hint="cs"/>
          <w:rtl/>
        </w:rPr>
        <w:t>‘</w:t>
      </w:r>
      <w:r w:rsidRPr="00822CE9">
        <w:rPr>
          <w:rFonts w:hint="cs"/>
          <w:rtl/>
        </w:rPr>
        <w:t xml:space="preserve"> بصفات</w:t>
      </w:r>
      <w:r w:rsidR="00555972">
        <w:rPr>
          <w:rFonts w:hint="cs"/>
          <w:rtl/>
        </w:rPr>
        <w:t>ٍ</w:t>
      </w:r>
      <w:r w:rsidRPr="00822CE9">
        <w:rPr>
          <w:rFonts w:hint="cs"/>
          <w:rtl/>
        </w:rPr>
        <w:t xml:space="preserve"> حميدة، مثل قوله تعالى: </w:t>
      </w:r>
      <w:r w:rsidRPr="00822CE9">
        <w:rPr>
          <w:rtl/>
        </w:rPr>
        <w:t>﴿</w:t>
      </w:r>
      <w:r w:rsidRPr="00555972">
        <w:rPr>
          <w:rFonts w:hint="cs"/>
          <w:b/>
          <w:bCs/>
          <w:rtl/>
        </w:rPr>
        <w:t>الَّذِينَ يَتَّبِعُونَ الرَّسُولَ النَّبِيَّ الأُمِّيَّ الَّذِي يَجِدُونَهُ مَكْتُوباً عِنْدَهُمْ فِي التَّوْرَاةِ وَالأِنْجِيلِ يَأْمُرُهُمْ بِالْمَعْرُوفِ وَيَنْهَاهُمْ عَنِ الْمُنْكَرِ وَيُحِلُّ لَهُمُ الطَّيِّبَاتِ..</w:t>
      </w:r>
      <w:r w:rsidRPr="00822CE9">
        <w:rPr>
          <w:rtl/>
        </w:rPr>
        <w:t>﴾</w:t>
      </w:r>
      <w:r w:rsidRPr="00822CE9">
        <w:rPr>
          <w:rFonts w:hint="cs"/>
          <w:rtl/>
        </w:rPr>
        <w:t xml:space="preserve"> (الأعراف: 157)، وهذا المقام ليس مقام تشريع أحكام حتى نأخذ فيه </w:t>
      </w:r>
      <w:r w:rsidRPr="00822CE9">
        <w:rPr>
          <w:rFonts w:hint="cs"/>
          <w:rtl/>
        </w:rPr>
        <w:lastRenderedPageBreak/>
        <w:t>بالإطلاق.</w:t>
      </w:r>
    </w:p>
    <w:p w14:paraId="139F3786" w14:textId="77777777" w:rsidR="000A4159" w:rsidRPr="00822CE9" w:rsidRDefault="000A4159" w:rsidP="00555972">
      <w:pPr>
        <w:spacing w:line="214" w:lineRule="auto"/>
        <w:rPr>
          <w:rtl/>
        </w:rPr>
      </w:pPr>
      <w:r w:rsidRPr="00555972">
        <w:rPr>
          <w:rFonts w:hint="cs"/>
          <w:b/>
          <w:bCs/>
          <w:rtl/>
        </w:rPr>
        <w:t xml:space="preserve">ج ـ </w:t>
      </w:r>
      <w:r w:rsidRPr="00822CE9">
        <w:rPr>
          <w:rFonts w:hint="cs"/>
          <w:rtl/>
        </w:rPr>
        <w:t xml:space="preserve">أو لأصل الحث على هذه الوظيفة وتقريرها بوصفها مبدأ وفريضة في الإسلام، كقوله تعالى: </w:t>
      </w:r>
      <w:r w:rsidRPr="00822CE9">
        <w:rPr>
          <w:rtl/>
        </w:rPr>
        <w:t>﴿</w:t>
      </w:r>
      <w:r w:rsidRPr="00555972">
        <w:rPr>
          <w:rFonts w:hint="cs"/>
          <w:b/>
          <w:bCs/>
          <w:rtl/>
        </w:rPr>
        <w:t>وَلْتَكُنْ مِنْكُمْ أُمَّةٌ يَدْعُونَ إلى الْخَيْرِ وَيَأْمُرُونَ بِالْمَعْرُوفِ وَيَنْهَوْنَ عَنِ الْمُنْكَرِ وَأُولَئِكَ هُمُ الْمُفْلِحُونَ</w:t>
      </w:r>
      <w:r w:rsidRPr="00822CE9">
        <w:rPr>
          <w:rtl/>
        </w:rPr>
        <w:t>﴾</w:t>
      </w:r>
      <w:r w:rsidRPr="00822CE9">
        <w:rPr>
          <w:rFonts w:hint="cs"/>
          <w:rtl/>
        </w:rPr>
        <w:t xml:space="preserve"> (آل عمران: 104)، فهذا اللسان ونحوه يريد تأسيس </w:t>
      </w:r>
      <w:r w:rsidR="00555972">
        <w:rPr>
          <w:rFonts w:hint="cs"/>
          <w:rtl/>
        </w:rPr>
        <w:t>أص</w:t>
      </w:r>
      <w:r w:rsidRPr="00822CE9">
        <w:rPr>
          <w:rFonts w:hint="cs"/>
          <w:rtl/>
        </w:rPr>
        <w:t>ل الفريضة والحث</w:t>
      </w:r>
      <w:r w:rsidR="00555972">
        <w:rPr>
          <w:rFonts w:hint="cs"/>
          <w:rtl/>
        </w:rPr>
        <w:t>ّ</w:t>
      </w:r>
      <w:r w:rsidRPr="00822CE9">
        <w:rPr>
          <w:rFonts w:hint="cs"/>
          <w:rtl/>
        </w:rPr>
        <w:t xml:space="preserve"> عليها</w:t>
      </w:r>
      <w:r w:rsidR="00555972">
        <w:rPr>
          <w:rFonts w:hint="cs"/>
          <w:rtl/>
        </w:rPr>
        <w:t>،</w:t>
      </w:r>
      <w:r w:rsidRPr="00822CE9">
        <w:rPr>
          <w:rFonts w:hint="cs"/>
          <w:rtl/>
        </w:rPr>
        <w:t xml:space="preserve"> ولا </w:t>
      </w:r>
      <w:r w:rsidR="00555972">
        <w:rPr>
          <w:rFonts w:hint="cs"/>
          <w:rtl/>
        </w:rPr>
        <w:t>ي</w:t>
      </w:r>
      <w:r w:rsidRPr="00822CE9">
        <w:rPr>
          <w:rFonts w:hint="cs"/>
          <w:rtl/>
        </w:rPr>
        <w:t>ريد بيان أنّ هذه الفريضة ما هي مراتبها؟ وهل تصل إلى حدّ إراقة الدماء أو فتح حروب بين المسلمين أ</w:t>
      </w:r>
      <w:r w:rsidR="00555972">
        <w:rPr>
          <w:rFonts w:hint="cs"/>
          <w:rtl/>
        </w:rPr>
        <w:t>و</w:t>
      </w:r>
      <w:r w:rsidRPr="00822CE9">
        <w:rPr>
          <w:rFonts w:hint="cs"/>
          <w:rtl/>
        </w:rPr>
        <w:t xml:space="preserve"> لا؟</w:t>
      </w:r>
    </w:p>
    <w:p w14:paraId="5E21C447" w14:textId="77777777" w:rsidR="000A4159" w:rsidRPr="00822CE9" w:rsidRDefault="000A4159" w:rsidP="00306426">
      <w:pPr>
        <w:pStyle w:val="normal870"/>
        <w:rPr>
          <w:rtl/>
        </w:rPr>
      </w:pPr>
      <w:r w:rsidRPr="00555972">
        <w:rPr>
          <w:rFonts w:hint="cs"/>
          <w:b/>
          <w:bCs/>
          <w:rtl/>
        </w:rPr>
        <w:t xml:space="preserve">د ـ </w:t>
      </w:r>
      <w:r w:rsidRPr="00822CE9">
        <w:rPr>
          <w:rFonts w:hint="cs"/>
          <w:rtl/>
        </w:rPr>
        <w:t>أو لبيان سلبي</w:t>
      </w:r>
      <w:r w:rsidR="00555972">
        <w:rPr>
          <w:rFonts w:hint="cs"/>
          <w:rtl/>
        </w:rPr>
        <w:t>ّ</w:t>
      </w:r>
      <w:r w:rsidRPr="00822CE9">
        <w:rPr>
          <w:rFonts w:hint="cs"/>
          <w:rtl/>
        </w:rPr>
        <w:t>ات ترك هذه الفريضة وإيجابي</w:t>
      </w:r>
      <w:r w:rsidR="00555972">
        <w:rPr>
          <w:rFonts w:hint="cs"/>
          <w:rtl/>
        </w:rPr>
        <w:t>ّ</w:t>
      </w:r>
      <w:r w:rsidRPr="00822CE9">
        <w:rPr>
          <w:rFonts w:hint="cs"/>
          <w:rtl/>
        </w:rPr>
        <w:t xml:space="preserve">ات فعلها، كما جاء في عدد من الروايات </w:t>
      </w:r>
      <w:r w:rsidR="00F17A87">
        <w:rPr>
          <w:rFonts w:hint="cs"/>
          <w:rtl/>
        </w:rPr>
        <w:t>ك</w:t>
      </w:r>
      <w:r w:rsidRPr="00822CE9">
        <w:rPr>
          <w:rFonts w:hint="cs"/>
          <w:rtl/>
        </w:rPr>
        <w:t>خبر يحيى بن الحسن</w:t>
      </w:r>
      <w:r w:rsidRPr="000A4159">
        <w:rPr>
          <w:rFonts w:cs="Taher"/>
          <w:vertAlign w:val="superscript"/>
          <w:rtl/>
        </w:rPr>
        <w:t>(</w:t>
      </w:r>
      <w:r w:rsidRPr="000A4159">
        <w:rPr>
          <w:rStyle w:val="FootnoteReference"/>
          <w:rFonts w:cs="Taher"/>
          <w:rtl/>
        </w:rPr>
        <w:footnoteReference w:id="15"/>
      </w:r>
      <w:r w:rsidRPr="000A4159">
        <w:rPr>
          <w:rFonts w:cs="Taher"/>
          <w:vertAlign w:val="superscript"/>
          <w:rtl/>
        </w:rPr>
        <w:t>)</w:t>
      </w:r>
      <w:r w:rsidRPr="00822CE9">
        <w:rPr>
          <w:rtl/>
        </w:rPr>
        <w:t xml:space="preserve"> </w:t>
      </w:r>
      <w:r w:rsidR="00555972">
        <w:rPr>
          <w:rFonts w:hint="cs"/>
          <w:rtl/>
        </w:rPr>
        <w:t>وغيره، ومثل هذا اللسان لا يتس</w:t>
      </w:r>
      <w:r w:rsidRPr="00822CE9">
        <w:rPr>
          <w:rFonts w:hint="cs"/>
          <w:rtl/>
        </w:rPr>
        <w:t>ن</w:t>
      </w:r>
      <w:r w:rsidR="00555972">
        <w:rPr>
          <w:rFonts w:hint="cs"/>
          <w:rtl/>
        </w:rPr>
        <w:t>ّ</w:t>
      </w:r>
      <w:r w:rsidRPr="00822CE9">
        <w:rPr>
          <w:rFonts w:hint="cs"/>
          <w:rtl/>
        </w:rPr>
        <w:t>ى جعله مرجعاً يُستند إلى إطلاقه في مثل هذا المورد الخطير.</w:t>
      </w:r>
    </w:p>
    <w:p w14:paraId="5073C543" w14:textId="77777777" w:rsidR="000A4159" w:rsidRPr="00822CE9" w:rsidRDefault="000A4159" w:rsidP="00A079D6">
      <w:pPr>
        <w:spacing w:line="214" w:lineRule="auto"/>
        <w:rPr>
          <w:rtl/>
        </w:rPr>
      </w:pPr>
      <w:r w:rsidRPr="00822CE9">
        <w:rPr>
          <w:rFonts w:hint="cs"/>
          <w:rtl/>
        </w:rPr>
        <w:t>وعليه، يصعب الحصول على نصّ إطلاقي ثابت يستوعب الصورة التي نحن فيها.</w:t>
      </w:r>
    </w:p>
    <w:p w14:paraId="046383A5" w14:textId="77777777" w:rsidR="000A4159" w:rsidRPr="00822CE9" w:rsidRDefault="000A4159" w:rsidP="00306426">
      <w:pPr>
        <w:pStyle w:val="normal870"/>
        <w:rPr>
          <w:rtl/>
        </w:rPr>
      </w:pPr>
      <w:r w:rsidRPr="00555972">
        <w:rPr>
          <w:rFonts w:hint="cs"/>
          <w:b/>
          <w:bCs/>
          <w:rtl/>
        </w:rPr>
        <w:t>ثانياً:</w:t>
      </w:r>
      <w:r w:rsidRPr="00822CE9">
        <w:rPr>
          <w:rFonts w:hint="cs"/>
          <w:rtl/>
        </w:rPr>
        <w:t xml:space="preserve"> لو سلّمنا الدلالة الإطلاقي</w:t>
      </w:r>
      <w:r w:rsidR="00555972">
        <w:rPr>
          <w:rFonts w:hint="cs"/>
          <w:rtl/>
        </w:rPr>
        <w:t>ّ</w:t>
      </w:r>
      <w:r w:rsidRPr="00822CE9">
        <w:rPr>
          <w:rFonts w:hint="cs"/>
          <w:rtl/>
        </w:rPr>
        <w:t>ة في نصوص تشريع الفريضة نقول: إن</w:t>
      </w:r>
      <w:r w:rsidR="00555972">
        <w:rPr>
          <w:rFonts w:hint="cs"/>
          <w:rtl/>
        </w:rPr>
        <w:t>ّ</w:t>
      </w:r>
      <w:r w:rsidRPr="00822CE9">
        <w:rPr>
          <w:rFonts w:hint="cs"/>
          <w:rtl/>
        </w:rPr>
        <w:t>ها تعارض بالعموم من وجه ما دلّ على حرمة إراقة دما</w:t>
      </w:r>
      <w:r w:rsidR="00555972">
        <w:rPr>
          <w:rFonts w:hint="cs"/>
          <w:rtl/>
        </w:rPr>
        <w:t>ء</w:t>
      </w:r>
      <w:r w:rsidRPr="00822CE9">
        <w:rPr>
          <w:rFonts w:hint="cs"/>
          <w:rtl/>
        </w:rPr>
        <w:t xml:space="preserve"> المسلمين كما ه</w:t>
      </w:r>
      <w:r w:rsidR="00555972">
        <w:rPr>
          <w:rFonts w:hint="cs"/>
          <w:rtl/>
        </w:rPr>
        <w:t>ي</w:t>
      </w:r>
      <w:r w:rsidRPr="00822CE9">
        <w:rPr>
          <w:rFonts w:hint="cs"/>
          <w:rtl/>
        </w:rPr>
        <w:t xml:space="preserve"> الحال غالباً في مورد الثورات المسلّحة، فإذا حصل التعارض</w:t>
      </w:r>
      <w:r w:rsidR="00555972">
        <w:rPr>
          <w:rFonts w:hint="cs"/>
          <w:rtl/>
        </w:rPr>
        <w:t>،</w:t>
      </w:r>
      <w:r w:rsidRPr="00822CE9">
        <w:rPr>
          <w:rFonts w:hint="cs"/>
          <w:rtl/>
        </w:rPr>
        <w:t xml:space="preserve"> فالمرجع هو التساقط، كما تقرّر في أبحاث التعارض من أصول الفقه، فدليل الفريضة ي</w:t>
      </w:r>
      <w:r w:rsidR="00555972">
        <w:rPr>
          <w:rFonts w:hint="cs"/>
          <w:rtl/>
        </w:rPr>
        <w:t>قول: يجب الأمر بالمعروف مطلقاً أ</w:t>
      </w:r>
      <w:r w:rsidRPr="00822CE9">
        <w:rPr>
          <w:rFonts w:hint="cs"/>
          <w:rtl/>
        </w:rPr>
        <w:t>د</w:t>
      </w:r>
      <w:r w:rsidR="00555972">
        <w:rPr>
          <w:rFonts w:hint="cs"/>
          <w:rtl/>
        </w:rPr>
        <w:t>ّ</w:t>
      </w:r>
      <w:r w:rsidRPr="00822CE9">
        <w:rPr>
          <w:rFonts w:hint="cs"/>
          <w:rtl/>
        </w:rPr>
        <w:t xml:space="preserve">ى </w:t>
      </w:r>
      <w:r w:rsidR="00555972">
        <w:rPr>
          <w:rFonts w:hint="cs"/>
          <w:rtl/>
        </w:rPr>
        <w:t xml:space="preserve">ذلك </w:t>
      </w:r>
      <w:r w:rsidR="00F17A87">
        <w:rPr>
          <w:rFonts w:hint="cs"/>
          <w:rtl/>
        </w:rPr>
        <w:t>إلى إ</w:t>
      </w:r>
      <w:r w:rsidRPr="00822CE9">
        <w:rPr>
          <w:rFonts w:hint="cs"/>
          <w:rtl/>
        </w:rPr>
        <w:t xml:space="preserve">راقة دماء المسلمين أم لا، بينما دليل حرمة </w:t>
      </w:r>
      <w:r w:rsidR="00555972">
        <w:rPr>
          <w:rFonts w:hint="cs"/>
          <w:rtl/>
        </w:rPr>
        <w:t xml:space="preserve">دماء </w:t>
      </w:r>
      <w:r w:rsidRPr="00822CE9">
        <w:rPr>
          <w:rFonts w:hint="cs"/>
          <w:rtl/>
        </w:rPr>
        <w:t>المسلمين ينادي بحرمة ذلك مطل</w:t>
      </w:r>
      <w:r w:rsidR="00555972">
        <w:rPr>
          <w:rFonts w:hint="cs"/>
          <w:rtl/>
        </w:rPr>
        <w:t>ق</w:t>
      </w:r>
      <w:r w:rsidRPr="00822CE9">
        <w:rPr>
          <w:rFonts w:hint="cs"/>
          <w:rtl/>
        </w:rPr>
        <w:t>اً سواء كان هناك أمر بمعروف أم لا، ومقتضى ذلك سقوط الدليلين في مورد التعارض، والعودة إلى العمومات الفوقاني</w:t>
      </w:r>
      <w:r w:rsidR="00555972">
        <w:rPr>
          <w:rFonts w:hint="cs"/>
          <w:rtl/>
        </w:rPr>
        <w:t>ّ</w:t>
      </w:r>
      <w:r w:rsidRPr="00822CE9">
        <w:rPr>
          <w:rFonts w:hint="cs"/>
          <w:rtl/>
        </w:rPr>
        <w:t>ة أو الأصول العملي</w:t>
      </w:r>
      <w:r w:rsidR="00555972">
        <w:rPr>
          <w:rFonts w:hint="cs"/>
          <w:rtl/>
        </w:rPr>
        <w:t>ّ</w:t>
      </w:r>
      <w:r w:rsidRPr="00822CE9">
        <w:rPr>
          <w:rFonts w:hint="cs"/>
          <w:rtl/>
        </w:rPr>
        <w:t>ة في المقام</w:t>
      </w:r>
      <w:r w:rsidR="00F17A87">
        <w:rPr>
          <w:rFonts w:hint="cs"/>
          <w:rtl/>
        </w:rPr>
        <w:t>، ولم يعد يمكن إثبات وجوب الخروج على أقلّ تقدير</w:t>
      </w:r>
      <w:r w:rsidRPr="00822CE9">
        <w:rPr>
          <w:rFonts w:hint="cs"/>
          <w:rtl/>
        </w:rPr>
        <w:t>.</w:t>
      </w:r>
    </w:p>
    <w:p w14:paraId="78BDFE6B" w14:textId="77777777" w:rsidR="000A4159" w:rsidRDefault="000A4159" w:rsidP="00425324">
      <w:pPr>
        <w:spacing w:line="214" w:lineRule="auto"/>
        <w:rPr>
          <w:rtl/>
        </w:rPr>
      </w:pPr>
      <w:r w:rsidRPr="00555972">
        <w:rPr>
          <w:rFonts w:hint="cs"/>
          <w:b/>
          <w:bCs/>
          <w:rtl/>
        </w:rPr>
        <w:t>ثالثاً:</w:t>
      </w:r>
      <w:r w:rsidRPr="00822CE9">
        <w:rPr>
          <w:rFonts w:hint="cs"/>
          <w:rtl/>
        </w:rPr>
        <w:t xml:space="preserve"> إنّ الروايات التي ورد فيها الحديث عن مرتبة اليد في الأمر بالمعروف والنهي عن المنكر، لا يصحّ الاستناد إليها هنا لضعف </w:t>
      </w:r>
      <w:r w:rsidR="00425324">
        <w:rPr>
          <w:rFonts w:hint="cs"/>
          <w:rtl/>
        </w:rPr>
        <w:t>دلالة ما صحّ منها، وضعف سند ما دلّ منها، وقد قلنا ب</w:t>
      </w:r>
      <w:r w:rsidRPr="00822CE9">
        <w:rPr>
          <w:rFonts w:hint="cs"/>
          <w:rtl/>
        </w:rPr>
        <w:t>أن</w:t>
      </w:r>
      <w:r w:rsidR="00555972">
        <w:rPr>
          <w:rFonts w:hint="cs"/>
          <w:rtl/>
        </w:rPr>
        <w:t>ّ</w:t>
      </w:r>
      <w:r w:rsidRPr="00822CE9">
        <w:rPr>
          <w:rFonts w:hint="cs"/>
          <w:rtl/>
        </w:rPr>
        <w:t xml:space="preserve"> دلالة أكثرها غير تام</w:t>
      </w:r>
      <w:r w:rsidR="00555972">
        <w:rPr>
          <w:rFonts w:hint="cs"/>
          <w:rtl/>
        </w:rPr>
        <w:t>ّ</w:t>
      </w:r>
      <w:r w:rsidRPr="00822CE9">
        <w:rPr>
          <w:rFonts w:hint="cs"/>
          <w:rtl/>
        </w:rPr>
        <w:t>ة لمثل موردنا</w:t>
      </w:r>
      <w:r w:rsidR="00555972">
        <w:rPr>
          <w:rFonts w:hint="cs"/>
          <w:rtl/>
        </w:rPr>
        <w:t>،</w:t>
      </w:r>
      <w:r w:rsidRPr="00822CE9">
        <w:rPr>
          <w:rFonts w:hint="cs"/>
          <w:rtl/>
        </w:rPr>
        <w:t xml:space="preserve"> على </w:t>
      </w:r>
      <w:r w:rsidR="00425324">
        <w:rPr>
          <w:rFonts w:hint="cs"/>
          <w:rtl/>
        </w:rPr>
        <w:t xml:space="preserve">ما </w:t>
      </w:r>
      <w:r w:rsidRPr="00822CE9">
        <w:rPr>
          <w:rFonts w:hint="cs"/>
          <w:rtl/>
        </w:rPr>
        <w:t>حق</w:t>
      </w:r>
      <w:r w:rsidR="00555972">
        <w:rPr>
          <w:rFonts w:hint="cs"/>
          <w:rtl/>
        </w:rPr>
        <w:t>ّ</w:t>
      </w:r>
      <w:r w:rsidRPr="00822CE9">
        <w:rPr>
          <w:rFonts w:hint="cs"/>
          <w:rtl/>
        </w:rPr>
        <w:t>قناه مفص</w:t>
      </w:r>
      <w:r w:rsidR="00555972">
        <w:rPr>
          <w:rFonts w:hint="cs"/>
          <w:rtl/>
        </w:rPr>
        <w:t>ّ</w:t>
      </w:r>
      <w:r w:rsidRPr="00822CE9">
        <w:rPr>
          <w:rFonts w:hint="cs"/>
          <w:rtl/>
        </w:rPr>
        <w:t xml:space="preserve">لاً في </w:t>
      </w:r>
      <w:r w:rsidR="00555972">
        <w:rPr>
          <w:rFonts w:hint="cs"/>
          <w:rtl/>
        </w:rPr>
        <w:t>محلّه</w:t>
      </w:r>
      <w:r w:rsidRPr="000A4159">
        <w:rPr>
          <w:rFonts w:cs="Taher"/>
          <w:vertAlign w:val="superscript"/>
          <w:rtl/>
        </w:rPr>
        <w:t>(</w:t>
      </w:r>
      <w:r w:rsidRPr="000A4159">
        <w:rPr>
          <w:rStyle w:val="FootnoteReference"/>
          <w:rFonts w:cs="Taher"/>
          <w:rtl/>
        </w:rPr>
        <w:footnoteReference w:id="16"/>
      </w:r>
      <w:r w:rsidRPr="000A4159">
        <w:rPr>
          <w:rFonts w:cs="Taher"/>
          <w:vertAlign w:val="superscript"/>
          <w:rtl/>
        </w:rPr>
        <w:t>)</w:t>
      </w:r>
      <w:r w:rsidRPr="00822CE9">
        <w:rPr>
          <w:rFonts w:hint="cs"/>
          <w:rtl/>
        </w:rPr>
        <w:t>.</w:t>
      </w:r>
    </w:p>
    <w:p w14:paraId="2BD658E4" w14:textId="77777777" w:rsidR="00425324" w:rsidRPr="00425324" w:rsidRDefault="00425324" w:rsidP="00425324">
      <w:pPr>
        <w:spacing w:line="214" w:lineRule="auto"/>
        <w:rPr>
          <w:b/>
          <w:bCs/>
          <w:rtl/>
        </w:rPr>
      </w:pPr>
      <w:r w:rsidRPr="00425324">
        <w:rPr>
          <w:rFonts w:hint="cs"/>
          <w:b/>
          <w:bCs/>
          <w:rtl/>
        </w:rPr>
        <w:t>رابعاً:</w:t>
      </w:r>
      <w:r w:rsidRPr="00425324">
        <w:rPr>
          <w:rFonts w:hint="cs"/>
          <w:rtl/>
        </w:rPr>
        <w:t xml:space="preserve"> قلنا في مباحث فقه الأمر بالمعروف والنهي عن المنكر </w:t>
      </w:r>
      <w:r>
        <w:rPr>
          <w:rFonts w:hint="eastAsia"/>
          <w:b/>
          <w:bCs/>
          <w:rtl/>
        </w:rPr>
        <w:t>«</w:t>
      </w:r>
      <w:r w:rsidRPr="00425324">
        <w:rPr>
          <w:b/>
          <w:bCs/>
          <w:rtl/>
        </w:rPr>
        <w:t>أنه يمكن فرض مفهومين للأمر بالمعروف والنهي عن المنكر:</w:t>
      </w:r>
    </w:p>
    <w:p w14:paraId="591CECC8" w14:textId="77777777" w:rsidR="00425324" w:rsidRPr="00425324" w:rsidRDefault="00425324" w:rsidP="00306426">
      <w:pPr>
        <w:pStyle w:val="normal930"/>
        <w:rPr>
          <w:rtl/>
        </w:rPr>
      </w:pPr>
      <w:r w:rsidRPr="00425324">
        <w:rPr>
          <w:b/>
          <w:bCs/>
          <w:rtl/>
        </w:rPr>
        <w:lastRenderedPageBreak/>
        <w:t>الأول: المفهوم العام،</w:t>
      </w:r>
      <w:r w:rsidRPr="00425324">
        <w:rPr>
          <w:rtl/>
        </w:rPr>
        <w:t xml:space="preserve"> والذي يستوعب كل</w:t>
      </w:r>
      <w:r w:rsidRPr="00425324">
        <w:rPr>
          <w:rFonts w:hint="cs"/>
          <w:rtl/>
        </w:rPr>
        <w:t>ّ</w:t>
      </w:r>
      <w:r w:rsidRPr="00425324">
        <w:rPr>
          <w:rtl/>
        </w:rPr>
        <w:t xml:space="preserve"> عمل تغييري نحو الأفضل، فيشمل بذلك الجهاد ضدّ الكافرين أو البغاة أو الطغاة أو غير ذلك، كما يشمل الحدود والتعزيزات والقصاص والديات والأحكام القضائية التي تصبّ جميعها في سياق إصلاح الوضع العام، وهنا نقبل بمرتبة اليد في الأمر والنهي ويكون معناها هو الجهاد وأمثاله مما تقدّم، لكن تجري على هذه المرتبة الأحكام </w:t>
      </w:r>
      <w:r w:rsidRPr="00425324">
        <w:rPr>
          <w:rFonts w:hint="cs"/>
          <w:rtl/>
        </w:rPr>
        <w:t xml:space="preserve">الخاصّة </w:t>
      </w:r>
      <w:r w:rsidRPr="00425324">
        <w:rPr>
          <w:rtl/>
        </w:rPr>
        <w:t>بالجهاد والحدود والقصاص والقضاء والتعزي</w:t>
      </w:r>
      <w:r w:rsidRPr="00425324">
        <w:rPr>
          <w:rFonts w:hint="cs"/>
          <w:rtl/>
        </w:rPr>
        <w:t>ر</w:t>
      </w:r>
      <w:r w:rsidRPr="00425324">
        <w:rPr>
          <w:rtl/>
        </w:rPr>
        <w:t xml:space="preserve"> وغيرها، فيكون الجهاد هو مرتبة </w:t>
      </w:r>
      <w:r w:rsidRPr="00425324">
        <w:rPr>
          <w:rFonts w:hint="cs"/>
          <w:rtl/>
        </w:rPr>
        <w:t>اليد مثلاً</w:t>
      </w:r>
      <w:r w:rsidRPr="00425324">
        <w:rPr>
          <w:rtl/>
        </w:rPr>
        <w:t>.</w:t>
      </w:r>
    </w:p>
    <w:p w14:paraId="45B49936" w14:textId="77777777" w:rsidR="00425324" w:rsidRDefault="00425324" w:rsidP="00306426">
      <w:pPr>
        <w:rPr>
          <w:rtl/>
        </w:rPr>
      </w:pPr>
      <w:r w:rsidRPr="00425324">
        <w:rPr>
          <w:b/>
          <w:bCs/>
          <w:rtl/>
        </w:rPr>
        <w:t>الثاني: المفهوم الخاص،</w:t>
      </w:r>
      <w:r w:rsidRPr="00425324">
        <w:rPr>
          <w:rtl/>
        </w:rPr>
        <w:t xml:space="preserve"> وهو </w:t>
      </w:r>
      <w:r w:rsidRPr="00425324">
        <w:rPr>
          <w:rFonts w:hint="cs"/>
          <w:rtl/>
        </w:rPr>
        <w:t xml:space="preserve">كلّ </w:t>
      </w:r>
      <w:r w:rsidRPr="00425324">
        <w:rPr>
          <w:rtl/>
        </w:rPr>
        <w:t>ما نفرضه بمعزل عن الجها</w:t>
      </w:r>
      <w:r w:rsidRPr="00425324">
        <w:rPr>
          <w:rFonts w:hint="cs"/>
          <w:rtl/>
        </w:rPr>
        <w:t>د</w:t>
      </w:r>
      <w:r w:rsidRPr="00425324">
        <w:rPr>
          <w:rtl/>
        </w:rPr>
        <w:t xml:space="preserve"> والحدود ونحو ذلك</w:t>
      </w:r>
      <w:r w:rsidRPr="00425324">
        <w:rPr>
          <w:rFonts w:hint="cs"/>
          <w:rtl/>
        </w:rPr>
        <w:t>،</w:t>
      </w:r>
      <w:r w:rsidRPr="00425324">
        <w:rPr>
          <w:rtl/>
        </w:rPr>
        <w:t xml:space="preserve"> وهنا لا يوجد ما يدل</w:t>
      </w:r>
      <w:r w:rsidRPr="00425324">
        <w:rPr>
          <w:rFonts w:hint="cs"/>
          <w:rtl/>
        </w:rPr>
        <w:t>ّ</w:t>
      </w:r>
      <w:r w:rsidRPr="00425324">
        <w:rPr>
          <w:rtl/>
        </w:rPr>
        <w:t xml:space="preserve"> على مرتبة اسمها اليد</w:t>
      </w:r>
      <w:r w:rsidRPr="00425324">
        <w:rPr>
          <w:rFonts w:hint="cs"/>
          <w:rtl/>
        </w:rPr>
        <w:t>؛</w:t>
      </w:r>
      <w:r w:rsidRPr="00425324">
        <w:rPr>
          <w:rtl/>
        </w:rPr>
        <w:t xml:space="preserve"> إذ النصوص الصحيحة الد</w:t>
      </w:r>
      <w:r w:rsidRPr="00425324">
        <w:rPr>
          <w:rFonts w:hint="cs"/>
          <w:rtl/>
        </w:rPr>
        <w:t>لالة</w:t>
      </w:r>
      <w:r w:rsidRPr="00425324">
        <w:rPr>
          <w:rtl/>
        </w:rPr>
        <w:t xml:space="preserve"> مع ضعف السند لا ترقى أن تكون اثنين أو ثلاثة، وهذا القدر لا يفيد تواتراً ولا اطمئناناً بالصدور، ولم تثبت رواية صحيحة السند وتام</w:t>
      </w:r>
      <w:r w:rsidRPr="00425324">
        <w:rPr>
          <w:rFonts w:hint="cs"/>
          <w:rtl/>
        </w:rPr>
        <w:t>ّ</w:t>
      </w:r>
      <w:r w:rsidRPr="00425324">
        <w:rPr>
          <w:rtl/>
        </w:rPr>
        <w:t xml:space="preserve">ة الدلالة حتى يؤخذ بها، </w:t>
      </w:r>
      <w:r w:rsidRPr="00425324">
        <w:rPr>
          <w:rFonts w:hint="cs"/>
          <w:rtl/>
        </w:rPr>
        <w:t xml:space="preserve">ولو كان فهو لا يتخطّى الحديث أو الاثنين، </w:t>
      </w:r>
      <w:r w:rsidRPr="00425324">
        <w:rPr>
          <w:rtl/>
        </w:rPr>
        <w:t xml:space="preserve">علماً أننا لا نأخذ </w:t>
      </w:r>
      <w:r w:rsidRPr="00425324">
        <w:rPr>
          <w:rFonts w:hint="cs"/>
          <w:rtl/>
        </w:rPr>
        <w:t>ـ كما حقّقنا مفصّلاً في مباحث حجيّة الحديث من أصول الفقه ـ إ</w:t>
      </w:r>
      <w:r w:rsidRPr="00425324">
        <w:rPr>
          <w:rtl/>
        </w:rPr>
        <w:t>لا بالخبر المطمأن</w:t>
      </w:r>
      <w:r w:rsidRPr="00425324">
        <w:rPr>
          <w:rFonts w:hint="cs"/>
          <w:rtl/>
        </w:rPr>
        <w:t>ّ</w:t>
      </w:r>
      <w:r w:rsidRPr="00425324">
        <w:rPr>
          <w:rtl/>
        </w:rPr>
        <w:t xml:space="preserve"> بصدوره</w:t>
      </w:r>
      <w:r w:rsidRPr="00425324">
        <w:rPr>
          <w:rFonts w:hint="cs"/>
          <w:rtl/>
        </w:rPr>
        <w:t>، وتحصيل الاطمئنان ـ سنداً ودلالةً ـ بهذا الأمر الخطير من مثل هذه النصوص القليلة يبدو عسيراً</w:t>
      </w:r>
      <w:r>
        <w:rPr>
          <w:rFonts w:hint="eastAsia"/>
          <w:rtl/>
        </w:rPr>
        <w:t>»</w:t>
      </w:r>
      <w:r w:rsidR="002A2934" w:rsidRPr="000A4159">
        <w:rPr>
          <w:rFonts w:cs="Taher"/>
          <w:vertAlign w:val="superscript"/>
          <w:rtl/>
        </w:rPr>
        <w:t>(</w:t>
      </w:r>
      <w:r w:rsidR="002A2934" w:rsidRPr="000A4159">
        <w:rPr>
          <w:rStyle w:val="FootnoteReference"/>
          <w:rFonts w:cs="Taher"/>
          <w:rtl/>
        </w:rPr>
        <w:footnoteReference w:id="17"/>
      </w:r>
      <w:r w:rsidR="002A2934" w:rsidRPr="000A4159">
        <w:rPr>
          <w:rFonts w:cs="Taher"/>
          <w:vertAlign w:val="superscript"/>
          <w:rtl/>
        </w:rPr>
        <w:t>)</w:t>
      </w:r>
      <w:r w:rsidRPr="00425324">
        <w:rPr>
          <w:rFonts w:hint="cs"/>
          <w:rtl/>
        </w:rPr>
        <w:t>.</w:t>
      </w:r>
    </w:p>
    <w:p w14:paraId="3C667D51" w14:textId="77777777" w:rsidR="00BB28F2" w:rsidRPr="00822CE9" w:rsidRDefault="00BB28F2" w:rsidP="00306426">
      <w:pPr>
        <w:rPr>
          <w:rtl/>
        </w:rPr>
      </w:pPr>
      <w:r>
        <w:rPr>
          <w:rFonts w:hint="cs"/>
          <w:rtl/>
        </w:rPr>
        <w:t>وهذا يعني أنّ إطلاق عنوان الأمر بالمعروف يمكن أن يصحّ بالمفهوم العام دون الخاصّ، وهذا المفهوم العام أحكامُه لا ترجع لباب الأمر بالمعروف فقط، بل ترجع للأبواب الأخرى التي تمثل مصداقاً له فيلحَقُه شروطها، مثل باب الجهاد، والمفروض أنّنا نبحث الآن في هذا الباب لنعرف الشروط، فلا يمكن التمسّك بأدلّة الأمر والنهي لفرض الحكم هنا، فتأمّل جيّداً.</w:t>
      </w:r>
    </w:p>
    <w:p w14:paraId="42E257F4" w14:textId="77777777" w:rsidR="000A4159" w:rsidRPr="00822CE9" w:rsidRDefault="000A4159" w:rsidP="00306426">
      <w:pPr>
        <w:rPr>
          <w:rtl/>
        </w:rPr>
      </w:pPr>
      <w:r w:rsidRPr="00822CE9">
        <w:rPr>
          <w:rFonts w:hint="cs"/>
          <w:rtl/>
        </w:rPr>
        <w:t>وعليه، يصعب الجزم بدلالة باب الأمر بالمعروف والنهي عن المنكر لما يشمل حالة إحداث حرب</w:t>
      </w:r>
      <w:r w:rsidR="00555972">
        <w:rPr>
          <w:rFonts w:hint="cs"/>
          <w:rtl/>
        </w:rPr>
        <w:t>ٍ</w:t>
      </w:r>
      <w:r w:rsidRPr="00822CE9">
        <w:rPr>
          <w:rFonts w:hint="cs"/>
          <w:rtl/>
        </w:rPr>
        <w:t xml:space="preserve"> بين المسلمين وتقاتل وسفك دماء وما إلى ذلك من مس</w:t>
      </w:r>
      <w:r w:rsidR="00555972">
        <w:rPr>
          <w:rFonts w:hint="cs"/>
          <w:rtl/>
        </w:rPr>
        <w:t>ت</w:t>
      </w:r>
      <w:r w:rsidRPr="00822CE9">
        <w:rPr>
          <w:rFonts w:hint="cs"/>
          <w:rtl/>
        </w:rPr>
        <w:t>لزمات وم</w:t>
      </w:r>
      <w:r w:rsidR="00555972">
        <w:rPr>
          <w:rFonts w:hint="cs"/>
          <w:rtl/>
        </w:rPr>
        <w:t>س</w:t>
      </w:r>
      <w:r w:rsidRPr="00822CE9">
        <w:rPr>
          <w:rFonts w:hint="cs"/>
          <w:rtl/>
        </w:rPr>
        <w:t>تتبعات</w:t>
      </w:r>
      <w:r w:rsidR="00555972">
        <w:rPr>
          <w:rFonts w:hint="cs"/>
          <w:rtl/>
        </w:rPr>
        <w:t>. لكن إذا أ</w:t>
      </w:r>
      <w:r w:rsidRPr="00822CE9">
        <w:rPr>
          <w:rFonts w:hint="cs"/>
          <w:rtl/>
        </w:rPr>
        <w:t>مكن القيام ضدّ الحاكم بحيث لا يلزم منه ذلك</w:t>
      </w:r>
      <w:r w:rsidR="00555972">
        <w:rPr>
          <w:rFonts w:hint="cs"/>
          <w:rtl/>
        </w:rPr>
        <w:t xml:space="preserve">، فقد </w:t>
      </w:r>
      <w:r w:rsidRPr="00822CE9">
        <w:rPr>
          <w:rFonts w:hint="cs"/>
          <w:rtl/>
        </w:rPr>
        <w:t>يُقال: لا مانع منه، إلا أن</w:t>
      </w:r>
      <w:r w:rsidR="00555972">
        <w:rPr>
          <w:rFonts w:hint="cs"/>
          <w:rtl/>
        </w:rPr>
        <w:t>ّ</w:t>
      </w:r>
      <w:r w:rsidRPr="00822CE9">
        <w:rPr>
          <w:rFonts w:hint="cs"/>
          <w:rtl/>
        </w:rPr>
        <w:t xml:space="preserve">ه </w:t>
      </w:r>
      <w:r w:rsidR="00555972">
        <w:rPr>
          <w:rFonts w:hint="cs"/>
          <w:rtl/>
        </w:rPr>
        <w:t xml:space="preserve">قليل </w:t>
      </w:r>
      <w:r w:rsidRPr="00822CE9">
        <w:rPr>
          <w:rFonts w:hint="cs"/>
          <w:rtl/>
        </w:rPr>
        <w:t>الوقوع</w:t>
      </w:r>
      <w:r w:rsidR="00555972">
        <w:rPr>
          <w:rFonts w:hint="cs"/>
          <w:rtl/>
        </w:rPr>
        <w:t>.</w:t>
      </w:r>
    </w:p>
    <w:p w14:paraId="00550915" w14:textId="77777777" w:rsidR="000A4159" w:rsidRPr="00822CE9" w:rsidRDefault="000A4159" w:rsidP="00306426">
      <w:pPr>
        <w:rPr>
          <w:rtl/>
        </w:rPr>
      </w:pPr>
      <w:r w:rsidRPr="00555972">
        <w:rPr>
          <w:rFonts w:hint="cs"/>
          <w:b/>
          <w:bCs/>
          <w:rtl/>
        </w:rPr>
        <w:t>قد يقال:</w:t>
      </w:r>
      <w:r w:rsidRPr="00822CE9">
        <w:rPr>
          <w:rFonts w:hint="cs"/>
          <w:rtl/>
        </w:rPr>
        <w:t xml:space="preserve"> إن</w:t>
      </w:r>
      <w:r w:rsidR="00555972">
        <w:rPr>
          <w:rFonts w:hint="cs"/>
          <w:rtl/>
        </w:rPr>
        <w:t>ّ</w:t>
      </w:r>
      <w:r w:rsidRPr="00822CE9">
        <w:rPr>
          <w:rFonts w:hint="cs"/>
          <w:rtl/>
        </w:rPr>
        <w:t xml:space="preserve"> الإمام الحسين</w:t>
      </w:r>
      <w:r w:rsidR="009A1626" w:rsidRPr="00822CE9">
        <w:rPr>
          <w:rFonts w:hint="cs"/>
          <w:rtl/>
        </w:rPr>
        <w:t>×</w:t>
      </w:r>
      <w:r w:rsidRPr="00822CE9">
        <w:rPr>
          <w:rFonts w:hint="cs"/>
          <w:rtl/>
        </w:rPr>
        <w:t xml:space="preserve"> قد جعل ثورته مصداقاً للأمر بالمعروف والنهي عن المنكر في مقولته المشهورة: «لم أخرج أشراً ولا بطراً ولا مفسداً ولا ظالما</w:t>
      </w:r>
      <w:r w:rsidR="00555972">
        <w:rPr>
          <w:rFonts w:hint="cs"/>
          <w:rtl/>
        </w:rPr>
        <w:t>ً</w:t>
      </w:r>
      <w:r w:rsidRPr="00822CE9">
        <w:rPr>
          <w:rFonts w:hint="cs"/>
          <w:rtl/>
        </w:rPr>
        <w:t xml:space="preserve">.. أريد أن آمر بالمعروف وأنهى </w:t>
      </w:r>
      <w:r w:rsidRPr="00822CE9">
        <w:rPr>
          <w:rFonts w:hint="cs"/>
          <w:rtl/>
        </w:rPr>
        <w:lastRenderedPageBreak/>
        <w:t>عن المنكرو أسير بسيرة جدي و..»</w:t>
      </w:r>
      <w:r w:rsidRPr="000A4159">
        <w:rPr>
          <w:rFonts w:cs="Taher"/>
          <w:vertAlign w:val="superscript"/>
          <w:rtl/>
        </w:rPr>
        <w:t>(</w:t>
      </w:r>
      <w:r w:rsidRPr="000A4159">
        <w:rPr>
          <w:rStyle w:val="FootnoteReference"/>
          <w:rFonts w:cs="Taher"/>
          <w:rtl/>
        </w:rPr>
        <w:footnoteReference w:id="18"/>
      </w:r>
      <w:r w:rsidRPr="000A4159">
        <w:rPr>
          <w:rFonts w:cs="Taher"/>
          <w:vertAlign w:val="superscript"/>
          <w:rtl/>
        </w:rPr>
        <w:t>)</w:t>
      </w:r>
      <w:r w:rsidRPr="00822CE9">
        <w:rPr>
          <w:rtl/>
        </w:rPr>
        <w:t>.</w:t>
      </w:r>
      <w:r w:rsidR="00555972">
        <w:rPr>
          <w:rFonts w:hint="cs"/>
          <w:rtl/>
        </w:rPr>
        <w:t xml:space="preserve"> فهذا خير دليل على صحّة الاستدلال بأدلّة الأمر بالمعروف والنهي عن المنكر هنا.</w:t>
      </w:r>
    </w:p>
    <w:p w14:paraId="594A0B26" w14:textId="77777777" w:rsidR="000A4159" w:rsidRDefault="000A4159" w:rsidP="00F51062">
      <w:pPr>
        <w:pStyle w:val="normal870"/>
        <w:rPr>
          <w:rtl/>
        </w:rPr>
      </w:pPr>
      <w:r w:rsidRPr="00555972">
        <w:rPr>
          <w:rFonts w:hint="cs"/>
          <w:b/>
          <w:bCs/>
          <w:rtl/>
        </w:rPr>
        <w:t>إلا أن</w:t>
      </w:r>
      <w:r w:rsidR="00555972">
        <w:rPr>
          <w:rFonts w:hint="cs"/>
          <w:b/>
          <w:bCs/>
          <w:rtl/>
        </w:rPr>
        <w:t>ّ</w:t>
      </w:r>
      <w:r w:rsidRPr="00555972">
        <w:rPr>
          <w:rFonts w:hint="cs"/>
          <w:b/>
          <w:bCs/>
          <w:rtl/>
        </w:rPr>
        <w:t xml:space="preserve"> هذه الرواية رغم دلالتها،</w:t>
      </w:r>
      <w:r w:rsidRPr="00822CE9">
        <w:rPr>
          <w:rFonts w:hint="cs"/>
          <w:rtl/>
        </w:rPr>
        <w:t xml:space="preserve"> بحثنا عنها ووجدنا أوّل من كتبها و</w:t>
      </w:r>
      <w:r w:rsidR="00555972">
        <w:rPr>
          <w:rFonts w:hint="cs"/>
          <w:rtl/>
        </w:rPr>
        <w:t xml:space="preserve">دوّنها </w:t>
      </w:r>
      <w:r w:rsidR="00146503">
        <w:rPr>
          <w:rFonts w:hint="cs"/>
          <w:rtl/>
        </w:rPr>
        <w:t xml:space="preserve">ـ بما يتضمّن صيغة الأمر بالمعروف والنهي عن المنكر ـ هو </w:t>
      </w:r>
      <w:r w:rsidR="00555972">
        <w:rPr>
          <w:rFonts w:hint="cs"/>
          <w:rtl/>
        </w:rPr>
        <w:t>صاحب كتاب الفتوح، ابن الأ</w:t>
      </w:r>
      <w:r w:rsidRPr="00822CE9">
        <w:rPr>
          <w:rFonts w:hint="cs"/>
          <w:rtl/>
        </w:rPr>
        <w:t xml:space="preserve">عثم الكوفي المتوفى 314هـ، ولم نجدها </w:t>
      </w:r>
      <w:r w:rsidR="00146503">
        <w:rPr>
          <w:rFonts w:hint="cs"/>
          <w:rtl/>
        </w:rPr>
        <w:t xml:space="preserve">ـ متضمِّنة للجملة موضع الشاهد ـ </w:t>
      </w:r>
      <w:r w:rsidRPr="00822CE9">
        <w:rPr>
          <w:rFonts w:hint="cs"/>
          <w:rtl/>
        </w:rPr>
        <w:t>في أي</w:t>
      </w:r>
      <w:r w:rsidR="00F749B1">
        <w:rPr>
          <w:rFonts w:hint="cs"/>
          <w:rtl/>
        </w:rPr>
        <w:t>ّ</w:t>
      </w:r>
      <w:r w:rsidRPr="00822CE9">
        <w:rPr>
          <w:rFonts w:hint="cs"/>
          <w:rtl/>
        </w:rPr>
        <w:t xml:space="preserve"> مصدر حديثي أو روائي سنّي أو شيعي عدا بحار الأنوار وما بعده، وهي في جميع المصادر مرسلة لا سند معتبر</w:t>
      </w:r>
      <w:r w:rsidR="00F749B1">
        <w:rPr>
          <w:rFonts w:hint="cs"/>
          <w:rtl/>
        </w:rPr>
        <w:t>اً</w:t>
      </w:r>
      <w:r w:rsidRPr="00822CE9">
        <w:rPr>
          <w:rFonts w:hint="cs"/>
          <w:rtl/>
        </w:rPr>
        <w:t xml:space="preserve"> لها، كما لم أجد الرواية في مصادر التاريخ الكبرى</w:t>
      </w:r>
      <w:r w:rsidR="00F749B1">
        <w:rPr>
          <w:rFonts w:hint="cs"/>
          <w:rtl/>
        </w:rPr>
        <w:t>،</w:t>
      </w:r>
      <w:r w:rsidRPr="00822CE9">
        <w:rPr>
          <w:rFonts w:hint="cs"/>
          <w:rtl/>
        </w:rPr>
        <w:t xml:space="preserve"> فهذا يعيق إمكاني</w:t>
      </w:r>
      <w:r w:rsidR="00F749B1">
        <w:rPr>
          <w:rFonts w:hint="cs"/>
          <w:rtl/>
        </w:rPr>
        <w:t>ّ</w:t>
      </w:r>
      <w:r w:rsidRPr="00822CE9">
        <w:rPr>
          <w:rFonts w:hint="cs"/>
          <w:rtl/>
        </w:rPr>
        <w:t>ة الاستدلال بها على الحكم الشرعي، مضافاً إلى أن</w:t>
      </w:r>
      <w:r w:rsidR="00F749B1">
        <w:rPr>
          <w:rFonts w:hint="cs"/>
          <w:rtl/>
        </w:rPr>
        <w:t>ّ</w:t>
      </w:r>
      <w:r w:rsidRPr="00822CE9">
        <w:rPr>
          <w:rFonts w:hint="cs"/>
          <w:rtl/>
        </w:rPr>
        <w:t xml:space="preserve"> الرواية في كتاب ا</w:t>
      </w:r>
      <w:r w:rsidR="00F749B1">
        <w:rPr>
          <w:rFonts w:hint="cs"/>
          <w:rtl/>
        </w:rPr>
        <w:t>لفتوح وبعض المصادر الأخرى أضيف إ</w:t>
      </w:r>
      <w:r w:rsidRPr="00822CE9">
        <w:rPr>
          <w:rFonts w:hint="cs"/>
          <w:rtl/>
        </w:rPr>
        <w:t xml:space="preserve">ليها </w:t>
      </w:r>
      <w:r w:rsidR="00F749B1">
        <w:rPr>
          <w:rFonts w:cs="Cambria" w:hint="cs"/>
          <w:rtl/>
        </w:rPr>
        <w:t>"</w:t>
      </w:r>
      <w:r w:rsidRPr="00822CE9">
        <w:rPr>
          <w:rFonts w:hint="cs"/>
          <w:rtl/>
        </w:rPr>
        <w:t>السير وفق سير</w:t>
      </w:r>
      <w:r w:rsidR="00F749B1">
        <w:rPr>
          <w:rFonts w:hint="cs"/>
          <w:rtl/>
        </w:rPr>
        <w:t>ة</w:t>
      </w:r>
      <w:r w:rsidRPr="00822CE9">
        <w:rPr>
          <w:rFonts w:hint="cs"/>
          <w:rtl/>
        </w:rPr>
        <w:t xml:space="preserve"> الخلفاء الراشدين</w:t>
      </w:r>
      <w:r w:rsidR="00F749B1">
        <w:rPr>
          <w:rFonts w:cs="Cambria" w:hint="cs"/>
          <w:rtl/>
        </w:rPr>
        <w:t>"</w:t>
      </w:r>
      <w:r w:rsidRPr="00822CE9">
        <w:rPr>
          <w:rFonts w:hint="cs"/>
          <w:rtl/>
        </w:rPr>
        <w:t>، وهو إ</w:t>
      </w:r>
      <w:r w:rsidR="00F749B1">
        <w:rPr>
          <w:rFonts w:hint="cs"/>
          <w:rtl/>
        </w:rPr>
        <w:t>مّا</w:t>
      </w:r>
      <w:r w:rsidRPr="00822CE9">
        <w:rPr>
          <w:rFonts w:hint="cs"/>
          <w:rtl/>
        </w:rPr>
        <w:t xml:space="preserve"> تقي</w:t>
      </w:r>
      <w:r w:rsidR="00F749B1">
        <w:rPr>
          <w:rFonts w:hint="cs"/>
          <w:rtl/>
        </w:rPr>
        <w:t>ّ</w:t>
      </w:r>
      <w:r w:rsidRPr="00822CE9">
        <w:rPr>
          <w:rFonts w:hint="cs"/>
          <w:rtl/>
        </w:rPr>
        <w:t>ة مداراتي</w:t>
      </w:r>
      <w:r w:rsidR="00F749B1">
        <w:rPr>
          <w:rFonts w:hint="cs"/>
          <w:rtl/>
        </w:rPr>
        <w:t>ّ</w:t>
      </w:r>
      <w:r w:rsidRPr="00822CE9">
        <w:rPr>
          <w:rFonts w:hint="cs"/>
          <w:rtl/>
        </w:rPr>
        <w:t>ة</w:t>
      </w:r>
      <w:r w:rsidR="00F749B1">
        <w:rPr>
          <w:rFonts w:hint="cs"/>
          <w:rtl/>
        </w:rPr>
        <w:t>، وهي بعيدة هنا، أو هذا يوجب</w:t>
      </w:r>
      <w:r w:rsidRPr="00822CE9">
        <w:rPr>
          <w:rFonts w:hint="cs"/>
          <w:rtl/>
        </w:rPr>
        <w:t xml:space="preserve"> ـ شيعي</w:t>
      </w:r>
      <w:r w:rsidR="00F749B1">
        <w:rPr>
          <w:rFonts w:hint="cs"/>
          <w:rtl/>
        </w:rPr>
        <w:t>ّ</w:t>
      </w:r>
      <w:r w:rsidRPr="00822CE9">
        <w:rPr>
          <w:rFonts w:hint="cs"/>
          <w:rtl/>
        </w:rPr>
        <w:t xml:space="preserve">اً ـ </w:t>
      </w:r>
      <w:r w:rsidR="00F749B1">
        <w:rPr>
          <w:rFonts w:hint="cs"/>
          <w:rtl/>
        </w:rPr>
        <w:t>ال</w:t>
      </w:r>
      <w:r w:rsidRPr="00822CE9">
        <w:rPr>
          <w:rFonts w:hint="cs"/>
          <w:rtl/>
        </w:rPr>
        <w:t>ت</w:t>
      </w:r>
      <w:r w:rsidR="00F749B1">
        <w:rPr>
          <w:rFonts w:hint="cs"/>
          <w:rtl/>
        </w:rPr>
        <w:t xml:space="preserve">شكيك في </w:t>
      </w:r>
      <w:r w:rsidRPr="00822CE9">
        <w:rPr>
          <w:rFonts w:hint="cs"/>
          <w:rtl/>
        </w:rPr>
        <w:t>هذا الخبر.</w:t>
      </w:r>
    </w:p>
    <w:p w14:paraId="089A8434" w14:textId="77777777" w:rsidR="00907E94" w:rsidRPr="00907E94" w:rsidRDefault="00907E94" w:rsidP="00BF0865">
      <w:pPr>
        <w:pStyle w:val="Heading2"/>
        <w:rPr>
          <w:rtl/>
        </w:rPr>
      </w:pPr>
      <w:bookmarkStart w:id="20" w:name="_Toc143804100"/>
      <w:bookmarkStart w:id="21" w:name="_Toc238123225"/>
      <w:r w:rsidRPr="00907E94">
        <w:rPr>
          <w:rFonts w:hint="cs"/>
          <w:rtl/>
        </w:rPr>
        <w:t xml:space="preserve">4 ـ تنزيل فقه جهاد البغاة على جهاد الطغاة، ملاحظات </w:t>
      </w:r>
      <w:r w:rsidR="002E2BA7">
        <w:rPr>
          <w:rFonts w:hint="cs"/>
          <w:rtl/>
        </w:rPr>
        <w:t>تقويميّة</w:t>
      </w:r>
      <w:bookmarkEnd w:id="20"/>
      <w:bookmarkEnd w:id="21"/>
    </w:p>
    <w:p w14:paraId="2ACE8720" w14:textId="77777777" w:rsidR="000A4159" w:rsidRPr="00822CE9" w:rsidRDefault="000A4159" w:rsidP="00F51062">
      <w:pPr>
        <w:rPr>
          <w:rtl/>
        </w:rPr>
      </w:pPr>
      <w:r w:rsidRPr="00F749B1">
        <w:rPr>
          <w:rFonts w:hint="cs"/>
          <w:b/>
          <w:bCs/>
          <w:rtl/>
        </w:rPr>
        <w:t>رابع</w:t>
      </w:r>
      <w:r w:rsidR="00C15FF3">
        <w:rPr>
          <w:rFonts w:hint="cs"/>
          <w:b/>
          <w:bCs/>
          <w:rtl/>
        </w:rPr>
        <w:t xml:space="preserve"> الأدلّة هنا</w:t>
      </w:r>
      <w:r w:rsidR="00C15FF3" w:rsidRPr="00C15FF3">
        <w:rPr>
          <w:rFonts w:hint="cs"/>
          <w:rtl/>
        </w:rPr>
        <w:t xml:space="preserve"> هو</w:t>
      </w:r>
      <w:r w:rsidRPr="00C15FF3">
        <w:rPr>
          <w:rFonts w:hint="cs"/>
          <w:rtl/>
        </w:rPr>
        <w:t xml:space="preserve"> ا</w:t>
      </w:r>
      <w:r w:rsidRPr="00822CE9">
        <w:rPr>
          <w:rFonts w:hint="cs"/>
          <w:rtl/>
        </w:rPr>
        <w:t>لاستناد إلى عمومات جهاد البغاة، وذلك على أساس أنّ مغتصب السلطة أو الظالم للرعية أو المخالف لشرع الله باغ</w:t>
      </w:r>
      <w:r w:rsidR="00F749B1">
        <w:rPr>
          <w:rFonts w:hint="cs"/>
          <w:rtl/>
        </w:rPr>
        <w:t>ٍ،</w:t>
      </w:r>
      <w:r w:rsidRPr="00822CE9">
        <w:rPr>
          <w:rFonts w:hint="cs"/>
          <w:rtl/>
        </w:rPr>
        <w:t xml:space="preserve"> فيتمسّك بدليل جهاد البغاة، لإثبات وجوب مقارعة هؤلاء الظالمين الباغين على المسلمين.</w:t>
      </w:r>
      <w:r w:rsidR="00F749B1">
        <w:rPr>
          <w:rFonts w:hint="cs"/>
          <w:rtl/>
        </w:rPr>
        <w:t xml:space="preserve"> وقد رأينا أنّ أدبيّات العلماء المسلمين سابقاً كانت تستخدم كلمة "البغي" للإشارة إلى موضوعنا هنا.</w:t>
      </w:r>
    </w:p>
    <w:p w14:paraId="50228DFF" w14:textId="77777777" w:rsidR="000A4159" w:rsidRPr="00822CE9" w:rsidRDefault="000A4159" w:rsidP="00306426">
      <w:pPr>
        <w:rPr>
          <w:rtl/>
        </w:rPr>
      </w:pPr>
      <w:r w:rsidRPr="00F749B1">
        <w:rPr>
          <w:rFonts w:hint="cs"/>
          <w:b/>
          <w:bCs/>
          <w:rtl/>
        </w:rPr>
        <w:t>وبصياغة أعمق:</w:t>
      </w:r>
      <w:r w:rsidRPr="00822CE9">
        <w:rPr>
          <w:rFonts w:hint="cs"/>
          <w:rtl/>
        </w:rPr>
        <w:t xml:space="preserve"> إنّ آية البغي تشير إلى نقطتين: الأولى الإصلاح بين المقاتلين، والثانية مقاتلة الباغين منهم، ونحن لا نحتمل أن يكون الواجب الثاني مرتبطاً بالواجب الأو</w:t>
      </w:r>
      <w:r w:rsidR="00F749B1">
        <w:rPr>
          <w:rFonts w:hint="cs"/>
          <w:rtl/>
        </w:rPr>
        <w:t>ّ</w:t>
      </w:r>
      <w:r w:rsidRPr="00822CE9">
        <w:rPr>
          <w:rFonts w:hint="cs"/>
          <w:rtl/>
        </w:rPr>
        <w:t xml:space="preserve">ل، بمعنى </w:t>
      </w:r>
      <w:r w:rsidR="00F749B1">
        <w:rPr>
          <w:rFonts w:hint="cs"/>
          <w:rtl/>
        </w:rPr>
        <w:t xml:space="preserve">حصر جهاد </w:t>
      </w:r>
      <w:r w:rsidRPr="00822CE9">
        <w:rPr>
          <w:rFonts w:hint="cs"/>
          <w:rtl/>
        </w:rPr>
        <w:t xml:space="preserve">البغاة بأن تكون إحدى الطائفتين المتقاتلين قد بغت على الأخرى، بل نأخذ بدلالة: </w:t>
      </w:r>
      <w:r w:rsidR="00CF4DBC">
        <w:rPr>
          <w:rFonts w:hint="eastAsia"/>
          <w:rtl/>
        </w:rPr>
        <w:t>«</w:t>
      </w:r>
      <w:r w:rsidRPr="00822CE9">
        <w:rPr>
          <w:rFonts w:hint="cs"/>
          <w:rtl/>
        </w:rPr>
        <w:t>فقاتلوا التي تبغي</w:t>
      </w:r>
      <w:r w:rsidR="00CF4DBC">
        <w:rPr>
          <w:rFonts w:hint="eastAsia"/>
          <w:rtl/>
        </w:rPr>
        <w:t>»</w:t>
      </w:r>
      <w:r w:rsidRPr="00822CE9">
        <w:rPr>
          <w:rFonts w:hint="cs"/>
          <w:rtl/>
        </w:rPr>
        <w:t xml:space="preserve"> لإثبات حكم كلّي</w:t>
      </w:r>
      <w:r w:rsidR="00F749B1">
        <w:rPr>
          <w:rFonts w:hint="cs"/>
          <w:rtl/>
        </w:rPr>
        <w:t>،</w:t>
      </w:r>
      <w:r w:rsidRPr="00822CE9">
        <w:rPr>
          <w:rFonts w:hint="cs"/>
          <w:rtl/>
        </w:rPr>
        <w:t xml:space="preserve"> وهو وجوب مقاتلة كل</w:t>
      </w:r>
      <w:r w:rsidR="00F749B1">
        <w:rPr>
          <w:rFonts w:hint="cs"/>
          <w:rtl/>
        </w:rPr>
        <w:t>ّ</w:t>
      </w:r>
      <w:r w:rsidRPr="00822CE9">
        <w:rPr>
          <w:rFonts w:hint="cs"/>
          <w:rtl/>
        </w:rPr>
        <w:t xml:space="preserve"> باغ</w:t>
      </w:r>
      <w:r w:rsidR="00F749B1">
        <w:rPr>
          <w:rFonts w:hint="cs"/>
          <w:rtl/>
        </w:rPr>
        <w:t>ٍ</w:t>
      </w:r>
      <w:r w:rsidRPr="00822CE9">
        <w:rPr>
          <w:rFonts w:hint="cs"/>
          <w:rtl/>
        </w:rPr>
        <w:t>، سوى كان</w:t>
      </w:r>
      <w:r w:rsidR="00F749B1">
        <w:rPr>
          <w:rFonts w:hint="cs"/>
          <w:rtl/>
        </w:rPr>
        <w:t>ت</w:t>
      </w:r>
      <w:r w:rsidRPr="00822CE9">
        <w:rPr>
          <w:rFonts w:hint="cs"/>
          <w:rtl/>
        </w:rPr>
        <w:t xml:space="preserve"> هناك حرب سابقة أ</w:t>
      </w:r>
      <w:r w:rsidR="00F749B1">
        <w:rPr>
          <w:rFonts w:hint="cs"/>
          <w:rtl/>
        </w:rPr>
        <w:t>م</w:t>
      </w:r>
      <w:r w:rsidRPr="00822CE9">
        <w:rPr>
          <w:rFonts w:hint="cs"/>
          <w:rtl/>
        </w:rPr>
        <w:t xml:space="preserve"> لا، وسواء حصل</w:t>
      </w:r>
      <w:r w:rsidR="00F749B1">
        <w:rPr>
          <w:rFonts w:hint="cs"/>
          <w:rtl/>
        </w:rPr>
        <w:t>ت</w:t>
      </w:r>
      <w:r w:rsidRPr="00822CE9">
        <w:rPr>
          <w:rFonts w:hint="cs"/>
          <w:rtl/>
        </w:rPr>
        <w:t xml:space="preserve"> محاولة إصلاح أم لا، وسواء بغت فئة على فئة أ</w:t>
      </w:r>
      <w:r w:rsidR="00F749B1">
        <w:rPr>
          <w:rFonts w:hint="cs"/>
          <w:rtl/>
        </w:rPr>
        <w:t>م</w:t>
      </w:r>
      <w:r w:rsidRPr="00822CE9">
        <w:rPr>
          <w:rFonts w:hint="cs"/>
          <w:rtl/>
        </w:rPr>
        <w:t xml:space="preserve"> فئة على الإمام ومنصبه.</w:t>
      </w:r>
    </w:p>
    <w:p w14:paraId="58AE5264" w14:textId="77777777" w:rsidR="000A4159" w:rsidRPr="00822CE9" w:rsidRDefault="000A4159" w:rsidP="00A079D6">
      <w:pPr>
        <w:spacing w:line="214" w:lineRule="auto"/>
        <w:rPr>
          <w:rtl/>
        </w:rPr>
      </w:pPr>
      <w:r w:rsidRPr="00F749B1">
        <w:rPr>
          <w:rFonts w:hint="cs"/>
          <w:b/>
          <w:bCs/>
          <w:rtl/>
        </w:rPr>
        <w:lastRenderedPageBreak/>
        <w:t>وبعبارة أخرى:</w:t>
      </w:r>
      <w:r w:rsidRPr="00822CE9">
        <w:rPr>
          <w:rFonts w:hint="cs"/>
          <w:rtl/>
        </w:rPr>
        <w:t xml:space="preserve"> إن</w:t>
      </w:r>
      <w:r w:rsidR="00F749B1">
        <w:rPr>
          <w:rFonts w:hint="cs"/>
          <w:rtl/>
        </w:rPr>
        <w:t>ّ</w:t>
      </w:r>
      <w:r w:rsidRPr="00822CE9">
        <w:rPr>
          <w:rFonts w:hint="cs"/>
          <w:rtl/>
        </w:rPr>
        <w:t xml:space="preserve"> المقطع المذكور من الآية حكم</w:t>
      </w:r>
      <w:r w:rsidR="00F749B1">
        <w:rPr>
          <w:rFonts w:hint="cs"/>
          <w:rtl/>
        </w:rPr>
        <w:t>ٌ</w:t>
      </w:r>
      <w:r w:rsidRPr="00822CE9">
        <w:rPr>
          <w:rFonts w:hint="cs"/>
          <w:rtl/>
        </w:rPr>
        <w:t xml:space="preserve"> مستقل</w:t>
      </w:r>
      <w:r w:rsidR="00F749B1">
        <w:rPr>
          <w:rFonts w:hint="cs"/>
          <w:rtl/>
        </w:rPr>
        <w:t>ّ</w:t>
      </w:r>
      <w:r w:rsidRPr="00822CE9">
        <w:rPr>
          <w:rFonts w:hint="cs"/>
          <w:rtl/>
        </w:rPr>
        <w:t xml:space="preserve"> بنفسه، فكلّ باغ</w:t>
      </w:r>
      <w:r w:rsidR="00F749B1">
        <w:rPr>
          <w:rFonts w:hint="cs"/>
          <w:rtl/>
        </w:rPr>
        <w:t>ٍ</w:t>
      </w:r>
      <w:r w:rsidRPr="00822CE9">
        <w:rPr>
          <w:rFonts w:hint="cs"/>
          <w:rtl/>
        </w:rPr>
        <w:t xml:space="preserve"> تجب مقاتلته، حتى لو لم يبدأ هو بالقتال، فالمورد وإن كان حصول تقاتل</w:t>
      </w:r>
      <w:r w:rsidR="00F749B1">
        <w:rPr>
          <w:rFonts w:hint="cs"/>
          <w:rtl/>
        </w:rPr>
        <w:t>،</w:t>
      </w:r>
      <w:r w:rsidRPr="00822CE9">
        <w:rPr>
          <w:rFonts w:hint="cs"/>
          <w:rtl/>
        </w:rPr>
        <w:t xml:space="preserve"> لكن</w:t>
      </w:r>
      <w:r w:rsidR="00F749B1">
        <w:rPr>
          <w:rFonts w:hint="cs"/>
          <w:rtl/>
        </w:rPr>
        <w:t>ّ</w:t>
      </w:r>
      <w:r w:rsidRPr="00822CE9">
        <w:rPr>
          <w:rFonts w:hint="cs"/>
          <w:rtl/>
        </w:rPr>
        <w:t xml:space="preserve"> المورد لا يخص</w:t>
      </w:r>
      <w:r w:rsidR="00F749B1">
        <w:rPr>
          <w:rFonts w:hint="cs"/>
          <w:rtl/>
        </w:rPr>
        <w:t>ّ</w:t>
      </w:r>
      <w:r w:rsidRPr="00822CE9">
        <w:rPr>
          <w:rFonts w:hint="cs"/>
          <w:rtl/>
        </w:rPr>
        <w:t>ص الوارد، ومعه كانت حروب معاوية وغيره حروب</w:t>
      </w:r>
      <w:r w:rsidR="00F749B1">
        <w:rPr>
          <w:rFonts w:hint="cs"/>
          <w:rtl/>
        </w:rPr>
        <w:t>َ</w:t>
      </w:r>
      <w:r w:rsidRPr="00822CE9">
        <w:rPr>
          <w:rFonts w:hint="cs"/>
          <w:rtl/>
        </w:rPr>
        <w:t xml:space="preserve"> بغي</w:t>
      </w:r>
      <w:r w:rsidR="00F749B1">
        <w:rPr>
          <w:rFonts w:hint="cs"/>
          <w:rtl/>
        </w:rPr>
        <w:t>،</w:t>
      </w:r>
      <w:r w:rsidRPr="00822CE9">
        <w:rPr>
          <w:rFonts w:hint="cs"/>
          <w:rtl/>
        </w:rPr>
        <w:t xml:space="preserve"> وإن لم يبدؤا هم بالقتال أو</w:t>
      </w:r>
      <w:r w:rsidR="00F749B1">
        <w:rPr>
          <w:rFonts w:hint="cs"/>
          <w:rtl/>
        </w:rPr>
        <w:t>ّ</w:t>
      </w:r>
      <w:r w:rsidRPr="00822CE9">
        <w:rPr>
          <w:rFonts w:hint="cs"/>
          <w:rtl/>
        </w:rPr>
        <w:t>لاً.</w:t>
      </w:r>
    </w:p>
    <w:p w14:paraId="329BAF9B" w14:textId="77777777" w:rsidR="000A4159" w:rsidRPr="00822CE9" w:rsidRDefault="000A4159" w:rsidP="00CF4DBC">
      <w:pPr>
        <w:spacing w:line="214" w:lineRule="auto"/>
        <w:rPr>
          <w:rtl/>
        </w:rPr>
      </w:pPr>
      <w:r w:rsidRPr="00822CE9">
        <w:rPr>
          <w:rFonts w:hint="cs"/>
          <w:rtl/>
        </w:rPr>
        <w:t>وعليه، فحيث إن</w:t>
      </w:r>
      <w:r w:rsidR="00F749B1">
        <w:rPr>
          <w:rFonts w:hint="cs"/>
          <w:rtl/>
        </w:rPr>
        <w:t>ّ</w:t>
      </w:r>
      <w:r w:rsidRPr="00822CE9">
        <w:rPr>
          <w:rFonts w:hint="cs"/>
          <w:rtl/>
        </w:rPr>
        <w:t xml:space="preserve"> الحك</w:t>
      </w:r>
      <w:r w:rsidR="00F749B1">
        <w:rPr>
          <w:rFonts w:hint="cs"/>
          <w:rtl/>
        </w:rPr>
        <w:t>ّ</w:t>
      </w:r>
      <w:r w:rsidRPr="00822CE9">
        <w:rPr>
          <w:rFonts w:hint="cs"/>
          <w:rtl/>
        </w:rPr>
        <w:t>ام الجائرين باغ</w:t>
      </w:r>
      <w:r w:rsidR="00CF4DBC">
        <w:rPr>
          <w:rFonts w:hint="cs"/>
          <w:rtl/>
        </w:rPr>
        <w:t>و</w:t>
      </w:r>
      <w:r w:rsidRPr="00822CE9">
        <w:rPr>
          <w:rFonts w:hint="cs"/>
          <w:rtl/>
        </w:rPr>
        <w:t>ن على الإمام الشرعي وخارج</w:t>
      </w:r>
      <w:r w:rsidR="00CF4DBC">
        <w:rPr>
          <w:rFonts w:hint="cs"/>
          <w:rtl/>
        </w:rPr>
        <w:t>و</w:t>
      </w:r>
      <w:r w:rsidRPr="00822CE9">
        <w:rPr>
          <w:rFonts w:hint="cs"/>
          <w:rtl/>
        </w:rPr>
        <w:t>ن عن حكمه وسلطانه وإطاعته</w:t>
      </w:r>
      <w:r w:rsidR="00F749B1">
        <w:rPr>
          <w:rFonts w:hint="cs"/>
          <w:rtl/>
        </w:rPr>
        <w:t>،</w:t>
      </w:r>
      <w:r w:rsidRPr="00822CE9">
        <w:rPr>
          <w:rFonts w:hint="cs"/>
          <w:rtl/>
        </w:rPr>
        <w:t xml:space="preserve"> وجبت محاربتهم ومواجهتهم</w:t>
      </w:r>
      <w:r w:rsidRPr="000A4159">
        <w:rPr>
          <w:rFonts w:cs="Taher"/>
          <w:vertAlign w:val="superscript"/>
          <w:rtl/>
        </w:rPr>
        <w:t>(</w:t>
      </w:r>
      <w:r w:rsidRPr="000A4159">
        <w:rPr>
          <w:rStyle w:val="FootnoteReference"/>
          <w:rFonts w:cs="Taher"/>
          <w:rtl/>
        </w:rPr>
        <w:footnoteReference w:id="19"/>
      </w:r>
      <w:r w:rsidRPr="000A4159">
        <w:rPr>
          <w:rFonts w:cs="Taher"/>
          <w:vertAlign w:val="superscript"/>
          <w:rtl/>
        </w:rPr>
        <w:t>)</w:t>
      </w:r>
      <w:r w:rsidRPr="00822CE9">
        <w:rPr>
          <w:rtl/>
        </w:rPr>
        <w:t>.</w:t>
      </w:r>
    </w:p>
    <w:p w14:paraId="19AC88A8" w14:textId="77777777" w:rsidR="000A4159" w:rsidRPr="00F749B1" w:rsidRDefault="000A4159" w:rsidP="00A079D6">
      <w:pPr>
        <w:spacing w:line="214" w:lineRule="auto"/>
        <w:rPr>
          <w:b/>
          <w:bCs/>
          <w:rtl/>
        </w:rPr>
      </w:pPr>
      <w:r w:rsidRPr="00F749B1">
        <w:rPr>
          <w:rFonts w:hint="cs"/>
          <w:b/>
          <w:bCs/>
          <w:rtl/>
        </w:rPr>
        <w:t>وقد نوقش هذا الدليل</w:t>
      </w:r>
      <w:r w:rsidR="00F749B1">
        <w:rPr>
          <w:rFonts w:hint="cs"/>
          <w:b/>
          <w:bCs/>
          <w:rtl/>
        </w:rPr>
        <w:t>،</w:t>
      </w:r>
      <w:r w:rsidRPr="00F749B1">
        <w:rPr>
          <w:rFonts w:hint="cs"/>
          <w:b/>
          <w:bCs/>
          <w:rtl/>
        </w:rPr>
        <w:t xml:space="preserve"> ويناق</w:t>
      </w:r>
      <w:r w:rsidR="00F749B1">
        <w:rPr>
          <w:rFonts w:hint="cs"/>
          <w:b/>
          <w:bCs/>
          <w:rtl/>
        </w:rPr>
        <w:t>َ</w:t>
      </w:r>
      <w:r w:rsidRPr="00F749B1">
        <w:rPr>
          <w:rFonts w:hint="cs"/>
          <w:b/>
          <w:bCs/>
          <w:rtl/>
        </w:rPr>
        <w:t>ش</w:t>
      </w:r>
      <w:r w:rsidR="00F749B1">
        <w:rPr>
          <w:rFonts w:hint="cs"/>
          <w:b/>
          <w:bCs/>
          <w:rtl/>
        </w:rPr>
        <w:t>،</w:t>
      </w:r>
      <w:r w:rsidRPr="00F749B1">
        <w:rPr>
          <w:rFonts w:hint="cs"/>
          <w:b/>
          <w:bCs/>
          <w:rtl/>
        </w:rPr>
        <w:t xml:space="preserve"> من جهات:</w:t>
      </w:r>
    </w:p>
    <w:p w14:paraId="0B03431E" w14:textId="77777777" w:rsidR="000A4159" w:rsidRPr="00822CE9" w:rsidRDefault="000A4159" w:rsidP="00F51062">
      <w:pPr>
        <w:pStyle w:val="normal930"/>
        <w:rPr>
          <w:rtl/>
        </w:rPr>
      </w:pPr>
      <w:r w:rsidRPr="00F749B1">
        <w:rPr>
          <w:rFonts w:hint="cs"/>
          <w:b/>
          <w:bCs/>
          <w:rtl/>
        </w:rPr>
        <w:t>أو</w:t>
      </w:r>
      <w:r w:rsidR="00F749B1">
        <w:rPr>
          <w:rFonts w:hint="cs"/>
          <w:b/>
          <w:bCs/>
          <w:rtl/>
        </w:rPr>
        <w:t>ّ</w:t>
      </w:r>
      <w:r w:rsidRPr="00F749B1">
        <w:rPr>
          <w:rFonts w:hint="cs"/>
          <w:b/>
          <w:bCs/>
          <w:rtl/>
        </w:rPr>
        <w:t>لاً:</w:t>
      </w:r>
      <w:r w:rsidRPr="00822CE9">
        <w:rPr>
          <w:rFonts w:hint="cs"/>
          <w:rtl/>
        </w:rPr>
        <w:t xml:space="preserve"> ما ذكره السيد كاظم الحائري</w:t>
      </w:r>
      <w:r w:rsidR="00F749B1">
        <w:rPr>
          <w:rFonts w:hint="cs"/>
          <w:rtl/>
        </w:rPr>
        <w:t>،</w:t>
      </w:r>
      <w:r w:rsidRPr="00822CE9">
        <w:rPr>
          <w:rFonts w:hint="cs"/>
          <w:rtl/>
        </w:rPr>
        <w:t xml:space="preserve"> من أنّ عمدة الدليل على جهاد البغاة هو الآية الشريفة في سورة الحجرات، وهي ظاهرة في الباغي المحارب بالفعل، المنشغل بالحرب ونار الفتنة، وهذا أمر</w:t>
      </w:r>
      <w:r w:rsidR="00F749B1">
        <w:rPr>
          <w:rFonts w:hint="cs"/>
          <w:rtl/>
        </w:rPr>
        <w:t>ٌ</w:t>
      </w:r>
      <w:r w:rsidRPr="00822CE9">
        <w:rPr>
          <w:rFonts w:hint="cs"/>
          <w:rtl/>
        </w:rPr>
        <w:t xml:space="preserve"> غير متحق</w:t>
      </w:r>
      <w:r w:rsidR="00F749B1">
        <w:rPr>
          <w:rFonts w:hint="cs"/>
          <w:rtl/>
        </w:rPr>
        <w:t>ّ</w:t>
      </w:r>
      <w:r w:rsidRPr="00822CE9">
        <w:rPr>
          <w:rFonts w:hint="cs"/>
          <w:rtl/>
        </w:rPr>
        <w:t>ق هنا، فإن</w:t>
      </w:r>
      <w:r w:rsidR="00F749B1">
        <w:rPr>
          <w:rFonts w:hint="cs"/>
          <w:rtl/>
        </w:rPr>
        <w:t>ّ</w:t>
      </w:r>
      <w:r w:rsidRPr="00822CE9">
        <w:rPr>
          <w:rFonts w:hint="cs"/>
          <w:rtl/>
        </w:rPr>
        <w:t xml:space="preserve"> الحك</w:t>
      </w:r>
      <w:r w:rsidR="00F749B1">
        <w:rPr>
          <w:rFonts w:hint="cs"/>
          <w:rtl/>
        </w:rPr>
        <w:t>ّ</w:t>
      </w:r>
      <w:r w:rsidRPr="00822CE9">
        <w:rPr>
          <w:rFonts w:hint="cs"/>
          <w:rtl/>
        </w:rPr>
        <w:t>ام الظالمين هم المسيطرون ـ حسب الفرض ـ وليسوا في حاجة إلى إشعال حرب، بل يهمّهم عدم اشتعالها، فيكون هذا المورد هنا خارجاً عن دلالة الآية الكريمة</w:t>
      </w:r>
      <w:r w:rsidRPr="000A4159">
        <w:rPr>
          <w:rFonts w:cs="Taher"/>
          <w:vertAlign w:val="superscript"/>
          <w:rtl/>
        </w:rPr>
        <w:t>(</w:t>
      </w:r>
      <w:r w:rsidRPr="000A4159">
        <w:rPr>
          <w:rStyle w:val="FootnoteReference"/>
          <w:rFonts w:cs="Taher"/>
          <w:rtl/>
        </w:rPr>
        <w:footnoteReference w:id="20"/>
      </w:r>
      <w:r w:rsidRPr="000A4159">
        <w:rPr>
          <w:rFonts w:cs="Taher"/>
          <w:vertAlign w:val="superscript"/>
          <w:rtl/>
        </w:rPr>
        <w:t>)</w:t>
      </w:r>
      <w:r w:rsidRPr="00822CE9">
        <w:rPr>
          <w:rtl/>
        </w:rPr>
        <w:t>.</w:t>
      </w:r>
    </w:p>
    <w:p w14:paraId="17327E36" w14:textId="77777777" w:rsidR="000A4159" w:rsidRPr="00F749B1" w:rsidRDefault="000A4159" w:rsidP="00A079D6">
      <w:pPr>
        <w:spacing w:line="214" w:lineRule="auto"/>
        <w:rPr>
          <w:b/>
          <w:bCs/>
          <w:rtl/>
        </w:rPr>
      </w:pPr>
      <w:r w:rsidRPr="00F749B1">
        <w:rPr>
          <w:rFonts w:hint="cs"/>
          <w:b/>
          <w:bCs/>
          <w:rtl/>
        </w:rPr>
        <w:t>وهذا الإشكال:</w:t>
      </w:r>
    </w:p>
    <w:p w14:paraId="0720ACD2" w14:textId="77777777" w:rsidR="000A4159" w:rsidRPr="00822CE9" w:rsidRDefault="00907E94" w:rsidP="00907E94">
      <w:pPr>
        <w:spacing w:line="214" w:lineRule="auto"/>
        <w:rPr>
          <w:rtl/>
        </w:rPr>
      </w:pPr>
      <w:r>
        <w:rPr>
          <w:rFonts w:hint="cs"/>
          <w:b/>
          <w:bCs/>
          <w:rtl/>
        </w:rPr>
        <w:t>1</w:t>
      </w:r>
      <w:r w:rsidR="000A4159" w:rsidRPr="00F749B1">
        <w:rPr>
          <w:rFonts w:hint="cs"/>
          <w:b/>
          <w:bCs/>
          <w:rtl/>
        </w:rPr>
        <w:t xml:space="preserve"> ـ</w:t>
      </w:r>
      <w:r w:rsidR="000A4159" w:rsidRPr="00822CE9">
        <w:rPr>
          <w:rFonts w:hint="cs"/>
          <w:rtl/>
        </w:rPr>
        <w:t xml:space="preserve"> أجاب عنه الشيخ الآصفي</w:t>
      </w:r>
      <w:r w:rsidR="00F749B1">
        <w:rPr>
          <w:rFonts w:hint="cs"/>
          <w:rtl/>
        </w:rPr>
        <w:t>،</w:t>
      </w:r>
      <w:r w:rsidR="000A4159" w:rsidRPr="00822CE9">
        <w:rPr>
          <w:rFonts w:hint="cs"/>
          <w:rtl/>
        </w:rPr>
        <w:t xml:space="preserve"> بأنّ الآية القرآنية لا تتحدّث عن حكم</w:t>
      </w:r>
      <w:r w:rsidR="00F749B1">
        <w:rPr>
          <w:rFonts w:hint="cs"/>
          <w:rtl/>
        </w:rPr>
        <w:t>ٍ</w:t>
      </w:r>
      <w:r w:rsidR="000A4159" w:rsidRPr="00822CE9">
        <w:rPr>
          <w:rFonts w:hint="cs"/>
          <w:rtl/>
        </w:rPr>
        <w:t xml:space="preserve"> واحد هو اقتتال جماعة، ثم</w:t>
      </w:r>
      <w:r w:rsidR="00F749B1">
        <w:rPr>
          <w:rFonts w:hint="cs"/>
          <w:rtl/>
        </w:rPr>
        <w:t>ّ</w:t>
      </w:r>
      <w:r w:rsidR="000A4159" w:rsidRPr="00822CE9">
        <w:rPr>
          <w:rFonts w:hint="cs"/>
          <w:rtl/>
        </w:rPr>
        <w:t xml:space="preserve"> الإصلاح بينهما، ثم</w:t>
      </w:r>
      <w:r w:rsidR="00F749B1">
        <w:rPr>
          <w:rFonts w:hint="cs"/>
          <w:rtl/>
        </w:rPr>
        <w:t>ّ</w:t>
      </w:r>
      <w:r w:rsidR="000A4159" w:rsidRPr="00822CE9">
        <w:rPr>
          <w:rFonts w:hint="cs"/>
          <w:rtl/>
        </w:rPr>
        <w:t xml:space="preserve"> بغي إحدى المجموعتين على الأخرى، فهذا خطأ في تفسيرها، بل المقطع الأوّل من الآية منفصل عن المقطع الثاني، وبهذا يكون في الآية حكمان هما:</w:t>
      </w:r>
    </w:p>
    <w:p w14:paraId="0B92A78B" w14:textId="77777777" w:rsidR="000A4159" w:rsidRPr="00822CE9" w:rsidRDefault="00907E94" w:rsidP="00907E94">
      <w:pPr>
        <w:spacing w:line="214" w:lineRule="auto"/>
        <w:rPr>
          <w:rtl/>
        </w:rPr>
      </w:pPr>
      <w:r>
        <w:rPr>
          <w:rFonts w:hint="cs"/>
          <w:rtl/>
        </w:rPr>
        <w:t>أ</w:t>
      </w:r>
      <w:r w:rsidR="000A4159" w:rsidRPr="00822CE9">
        <w:rPr>
          <w:rFonts w:hint="cs"/>
          <w:rtl/>
        </w:rPr>
        <w:t xml:space="preserve"> ـ اذا اقتتلت طائفتان من المؤمنين فأصلحوا بينهما.</w:t>
      </w:r>
    </w:p>
    <w:p w14:paraId="14323C44" w14:textId="77777777" w:rsidR="000A4159" w:rsidRPr="00822CE9" w:rsidRDefault="00907E94" w:rsidP="00907E94">
      <w:pPr>
        <w:spacing w:line="214" w:lineRule="auto"/>
        <w:rPr>
          <w:rtl/>
        </w:rPr>
      </w:pPr>
      <w:r>
        <w:rPr>
          <w:rFonts w:hint="cs"/>
          <w:rtl/>
        </w:rPr>
        <w:t>ب</w:t>
      </w:r>
      <w:r w:rsidR="000A4159" w:rsidRPr="00822CE9">
        <w:rPr>
          <w:rFonts w:hint="cs"/>
          <w:rtl/>
        </w:rPr>
        <w:t xml:space="preserve"> ـ إذا بغت جماعة من المؤمنين </w:t>
      </w:r>
      <w:r w:rsidR="00F749B1">
        <w:rPr>
          <w:rFonts w:hint="cs"/>
          <w:rtl/>
        </w:rPr>
        <w:t>ف</w:t>
      </w:r>
      <w:r w:rsidR="000A4159" w:rsidRPr="00822CE9">
        <w:rPr>
          <w:rFonts w:hint="cs"/>
          <w:rtl/>
        </w:rPr>
        <w:t>قاتلوا هذه الفئة الباغية بلا فرق بين أن تقاتل غيرها أو لا تقاتل، فالمهم صدق أنّها بغت</w:t>
      </w:r>
      <w:r w:rsidR="000A4159" w:rsidRPr="000A4159">
        <w:rPr>
          <w:rFonts w:cs="Taher"/>
          <w:vertAlign w:val="superscript"/>
          <w:rtl/>
        </w:rPr>
        <w:t>(</w:t>
      </w:r>
      <w:r w:rsidR="000A4159" w:rsidRPr="000A4159">
        <w:rPr>
          <w:rStyle w:val="FootnoteReference"/>
          <w:rFonts w:cs="Taher"/>
          <w:rtl/>
        </w:rPr>
        <w:footnoteReference w:id="21"/>
      </w:r>
      <w:r w:rsidR="000A4159" w:rsidRPr="000A4159">
        <w:rPr>
          <w:rFonts w:cs="Taher"/>
          <w:vertAlign w:val="superscript"/>
          <w:rtl/>
        </w:rPr>
        <w:t>)</w:t>
      </w:r>
      <w:r w:rsidR="000A4159" w:rsidRPr="00822CE9">
        <w:rPr>
          <w:rtl/>
        </w:rPr>
        <w:t>.</w:t>
      </w:r>
    </w:p>
    <w:p w14:paraId="663EBC17" w14:textId="77777777" w:rsidR="000A4159" w:rsidRPr="00F749B1" w:rsidRDefault="000A4159" w:rsidP="00A079D6">
      <w:pPr>
        <w:spacing w:line="214" w:lineRule="auto"/>
        <w:rPr>
          <w:b/>
          <w:bCs/>
          <w:rtl/>
        </w:rPr>
      </w:pPr>
      <w:r w:rsidRPr="00F749B1">
        <w:rPr>
          <w:rFonts w:hint="cs"/>
          <w:b/>
          <w:bCs/>
          <w:rtl/>
        </w:rPr>
        <w:t>إلا أنّ هذا الجواب غير واضح؛ وذلك:</w:t>
      </w:r>
    </w:p>
    <w:p w14:paraId="0FC2B1D3" w14:textId="77777777" w:rsidR="000A4159" w:rsidRPr="00822CE9" w:rsidRDefault="00907E94" w:rsidP="00CF4DBC">
      <w:pPr>
        <w:spacing w:line="214" w:lineRule="auto"/>
        <w:rPr>
          <w:rtl/>
        </w:rPr>
      </w:pPr>
      <w:r>
        <w:rPr>
          <w:rFonts w:hint="cs"/>
          <w:b/>
          <w:bCs/>
          <w:rtl/>
        </w:rPr>
        <w:t>أ</w:t>
      </w:r>
      <w:r w:rsidR="000A4159" w:rsidRPr="00F749B1">
        <w:rPr>
          <w:rFonts w:hint="cs"/>
          <w:b/>
          <w:bCs/>
          <w:rtl/>
        </w:rPr>
        <w:t xml:space="preserve"> ـ </w:t>
      </w:r>
      <w:r w:rsidR="00F749B1">
        <w:rPr>
          <w:rFonts w:hint="cs"/>
          <w:rtl/>
        </w:rPr>
        <w:t>إ</w:t>
      </w:r>
      <w:r w:rsidR="000A4159" w:rsidRPr="00822CE9">
        <w:rPr>
          <w:rFonts w:hint="cs"/>
          <w:rtl/>
        </w:rPr>
        <w:t xml:space="preserve">نّ في الآية ربطاً بحرف «الفاء» في قوله: </w:t>
      </w:r>
      <w:r w:rsidR="00CF4DBC">
        <w:rPr>
          <w:rFonts w:hint="eastAsia"/>
          <w:rtl/>
        </w:rPr>
        <w:t>«</w:t>
      </w:r>
      <w:r w:rsidR="000A4159" w:rsidRPr="00822CE9">
        <w:rPr>
          <w:rFonts w:hint="cs"/>
          <w:rtl/>
        </w:rPr>
        <w:t>فإن بغت</w:t>
      </w:r>
      <w:r w:rsidR="00CF4DBC">
        <w:rPr>
          <w:rFonts w:hint="eastAsia"/>
          <w:rtl/>
        </w:rPr>
        <w:t>»</w:t>
      </w:r>
      <w:r w:rsidR="000A4159" w:rsidRPr="00822CE9">
        <w:rPr>
          <w:rFonts w:hint="cs"/>
          <w:rtl/>
        </w:rPr>
        <w:t xml:space="preserve">، مع التعبير بـ </w:t>
      </w:r>
      <w:r w:rsidR="000A4159" w:rsidRPr="00822CE9">
        <w:rPr>
          <w:rtl/>
        </w:rPr>
        <w:t>﴿</w:t>
      </w:r>
      <w:r w:rsidR="000A4159" w:rsidRPr="00F749B1">
        <w:rPr>
          <w:rFonts w:hint="cs"/>
          <w:b/>
          <w:bCs/>
          <w:rtl/>
        </w:rPr>
        <w:t>إِحْدَاهُمَا عَلَى الأُخْرَى</w:t>
      </w:r>
      <w:r w:rsidR="000A4159" w:rsidRPr="00822CE9">
        <w:rPr>
          <w:rtl/>
        </w:rPr>
        <w:t>﴾</w:t>
      </w:r>
      <w:r w:rsidR="000A4159" w:rsidRPr="00822CE9">
        <w:rPr>
          <w:rFonts w:hint="cs"/>
          <w:rtl/>
        </w:rPr>
        <w:t xml:space="preserve"> في إشارة إلى الطائفتين المذكورتين</w:t>
      </w:r>
      <w:r w:rsidR="00F749B1">
        <w:rPr>
          <w:rFonts w:hint="cs"/>
          <w:rtl/>
        </w:rPr>
        <w:t xml:space="preserve"> سابقاً</w:t>
      </w:r>
      <w:r w:rsidR="000A4159" w:rsidRPr="00822CE9">
        <w:rPr>
          <w:rFonts w:hint="cs"/>
          <w:rtl/>
        </w:rPr>
        <w:t>.</w:t>
      </w:r>
    </w:p>
    <w:p w14:paraId="3B2C9B9B" w14:textId="77777777" w:rsidR="000A4159" w:rsidRPr="00822CE9" w:rsidRDefault="00F749B1" w:rsidP="00A079D6">
      <w:pPr>
        <w:spacing w:line="214" w:lineRule="auto"/>
        <w:rPr>
          <w:rtl/>
        </w:rPr>
      </w:pPr>
      <w:r>
        <w:rPr>
          <w:rFonts w:hint="cs"/>
          <w:rtl/>
        </w:rPr>
        <w:lastRenderedPageBreak/>
        <w:t>نعم، نحن نقبل أ</w:t>
      </w:r>
      <w:r w:rsidR="000A4159" w:rsidRPr="00822CE9">
        <w:rPr>
          <w:rFonts w:hint="cs"/>
          <w:rtl/>
        </w:rPr>
        <w:t>ن</w:t>
      </w:r>
      <w:r>
        <w:rPr>
          <w:rFonts w:hint="cs"/>
          <w:rtl/>
        </w:rPr>
        <w:t>ّ</w:t>
      </w:r>
      <w:r w:rsidR="000A4159" w:rsidRPr="00822CE9">
        <w:rPr>
          <w:rFonts w:hint="cs"/>
          <w:rtl/>
        </w:rPr>
        <w:t xml:space="preserve"> الاقتتال ليس من الضروري أن تكون قد شرعت به الفئة الباغية، بل قد تشرع به الفئة الأخرى، مع صدق عنوان البغي على الثانية، إلا أن</w:t>
      </w:r>
      <w:r>
        <w:rPr>
          <w:rFonts w:hint="cs"/>
          <w:rtl/>
        </w:rPr>
        <w:t>ّ</w:t>
      </w:r>
      <w:r w:rsidR="000A4159" w:rsidRPr="00822CE9">
        <w:rPr>
          <w:rFonts w:hint="cs"/>
          <w:rtl/>
        </w:rPr>
        <w:t xml:space="preserve"> عنوان البغي هذا واضح</w:t>
      </w:r>
      <w:r>
        <w:rPr>
          <w:rFonts w:hint="cs"/>
          <w:rtl/>
        </w:rPr>
        <w:t>ٌ</w:t>
      </w:r>
      <w:r w:rsidR="000A4159" w:rsidRPr="00822CE9">
        <w:rPr>
          <w:rFonts w:hint="cs"/>
          <w:rtl/>
        </w:rPr>
        <w:t xml:space="preserve"> من الآية أن</w:t>
      </w:r>
      <w:r>
        <w:rPr>
          <w:rFonts w:hint="cs"/>
          <w:rtl/>
        </w:rPr>
        <w:t>ّ</w:t>
      </w:r>
      <w:r w:rsidR="000A4159" w:rsidRPr="00822CE9">
        <w:rPr>
          <w:rFonts w:hint="cs"/>
          <w:rtl/>
        </w:rPr>
        <w:t>ه جاء في سياق الاقتتال الداخلي، لا في سياق مطلق الخلاف. فإحراز شمول الآية لغير هذا المورد صعب.</w:t>
      </w:r>
    </w:p>
    <w:p w14:paraId="395A6CBD" w14:textId="77777777" w:rsidR="000A4159" w:rsidRPr="00822CE9" w:rsidRDefault="00907E94" w:rsidP="00F51062">
      <w:pPr>
        <w:pStyle w:val="normal870"/>
        <w:rPr>
          <w:rtl/>
        </w:rPr>
      </w:pPr>
      <w:r>
        <w:rPr>
          <w:rFonts w:hint="cs"/>
          <w:b/>
          <w:bCs/>
          <w:rtl/>
        </w:rPr>
        <w:t>ب</w:t>
      </w:r>
      <w:r w:rsidR="000A4159" w:rsidRPr="00F749B1">
        <w:rPr>
          <w:rFonts w:hint="cs"/>
          <w:b/>
          <w:bCs/>
          <w:rtl/>
        </w:rPr>
        <w:t xml:space="preserve"> ـ </w:t>
      </w:r>
      <w:r w:rsidR="000A4159" w:rsidRPr="00822CE9">
        <w:rPr>
          <w:rFonts w:hint="cs"/>
          <w:rtl/>
        </w:rPr>
        <w:t>إنّ التمسّك بهذه الطريقة في تفسير الآية، معناه أنّ أيّ بغي يحصل من جهة بين المسلمين على جهة أخرى يوجب الحرب ضدّ الفئة الباغية دون حاجة إلى المطالبة بالصلح أو نحوه</w:t>
      </w:r>
      <w:r w:rsidR="00F749B1">
        <w:rPr>
          <w:rFonts w:hint="cs"/>
          <w:rtl/>
        </w:rPr>
        <w:t>؛</w:t>
      </w:r>
      <w:r w:rsidR="000A4159" w:rsidRPr="00822CE9">
        <w:rPr>
          <w:rFonts w:hint="cs"/>
          <w:rtl/>
        </w:rPr>
        <w:t xml:space="preserve"> لأن</w:t>
      </w:r>
      <w:r w:rsidR="00F749B1">
        <w:rPr>
          <w:rFonts w:hint="cs"/>
          <w:rtl/>
        </w:rPr>
        <w:t>ّ</w:t>
      </w:r>
      <w:r w:rsidR="000A4159" w:rsidRPr="00822CE9">
        <w:rPr>
          <w:rFonts w:hint="cs"/>
          <w:rtl/>
        </w:rPr>
        <w:t xml:space="preserve"> فك</w:t>
      </w:r>
      <w:r w:rsidR="00F749B1">
        <w:rPr>
          <w:rFonts w:hint="cs"/>
          <w:rtl/>
        </w:rPr>
        <w:t>ّ</w:t>
      </w:r>
      <w:r w:rsidR="000A4159" w:rsidRPr="00822CE9">
        <w:rPr>
          <w:rFonts w:hint="cs"/>
          <w:rtl/>
        </w:rPr>
        <w:t xml:space="preserve"> المقطع الثاني عن الأو</w:t>
      </w:r>
      <w:r w:rsidR="00F749B1">
        <w:rPr>
          <w:rFonts w:hint="cs"/>
          <w:rtl/>
        </w:rPr>
        <w:t>ّ</w:t>
      </w:r>
      <w:r w:rsidR="000A4159" w:rsidRPr="00822CE9">
        <w:rPr>
          <w:rFonts w:hint="cs"/>
          <w:rtl/>
        </w:rPr>
        <w:t xml:space="preserve">ل، معناه أنه </w:t>
      </w:r>
      <w:r w:rsidR="00F749B1">
        <w:rPr>
          <w:rFonts w:hint="cs"/>
          <w:rtl/>
        </w:rPr>
        <w:t>ت</w:t>
      </w:r>
      <w:r w:rsidR="000A4159" w:rsidRPr="00822CE9">
        <w:rPr>
          <w:rFonts w:hint="cs"/>
          <w:rtl/>
        </w:rPr>
        <w:t>جب محاربة كل</w:t>
      </w:r>
      <w:r w:rsidR="00F749B1">
        <w:rPr>
          <w:rFonts w:hint="cs"/>
          <w:rtl/>
        </w:rPr>
        <w:t>ّ</w:t>
      </w:r>
      <w:r w:rsidR="000A4159" w:rsidRPr="00822CE9">
        <w:rPr>
          <w:rFonts w:hint="cs"/>
          <w:rtl/>
        </w:rPr>
        <w:t xml:space="preserve"> فئة باغية، وهذا البغي ليس من الضروري ـ حسب رأي المجيب هنا ـ أن يكون قتالاً؛ إذا</w:t>
      </w:r>
      <w:r w:rsidR="00F749B1">
        <w:rPr>
          <w:rFonts w:hint="cs"/>
          <w:rtl/>
        </w:rPr>
        <w:t>ً</w:t>
      </w:r>
      <w:r w:rsidR="000A4159" w:rsidRPr="00822CE9">
        <w:rPr>
          <w:rFonts w:hint="cs"/>
          <w:rtl/>
        </w:rPr>
        <w:t xml:space="preserve"> فإذا بغ</w:t>
      </w:r>
      <w:r w:rsidR="00301676">
        <w:rPr>
          <w:rFonts w:hint="cs"/>
          <w:rtl/>
        </w:rPr>
        <w:t>ت</w:t>
      </w:r>
      <w:r w:rsidR="000A4159" w:rsidRPr="00822CE9">
        <w:rPr>
          <w:rFonts w:hint="cs"/>
          <w:rtl/>
        </w:rPr>
        <w:t xml:space="preserve"> جماعة على أخرى في أمر</w:t>
      </w:r>
      <w:r w:rsidR="00301676">
        <w:rPr>
          <w:rFonts w:hint="cs"/>
          <w:rtl/>
        </w:rPr>
        <w:t>ٍ</w:t>
      </w:r>
      <w:r w:rsidR="000A4159" w:rsidRPr="00822CE9">
        <w:rPr>
          <w:rFonts w:hint="cs"/>
          <w:rtl/>
        </w:rPr>
        <w:t xml:space="preserve"> وجب تجهيز جيش</w:t>
      </w:r>
      <w:r w:rsidR="00301676">
        <w:rPr>
          <w:rFonts w:hint="cs"/>
          <w:rtl/>
        </w:rPr>
        <w:t>ٍ</w:t>
      </w:r>
      <w:r w:rsidR="000A4159" w:rsidRPr="00822CE9">
        <w:rPr>
          <w:rFonts w:hint="cs"/>
          <w:rtl/>
        </w:rPr>
        <w:t xml:space="preserve"> لمقاتلتهم، لا الحديث عن الصلح أو المحاكمة القضائي</w:t>
      </w:r>
      <w:r w:rsidR="00301676">
        <w:rPr>
          <w:rFonts w:hint="cs"/>
          <w:rtl/>
        </w:rPr>
        <w:t>ّ</w:t>
      </w:r>
      <w:r w:rsidR="000A4159" w:rsidRPr="00822CE9">
        <w:rPr>
          <w:rFonts w:hint="cs"/>
          <w:rtl/>
        </w:rPr>
        <w:t>ة، وهذا إذا تمّ سيلزم منه تخصيص الأكثر</w:t>
      </w:r>
      <w:r w:rsidR="00301676">
        <w:rPr>
          <w:rFonts w:hint="cs"/>
          <w:rtl/>
        </w:rPr>
        <w:t xml:space="preserve"> المرفوض؛</w:t>
      </w:r>
      <w:r w:rsidR="000A4159" w:rsidRPr="00822CE9">
        <w:rPr>
          <w:rFonts w:hint="cs"/>
          <w:rtl/>
        </w:rPr>
        <w:t xml:space="preserve"> لأن</w:t>
      </w:r>
      <w:r w:rsidR="00301676">
        <w:rPr>
          <w:rFonts w:hint="cs"/>
          <w:rtl/>
        </w:rPr>
        <w:t>ّ</w:t>
      </w:r>
      <w:r w:rsidR="000A4159" w:rsidRPr="00822CE9">
        <w:rPr>
          <w:rFonts w:hint="cs"/>
          <w:rtl/>
        </w:rPr>
        <w:t>نا نحرز من الخارج عدم صحّة هذه الطريقة إلا في حالات محدودة باعتراف المجيب، فكيف يمكن أن نلتزم بهذا التفسير</w:t>
      </w:r>
      <w:r w:rsidR="00301676">
        <w:rPr>
          <w:rFonts w:hint="cs"/>
          <w:rtl/>
        </w:rPr>
        <w:t>؟!</w:t>
      </w:r>
    </w:p>
    <w:p w14:paraId="5D0A69EC" w14:textId="77777777" w:rsidR="000A4159" w:rsidRPr="00822CE9" w:rsidRDefault="00907E94" w:rsidP="00F51062">
      <w:pPr>
        <w:pStyle w:val="normal870"/>
        <w:rPr>
          <w:rtl/>
        </w:rPr>
      </w:pPr>
      <w:r>
        <w:rPr>
          <w:rFonts w:hint="cs"/>
          <w:b/>
          <w:bCs/>
          <w:rtl/>
        </w:rPr>
        <w:t>ج</w:t>
      </w:r>
      <w:r w:rsidR="000A4159" w:rsidRPr="00301676">
        <w:rPr>
          <w:rFonts w:hint="cs"/>
          <w:b/>
          <w:bCs/>
          <w:rtl/>
        </w:rPr>
        <w:t xml:space="preserve"> ـ </w:t>
      </w:r>
      <w:r w:rsidR="000A4159" w:rsidRPr="00822CE9">
        <w:rPr>
          <w:rFonts w:hint="cs"/>
          <w:rtl/>
        </w:rPr>
        <w:t>إن</w:t>
      </w:r>
      <w:r w:rsidR="00301676">
        <w:rPr>
          <w:rFonts w:hint="cs"/>
          <w:rtl/>
        </w:rPr>
        <w:t>ّ</w:t>
      </w:r>
      <w:r w:rsidR="000A4159" w:rsidRPr="00822CE9">
        <w:rPr>
          <w:rFonts w:hint="cs"/>
          <w:rtl/>
        </w:rPr>
        <w:t xml:space="preserve"> الظاهر من الآية أن</w:t>
      </w:r>
      <w:r w:rsidR="00301676">
        <w:rPr>
          <w:rFonts w:hint="cs"/>
          <w:rtl/>
        </w:rPr>
        <w:t>ّ</w:t>
      </w:r>
      <w:r w:rsidR="000A4159" w:rsidRPr="00822CE9">
        <w:rPr>
          <w:rFonts w:hint="cs"/>
          <w:rtl/>
        </w:rPr>
        <w:t xml:space="preserve"> البغي كان بغي</w:t>
      </w:r>
      <w:r w:rsidR="00301676">
        <w:rPr>
          <w:rFonts w:hint="cs"/>
          <w:rtl/>
        </w:rPr>
        <w:t>َ</w:t>
      </w:r>
      <w:r w:rsidR="000A4159" w:rsidRPr="00822CE9">
        <w:rPr>
          <w:rFonts w:hint="cs"/>
          <w:rtl/>
        </w:rPr>
        <w:t xml:space="preserve"> فريق</w:t>
      </w:r>
      <w:r w:rsidR="00301676">
        <w:rPr>
          <w:rFonts w:hint="cs"/>
          <w:rtl/>
        </w:rPr>
        <w:t>ٍ</w:t>
      </w:r>
      <w:r w:rsidR="000A4159" w:rsidRPr="00822CE9">
        <w:rPr>
          <w:rFonts w:hint="cs"/>
          <w:rtl/>
        </w:rPr>
        <w:t xml:space="preserve"> على آخر، </w:t>
      </w:r>
      <w:r w:rsidR="00301676">
        <w:rPr>
          <w:rFonts w:hint="cs"/>
          <w:rtl/>
        </w:rPr>
        <w:t xml:space="preserve">دون </w:t>
      </w:r>
      <w:r w:rsidR="000A4159" w:rsidRPr="00822CE9">
        <w:rPr>
          <w:rFonts w:hint="cs"/>
          <w:rtl/>
        </w:rPr>
        <w:t>مطلق البغي ولو كان بغياً على أحكام الله، وعليه فلا تصلح الآية</w:t>
      </w:r>
      <w:r w:rsidR="00301676">
        <w:rPr>
          <w:rFonts w:hint="cs"/>
          <w:rtl/>
        </w:rPr>
        <w:t>،</w:t>
      </w:r>
      <w:r w:rsidR="000A4159" w:rsidRPr="00822CE9">
        <w:rPr>
          <w:rFonts w:hint="cs"/>
          <w:rtl/>
        </w:rPr>
        <w:t xml:space="preserve"> حتى لو اقتطعنا الجزء الثاني منها</w:t>
      </w:r>
      <w:r w:rsidR="00301676">
        <w:rPr>
          <w:rFonts w:hint="cs"/>
          <w:rtl/>
        </w:rPr>
        <w:t>،</w:t>
      </w:r>
      <w:r w:rsidR="000A4159" w:rsidRPr="00822CE9">
        <w:rPr>
          <w:rFonts w:hint="cs"/>
          <w:rtl/>
        </w:rPr>
        <w:t xml:space="preserve"> دليلاً دوماً في محلّ بحثنا، وذلك أن</w:t>
      </w:r>
      <w:r w:rsidR="00301676">
        <w:rPr>
          <w:rFonts w:hint="cs"/>
          <w:rtl/>
        </w:rPr>
        <w:t>ّ</w:t>
      </w:r>
      <w:r w:rsidR="000A4159" w:rsidRPr="00822CE9">
        <w:rPr>
          <w:rFonts w:hint="cs"/>
          <w:rtl/>
        </w:rPr>
        <w:t>ه لو</w:t>
      </w:r>
      <w:r w:rsidR="00301676">
        <w:rPr>
          <w:rFonts w:hint="cs"/>
          <w:rtl/>
        </w:rPr>
        <w:t xml:space="preserve"> </w:t>
      </w:r>
      <w:r w:rsidR="000A4159" w:rsidRPr="00822CE9">
        <w:rPr>
          <w:rFonts w:hint="cs"/>
          <w:rtl/>
        </w:rPr>
        <w:t>رضي المسلمون بحاكم</w:t>
      </w:r>
      <w:r w:rsidR="00301676">
        <w:rPr>
          <w:rFonts w:hint="cs"/>
          <w:rtl/>
        </w:rPr>
        <w:t>ٍ</w:t>
      </w:r>
      <w:r w:rsidR="000A4159" w:rsidRPr="00822CE9">
        <w:rPr>
          <w:rFonts w:hint="cs"/>
          <w:rtl/>
        </w:rPr>
        <w:t xml:space="preserve"> غير شرعي ـ وفق نظري</w:t>
      </w:r>
      <w:r w:rsidR="00301676">
        <w:rPr>
          <w:rFonts w:hint="cs"/>
          <w:rtl/>
        </w:rPr>
        <w:t>ّ</w:t>
      </w:r>
      <w:r w:rsidR="000A4159" w:rsidRPr="00822CE9">
        <w:rPr>
          <w:rFonts w:hint="cs"/>
          <w:rtl/>
        </w:rPr>
        <w:t>ة سياسية فقهي</w:t>
      </w:r>
      <w:r w:rsidR="00301676">
        <w:rPr>
          <w:rFonts w:hint="cs"/>
          <w:rtl/>
        </w:rPr>
        <w:t>ّ</w:t>
      </w:r>
      <w:r w:rsidR="000A4159" w:rsidRPr="00822CE9">
        <w:rPr>
          <w:rFonts w:hint="cs"/>
          <w:rtl/>
        </w:rPr>
        <w:t>ة ما ـ لكن</w:t>
      </w:r>
      <w:r w:rsidR="00301676">
        <w:rPr>
          <w:rFonts w:hint="cs"/>
          <w:rtl/>
        </w:rPr>
        <w:t>ّ</w:t>
      </w:r>
      <w:r w:rsidR="000A4159" w:rsidRPr="00822CE9">
        <w:rPr>
          <w:rFonts w:hint="cs"/>
          <w:rtl/>
        </w:rPr>
        <w:t>ه كان عادلاً لا يبغي على جماعة المؤمنين، كل</w:t>
      </w:r>
      <w:r w:rsidR="00301676">
        <w:rPr>
          <w:rFonts w:hint="cs"/>
          <w:rtl/>
        </w:rPr>
        <w:t>ّ ما في الأ</w:t>
      </w:r>
      <w:r w:rsidR="000A4159" w:rsidRPr="00822CE9">
        <w:rPr>
          <w:rFonts w:hint="cs"/>
          <w:rtl/>
        </w:rPr>
        <w:t>مر أن</w:t>
      </w:r>
      <w:r w:rsidR="00301676">
        <w:rPr>
          <w:rFonts w:hint="cs"/>
          <w:rtl/>
        </w:rPr>
        <w:t>ّ</w:t>
      </w:r>
      <w:r w:rsidR="000A4159" w:rsidRPr="00822CE9">
        <w:rPr>
          <w:rFonts w:hint="cs"/>
          <w:rtl/>
        </w:rPr>
        <w:t xml:space="preserve">ه غير فقيه مثلاً على </w:t>
      </w:r>
      <w:r w:rsidR="00301676">
        <w:rPr>
          <w:rFonts w:hint="cs"/>
          <w:rtl/>
        </w:rPr>
        <w:t xml:space="preserve">نظريّة </w:t>
      </w:r>
      <w:r w:rsidR="000A4159" w:rsidRPr="00822CE9">
        <w:rPr>
          <w:rFonts w:hint="cs"/>
          <w:rtl/>
        </w:rPr>
        <w:t>ولاية الفقيه، أو لا يطب</w:t>
      </w:r>
      <w:r w:rsidR="00301676">
        <w:rPr>
          <w:rFonts w:hint="cs"/>
          <w:rtl/>
        </w:rPr>
        <w:t>ّ</w:t>
      </w:r>
      <w:r w:rsidR="000A4159" w:rsidRPr="00822CE9">
        <w:rPr>
          <w:rFonts w:hint="cs"/>
          <w:rtl/>
        </w:rPr>
        <w:t>ق الشريعة بأكملها، أو هو فاسق في شخصه أو.. فهنا لا يصدق عليه الجزء الثاني من الآية الكريمة، فكيف جُعلت هذه الآية دليلاً على وجوب إسقاط الأنظمة غير الشرعي</w:t>
      </w:r>
      <w:r w:rsidR="00301676">
        <w:rPr>
          <w:rFonts w:hint="cs"/>
          <w:rtl/>
        </w:rPr>
        <w:t>ّ</w:t>
      </w:r>
      <w:r w:rsidR="000A4159" w:rsidRPr="00822CE9">
        <w:rPr>
          <w:rFonts w:hint="cs"/>
          <w:rtl/>
        </w:rPr>
        <w:t>ة مطلقاً</w:t>
      </w:r>
      <w:r w:rsidR="00301676">
        <w:rPr>
          <w:rFonts w:hint="cs"/>
          <w:rtl/>
        </w:rPr>
        <w:t>؟!</w:t>
      </w:r>
    </w:p>
    <w:p w14:paraId="738E65B6" w14:textId="77777777" w:rsidR="000A4159" w:rsidRPr="00301676" w:rsidRDefault="000A4159" w:rsidP="00A079D6">
      <w:pPr>
        <w:spacing w:line="214" w:lineRule="auto"/>
        <w:rPr>
          <w:b/>
          <w:bCs/>
          <w:rtl/>
        </w:rPr>
      </w:pPr>
      <w:r w:rsidRPr="00301676">
        <w:rPr>
          <w:rFonts w:hint="cs"/>
          <w:b/>
          <w:bCs/>
          <w:rtl/>
        </w:rPr>
        <w:t>فالإنصاف أن</w:t>
      </w:r>
      <w:r w:rsidR="00301676" w:rsidRPr="00301676">
        <w:rPr>
          <w:rFonts w:hint="cs"/>
          <w:b/>
          <w:bCs/>
          <w:rtl/>
        </w:rPr>
        <w:t>ّ</w:t>
      </w:r>
      <w:r w:rsidRPr="00301676">
        <w:rPr>
          <w:rFonts w:hint="cs"/>
          <w:b/>
          <w:bCs/>
          <w:rtl/>
        </w:rPr>
        <w:t xml:space="preserve"> هذا الجواب على إشكال السيد الحائري في غير محلّه.</w:t>
      </w:r>
    </w:p>
    <w:p w14:paraId="38E0F54C" w14:textId="2F3CFC92" w:rsidR="000A4159" w:rsidRPr="00822CE9" w:rsidRDefault="00907E94" w:rsidP="00F51062">
      <w:pPr>
        <w:pStyle w:val="normal84"/>
        <w:rPr>
          <w:rtl/>
        </w:rPr>
      </w:pPr>
      <w:r>
        <w:rPr>
          <w:rFonts w:hint="cs"/>
          <w:b/>
          <w:bCs/>
          <w:rtl/>
        </w:rPr>
        <w:t>2</w:t>
      </w:r>
      <w:r w:rsidR="000A4159" w:rsidRPr="00301676">
        <w:rPr>
          <w:rFonts w:hint="cs"/>
          <w:b/>
          <w:bCs/>
          <w:rtl/>
        </w:rPr>
        <w:t xml:space="preserve"> ـ</w:t>
      </w:r>
      <w:r w:rsidR="000A4159" w:rsidRPr="00822CE9">
        <w:rPr>
          <w:rFonts w:hint="cs"/>
          <w:rtl/>
        </w:rPr>
        <w:t xml:space="preserve"> أجاب عنه ـ أيضاً ـ السيد الحائري نفسه</w:t>
      </w:r>
      <w:r w:rsidR="00301676">
        <w:rPr>
          <w:rFonts w:hint="cs"/>
          <w:rtl/>
        </w:rPr>
        <w:t>،</w:t>
      </w:r>
      <w:r w:rsidR="000A4159" w:rsidRPr="00822CE9">
        <w:rPr>
          <w:rFonts w:hint="cs"/>
          <w:rtl/>
        </w:rPr>
        <w:t xml:space="preserve"> بأن</w:t>
      </w:r>
      <w:r w:rsidR="00301676">
        <w:rPr>
          <w:rFonts w:hint="cs"/>
          <w:rtl/>
        </w:rPr>
        <w:t>ّ</w:t>
      </w:r>
      <w:r w:rsidR="000A4159" w:rsidRPr="00822CE9">
        <w:rPr>
          <w:rFonts w:hint="cs"/>
          <w:rtl/>
        </w:rPr>
        <w:t xml:space="preserve"> سير</w:t>
      </w:r>
      <w:r w:rsidR="00301676">
        <w:rPr>
          <w:rFonts w:hint="cs"/>
          <w:rtl/>
        </w:rPr>
        <w:t>ة</w:t>
      </w:r>
      <w:r w:rsidR="000A4159" w:rsidRPr="00822CE9">
        <w:rPr>
          <w:rFonts w:hint="cs"/>
          <w:rtl/>
        </w:rPr>
        <w:t xml:space="preserve"> الإمام علي</w:t>
      </w:r>
      <w:r w:rsidR="009A1626" w:rsidRPr="00822CE9">
        <w:rPr>
          <w:rFonts w:hint="cs"/>
          <w:rtl/>
        </w:rPr>
        <w:t>×</w:t>
      </w:r>
      <w:r w:rsidR="000A4159" w:rsidRPr="00822CE9">
        <w:rPr>
          <w:rFonts w:hint="cs"/>
          <w:rtl/>
        </w:rPr>
        <w:t xml:space="preserve"> في حرب البغاة كانت أن</w:t>
      </w:r>
      <w:r w:rsidR="00301676">
        <w:rPr>
          <w:rFonts w:hint="cs"/>
          <w:rtl/>
        </w:rPr>
        <w:t>ّ</w:t>
      </w:r>
      <w:r w:rsidR="000A4159" w:rsidRPr="00822CE9">
        <w:rPr>
          <w:rFonts w:hint="cs"/>
          <w:rtl/>
        </w:rPr>
        <w:t>ه هو من كان يبدؤهم بالقتال، لا أن</w:t>
      </w:r>
      <w:r w:rsidR="00301676">
        <w:rPr>
          <w:rFonts w:hint="cs"/>
          <w:rtl/>
        </w:rPr>
        <w:t>ّ</w:t>
      </w:r>
      <w:r w:rsidR="000A4159" w:rsidRPr="00822CE9">
        <w:rPr>
          <w:rFonts w:hint="cs"/>
          <w:rtl/>
        </w:rPr>
        <w:t>هم كانوا يشعلون نار الحرب والفتنة بين المسلمين، فهذا دليل</w:t>
      </w:r>
      <w:r w:rsidR="00301676">
        <w:rPr>
          <w:rFonts w:hint="cs"/>
          <w:rtl/>
        </w:rPr>
        <w:t>ٌ</w:t>
      </w:r>
      <w:r w:rsidR="000A4159" w:rsidRPr="00822CE9">
        <w:rPr>
          <w:rFonts w:hint="cs"/>
          <w:rtl/>
        </w:rPr>
        <w:t xml:space="preserve"> على أنّ حكم البغي الوارد في الآية لا يختصّ بمن يبدأ بالقتال، بل حتى لو لم يكن الباغي ـ كما هي الحال مع السلطان غير الشرعي ـ شارعاً بالقتال وجب الخروج عليه تحت عنوان البغي</w:t>
      </w:r>
      <w:r w:rsidR="000A4159" w:rsidRPr="000A4159">
        <w:rPr>
          <w:rFonts w:cs="Taher"/>
          <w:vertAlign w:val="superscript"/>
          <w:rtl/>
        </w:rPr>
        <w:t>(</w:t>
      </w:r>
      <w:r w:rsidR="000A4159" w:rsidRPr="000A4159">
        <w:rPr>
          <w:rStyle w:val="FootnoteReference"/>
          <w:rFonts w:cs="Taher"/>
          <w:rtl/>
        </w:rPr>
        <w:footnoteReference w:id="22"/>
      </w:r>
      <w:r w:rsidR="000A4159" w:rsidRPr="000A4159">
        <w:rPr>
          <w:rFonts w:cs="Taher"/>
          <w:vertAlign w:val="superscript"/>
          <w:rtl/>
        </w:rPr>
        <w:t>)</w:t>
      </w:r>
      <w:r w:rsidR="000A4159" w:rsidRPr="00822CE9">
        <w:rPr>
          <w:rtl/>
        </w:rPr>
        <w:t>.</w:t>
      </w:r>
    </w:p>
    <w:p w14:paraId="292F39F4" w14:textId="77777777" w:rsidR="000A4159" w:rsidRPr="00822CE9" w:rsidRDefault="000A4159" w:rsidP="00CF4DBC">
      <w:pPr>
        <w:spacing w:line="214" w:lineRule="auto"/>
        <w:rPr>
          <w:rtl/>
        </w:rPr>
      </w:pPr>
      <w:r w:rsidRPr="00301676">
        <w:rPr>
          <w:rFonts w:hint="cs"/>
          <w:b/>
          <w:bCs/>
          <w:rtl/>
        </w:rPr>
        <w:lastRenderedPageBreak/>
        <w:t>وهذا الوجه أجاب عنه الحائري نفسه</w:t>
      </w:r>
      <w:r w:rsidRPr="00301676">
        <w:rPr>
          <w:rFonts w:cs="Taher"/>
          <w:b/>
          <w:bCs/>
          <w:vertAlign w:val="superscript"/>
          <w:rtl/>
        </w:rPr>
        <w:t>(</w:t>
      </w:r>
      <w:r w:rsidRPr="00301676">
        <w:rPr>
          <w:rStyle w:val="FootnoteReference"/>
          <w:rFonts w:cs="Taher"/>
          <w:b/>
          <w:bCs/>
          <w:rtl/>
        </w:rPr>
        <w:footnoteReference w:id="23"/>
      </w:r>
      <w:r w:rsidRPr="00301676">
        <w:rPr>
          <w:rFonts w:cs="Taher"/>
          <w:b/>
          <w:bCs/>
          <w:vertAlign w:val="superscript"/>
          <w:rtl/>
        </w:rPr>
        <w:t>)</w:t>
      </w:r>
      <w:r w:rsidRPr="00301676">
        <w:rPr>
          <w:b/>
          <w:bCs/>
          <w:rtl/>
        </w:rPr>
        <w:t xml:space="preserve"> </w:t>
      </w:r>
      <w:r w:rsidRPr="00822CE9">
        <w:rPr>
          <w:rFonts w:hint="cs"/>
          <w:rtl/>
        </w:rPr>
        <w:t>بأن</w:t>
      </w:r>
      <w:r w:rsidR="00301676">
        <w:rPr>
          <w:rFonts w:hint="cs"/>
          <w:rtl/>
        </w:rPr>
        <w:t>ّ</w:t>
      </w:r>
      <w:r w:rsidRPr="00822CE9">
        <w:rPr>
          <w:rFonts w:hint="cs"/>
          <w:rtl/>
        </w:rPr>
        <w:t>ه دليل</w:t>
      </w:r>
      <w:r w:rsidR="00301676">
        <w:rPr>
          <w:rFonts w:hint="cs"/>
          <w:rtl/>
        </w:rPr>
        <w:t>ٌ</w:t>
      </w:r>
      <w:r w:rsidRPr="00822CE9">
        <w:rPr>
          <w:rFonts w:hint="cs"/>
          <w:rtl/>
        </w:rPr>
        <w:t xml:space="preserve"> لبّي يصعب التعدّي عنه، فمورده كون الذي بغي عليه هو الإمام المبسوط اليد</w:t>
      </w:r>
      <w:r w:rsidR="00301676">
        <w:rPr>
          <w:rFonts w:hint="cs"/>
          <w:rtl/>
        </w:rPr>
        <w:t>،</w:t>
      </w:r>
      <w:r w:rsidRPr="00822CE9">
        <w:rPr>
          <w:rFonts w:hint="cs"/>
          <w:rtl/>
        </w:rPr>
        <w:t xml:space="preserve"> وما نحن فيه عكس ذلك</w:t>
      </w:r>
      <w:r w:rsidR="00CF4DBC">
        <w:rPr>
          <w:rFonts w:hint="cs"/>
          <w:rtl/>
        </w:rPr>
        <w:t>.</w:t>
      </w:r>
      <w:r w:rsidRPr="00822CE9">
        <w:rPr>
          <w:rFonts w:hint="cs"/>
          <w:rtl/>
        </w:rPr>
        <w:t xml:space="preserve"> </w:t>
      </w:r>
      <w:r w:rsidRPr="00CF4DBC">
        <w:rPr>
          <w:rFonts w:hint="cs"/>
          <w:b/>
          <w:bCs/>
          <w:rtl/>
        </w:rPr>
        <w:t xml:space="preserve">بل قد يمكننا أن نضيف هنا </w:t>
      </w:r>
      <w:r w:rsidRPr="00822CE9">
        <w:rPr>
          <w:rFonts w:hint="cs"/>
          <w:rtl/>
        </w:rPr>
        <w:t>بأن</w:t>
      </w:r>
      <w:r w:rsidR="00301676">
        <w:rPr>
          <w:rFonts w:hint="cs"/>
          <w:rtl/>
        </w:rPr>
        <w:t>ّ</w:t>
      </w:r>
      <w:r w:rsidRPr="00822CE9">
        <w:rPr>
          <w:rFonts w:hint="cs"/>
          <w:rtl/>
        </w:rPr>
        <w:t>ه من غير المعلوم أن لا يصدق على الخوارج أن</w:t>
      </w:r>
      <w:r w:rsidR="00301676">
        <w:rPr>
          <w:rFonts w:hint="cs"/>
          <w:rtl/>
        </w:rPr>
        <w:t>ّ</w:t>
      </w:r>
      <w:r w:rsidRPr="00822CE9">
        <w:rPr>
          <w:rFonts w:hint="cs"/>
          <w:rtl/>
        </w:rPr>
        <w:t>هم أرادوا القتال، وبغوا على الناس، واعتدوا عليهم.</w:t>
      </w:r>
    </w:p>
    <w:p w14:paraId="13CF1B36" w14:textId="77777777" w:rsidR="000A4159" w:rsidRPr="00822CE9" w:rsidRDefault="000A4159" w:rsidP="00F51062">
      <w:pPr>
        <w:pStyle w:val="normal84"/>
        <w:rPr>
          <w:rtl/>
        </w:rPr>
      </w:pPr>
      <w:r w:rsidRPr="00301676">
        <w:rPr>
          <w:rFonts w:hint="cs"/>
          <w:b/>
          <w:bCs/>
          <w:rtl/>
        </w:rPr>
        <w:t xml:space="preserve">ثانياً: </w:t>
      </w:r>
      <w:r w:rsidRPr="00822CE9">
        <w:rPr>
          <w:rFonts w:hint="cs"/>
          <w:rtl/>
        </w:rPr>
        <w:t>إن</w:t>
      </w:r>
      <w:r w:rsidR="00301676">
        <w:rPr>
          <w:rFonts w:hint="cs"/>
          <w:rtl/>
        </w:rPr>
        <w:t>ّ</w:t>
      </w:r>
      <w:r w:rsidRPr="00822CE9">
        <w:rPr>
          <w:rFonts w:hint="cs"/>
          <w:rtl/>
        </w:rPr>
        <w:t xml:space="preserve"> ظاهر الآية أن</w:t>
      </w:r>
      <w:r w:rsidR="00301676">
        <w:rPr>
          <w:rFonts w:hint="cs"/>
          <w:rtl/>
        </w:rPr>
        <w:t>ّ</w:t>
      </w:r>
      <w:r w:rsidRPr="00822CE9">
        <w:rPr>
          <w:rFonts w:hint="cs"/>
          <w:rtl/>
        </w:rPr>
        <w:t xml:space="preserve"> الفريقين جماعة، وما نحن فيه بغي</w:t>
      </w:r>
      <w:r w:rsidR="00301676">
        <w:rPr>
          <w:rFonts w:hint="cs"/>
          <w:rtl/>
        </w:rPr>
        <w:t>ٌ</w:t>
      </w:r>
      <w:r w:rsidRPr="00822CE9">
        <w:rPr>
          <w:rFonts w:hint="cs"/>
          <w:rtl/>
        </w:rPr>
        <w:t xml:space="preserve"> على الإمام الشرعي، وهو فرد، فمغتصب السلطة فرد</w:t>
      </w:r>
      <w:r w:rsidR="00301676">
        <w:rPr>
          <w:rFonts w:hint="cs"/>
          <w:rtl/>
        </w:rPr>
        <w:t>ٌ</w:t>
      </w:r>
      <w:r w:rsidRPr="00822CE9">
        <w:rPr>
          <w:rFonts w:hint="cs"/>
          <w:rtl/>
        </w:rPr>
        <w:t xml:space="preserve"> اعتدى على الحاكم الشرعي الذي هو فرد</w:t>
      </w:r>
      <w:r w:rsidR="00301676">
        <w:rPr>
          <w:rFonts w:hint="cs"/>
          <w:rtl/>
        </w:rPr>
        <w:t>ٌ</w:t>
      </w:r>
      <w:r w:rsidRPr="00822CE9">
        <w:rPr>
          <w:rFonts w:hint="cs"/>
          <w:rtl/>
        </w:rPr>
        <w:t xml:space="preserve"> أيضاً، مع أن</w:t>
      </w:r>
      <w:r w:rsidR="00301676">
        <w:rPr>
          <w:rFonts w:hint="cs"/>
          <w:rtl/>
        </w:rPr>
        <w:t>ّ</w:t>
      </w:r>
      <w:r w:rsidRPr="00822CE9">
        <w:rPr>
          <w:rFonts w:hint="cs"/>
          <w:rtl/>
        </w:rPr>
        <w:t xml:space="preserve"> ظاهر الآية وجود جماعتين.</w:t>
      </w:r>
    </w:p>
    <w:p w14:paraId="0B53AABB" w14:textId="77777777" w:rsidR="000A4159" w:rsidRPr="00822CE9" w:rsidRDefault="000A4159" w:rsidP="001F286B">
      <w:pPr>
        <w:rPr>
          <w:rtl/>
        </w:rPr>
      </w:pPr>
      <w:r w:rsidRPr="00301676">
        <w:rPr>
          <w:rFonts w:hint="cs"/>
          <w:b/>
          <w:bCs/>
          <w:rtl/>
        </w:rPr>
        <w:t>وهذا الإشكال غير دقيق؛</w:t>
      </w:r>
      <w:r w:rsidRPr="00822CE9">
        <w:rPr>
          <w:rFonts w:hint="cs"/>
          <w:rtl/>
        </w:rPr>
        <w:t xml:space="preserve"> لأن</w:t>
      </w:r>
      <w:r w:rsidR="00301676">
        <w:rPr>
          <w:rFonts w:hint="cs"/>
          <w:rtl/>
        </w:rPr>
        <w:t>ّ</w:t>
      </w:r>
      <w:r w:rsidRPr="00822CE9">
        <w:rPr>
          <w:rFonts w:hint="cs"/>
          <w:rtl/>
        </w:rPr>
        <w:t>ه يصوّر الصراع شخصي</w:t>
      </w:r>
      <w:r w:rsidR="00301676">
        <w:rPr>
          <w:rFonts w:hint="cs"/>
          <w:rtl/>
        </w:rPr>
        <w:t>ّاً، مع أنّ</w:t>
      </w:r>
      <w:r w:rsidRPr="00822CE9">
        <w:rPr>
          <w:rFonts w:hint="cs"/>
          <w:rtl/>
        </w:rPr>
        <w:t xml:space="preserve"> طبيعة الأشيا</w:t>
      </w:r>
      <w:r w:rsidR="00301676">
        <w:rPr>
          <w:rFonts w:hint="cs"/>
          <w:rtl/>
        </w:rPr>
        <w:t>ء</w:t>
      </w:r>
      <w:r w:rsidRPr="00822CE9">
        <w:rPr>
          <w:rFonts w:hint="cs"/>
          <w:rtl/>
        </w:rPr>
        <w:t xml:space="preserve"> أن يكون مع الإمام الشرعي جماعته، ومع الحاكم المتسلّط جماعته أيضاً، فليست الأمور فرديةً، وإن كان الأمر قد يحصل كذلك في حالات نادرة</w:t>
      </w:r>
      <w:r w:rsidR="00301676">
        <w:rPr>
          <w:rFonts w:hint="cs"/>
          <w:rtl/>
        </w:rPr>
        <w:t xml:space="preserve"> جدّاً</w:t>
      </w:r>
      <w:r w:rsidRPr="00822CE9">
        <w:rPr>
          <w:rFonts w:hint="cs"/>
          <w:rtl/>
        </w:rPr>
        <w:t>.</w:t>
      </w:r>
    </w:p>
    <w:p w14:paraId="23C97FAF" w14:textId="77777777" w:rsidR="000A4159" w:rsidRPr="00822CE9" w:rsidRDefault="000A4159" w:rsidP="001F286B">
      <w:pPr>
        <w:pStyle w:val="normal84"/>
        <w:rPr>
          <w:rtl/>
        </w:rPr>
      </w:pPr>
      <w:r w:rsidRPr="00301676">
        <w:rPr>
          <w:rFonts w:hint="cs"/>
          <w:b/>
          <w:bCs/>
          <w:rtl/>
        </w:rPr>
        <w:t>ثالثاً:</w:t>
      </w:r>
      <w:r w:rsidRPr="00822CE9">
        <w:rPr>
          <w:rFonts w:hint="cs"/>
          <w:rtl/>
        </w:rPr>
        <w:t xml:space="preserve"> ما ذكره السيد الحائري ـ وتبعه الآصفي ـ من أن</w:t>
      </w:r>
      <w:r w:rsidR="00301676">
        <w:rPr>
          <w:rFonts w:hint="cs"/>
          <w:rtl/>
        </w:rPr>
        <w:t>ّ</w:t>
      </w:r>
      <w:r w:rsidRPr="00822CE9">
        <w:rPr>
          <w:rFonts w:hint="cs"/>
          <w:rtl/>
        </w:rPr>
        <w:t xml:space="preserve"> سفك الدماء في الخروج على السلطان الجائر أ</w:t>
      </w:r>
      <w:r w:rsidR="00301676">
        <w:rPr>
          <w:rFonts w:hint="cs"/>
          <w:rtl/>
        </w:rPr>
        <w:t>ك</w:t>
      </w:r>
      <w:r w:rsidRPr="00822CE9">
        <w:rPr>
          <w:rFonts w:hint="cs"/>
          <w:rtl/>
        </w:rPr>
        <w:t>بر بكثير عادةً من سفكها في قمع الخارجين على النظام الشرعي، مما يعني أن</w:t>
      </w:r>
      <w:r w:rsidR="00301676">
        <w:rPr>
          <w:rFonts w:hint="cs"/>
          <w:rtl/>
        </w:rPr>
        <w:t>ّ</w:t>
      </w:r>
      <w:r w:rsidRPr="00822CE9">
        <w:rPr>
          <w:rFonts w:hint="cs"/>
          <w:rtl/>
        </w:rPr>
        <w:t xml:space="preserve"> الترخيص في سفك الدماء والاقتتال الداخلي في حالة قمع الخارجين</w:t>
      </w:r>
      <w:r w:rsidR="00301676">
        <w:rPr>
          <w:rFonts w:hint="cs"/>
          <w:rtl/>
        </w:rPr>
        <w:t>،</w:t>
      </w:r>
      <w:r w:rsidRPr="00822CE9">
        <w:rPr>
          <w:rFonts w:hint="cs"/>
          <w:rtl/>
        </w:rPr>
        <w:t xml:space="preserve"> لا يلازم </w:t>
      </w:r>
      <w:r w:rsidR="00301676">
        <w:rPr>
          <w:rFonts w:hint="cs"/>
          <w:rtl/>
        </w:rPr>
        <w:t xml:space="preserve">الترخيص </w:t>
      </w:r>
      <w:r w:rsidR="00CF4DBC">
        <w:rPr>
          <w:rFonts w:hint="cs"/>
          <w:rtl/>
        </w:rPr>
        <w:t>في الحالة الثانية عرفاً.</w:t>
      </w:r>
      <w:r w:rsidRPr="00822CE9">
        <w:rPr>
          <w:rFonts w:hint="cs"/>
          <w:rtl/>
        </w:rPr>
        <w:t xml:space="preserve"> لكن</w:t>
      </w:r>
      <w:r w:rsidR="00301676">
        <w:rPr>
          <w:rFonts w:hint="cs"/>
          <w:rtl/>
        </w:rPr>
        <w:t>ّ</w:t>
      </w:r>
      <w:r w:rsidRPr="00822CE9">
        <w:rPr>
          <w:rFonts w:hint="cs"/>
          <w:rtl/>
        </w:rPr>
        <w:t xml:space="preserve"> الحائري والآصفي عادا وعلّقا بأن</w:t>
      </w:r>
      <w:r w:rsidR="00301676">
        <w:rPr>
          <w:rFonts w:hint="cs"/>
          <w:rtl/>
        </w:rPr>
        <w:t>ّ</w:t>
      </w:r>
      <w:r w:rsidRPr="00822CE9">
        <w:rPr>
          <w:rFonts w:hint="cs"/>
          <w:rtl/>
        </w:rPr>
        <w:t xml:space="preserve"> هذه المسألة تختلف باختلاف الظروف، فقد تكون كذلك وقد تكون بالعكس و..</w:t>
      </w:r>
      <w:r w:rsidRPr="000A4159">
        <w:rPr>
          <w:rFonts w:cs="Taher"/>
          <w:vertAlign w:val="superscript"/>
          <w:rtl/>
        </w:rPr>
        <w:t>(</w:t>
      </w:r>
      <w:r w:rsidRPr="000A4159">
        <w:rPr>
          <w:rStyle w:val="FootnoteReference"/>
          <w:rFonts w:cs="Taher"/>
          <w:rtl/>
        </w:rPr>
        <w:footnoteReference w:id="24"/>
      </w:r>
      <w:r w:rsidRPr="000A4159">
        <w:rPr>
          <w:rFonts w:cs="Taher"/>
          <w:vertAlign w:val="superscript"/>
          <w:rtl/>
        </w:rPr>
        <w:t>)</w:t>
      </w:r>
      <w:r w:rsidR="00301676">
        <w:rPr>
          <w:rFonts w:hint="cs"/>
          <w:rtl/>
        </w:rPr>
        <w:t>.</w:t>
      </w:r>
    </w:p>
    <w:p w14:paraId="04341573" w14:textId="77777777" w:rsidR="000A4159" w:rsidRPr="00822CE9" w:rsidRDefault="000A4159" w:rsidP="001F286B">
      <w:pPr>
        <w:rPr>
          <w:rtl/>
        </w:rPr>
      </w:pPr>
      <w:r w:rsidRPr="00301676">
        <w:rPr>
          <w:rFonts w:hint="cs"/>
          <w:b/>
          <w:bCs/>
          <w:rtl/>
        </w:rPr>
        <w:t>و</w:t>
      </w:r>
      <w:r w:rsidR="00301676">
        <w:rPr>
          <w:rFonts w:hint="cs"/>
          <w:b/>
          <w:bCs/>
          <w:rtl/>
        </w:rPr>
        <w:t>ال</w:t>
      </w:r>
      <w:r w:rsidRPr="00301676">
        <w:rPr>
          <w:rFonts w:hint="cs"/>
          <w:b/>
          <w:bCs/>
          <w:rtl/>
        </w:rPr>
        <w:t xml:space="preserve">تعليق الأخير في محلّه، لكنّ أصل الإشكال غير وارد؛ </w:t>
      </w:r>
      <w:r w:rsidRPr="00822CE9">
        <w:rPr>
          <w:rFonts w:hint="cs"/>
          <w:rtl/>
        </w:rPr>
        <w:t>لأن</w:t>
      </w:r>
      <w:r w:rsidR="00301676">
        <w:rPr>
          <w:rFonts w:hint="cs"/>
          <w:rtl/>
        </w:rPr>
        <w:t>ّ</w:t>
      </w:r>
      <w:r w:rsidRPr="00822CE9">
        <w:rPr>
          <w:rFonts w:hint="cs"/>
          <w:rtl/>
        </w:rPr>
        <w:t xml:space="preserve"> مقاتلة البغاة لا تعني مقاتلة خصوص الباغين على الإمام الشرعي الخارجين عن سلطانه، كما تصوّر ذلك مشهور الفقهاء، الذين مش</w:t>
      </w:r>
      <w:r w:rsidR="00301676">
        <w:rPr>
          <w:rFonts w:hint="cs"/>
          <w:rtl/>
        </w:rPr>
        <w:t>ى</w:t>
      </w:r>
      <w:r w:rsidRPr="00822CE9">
        <w:rPr>
          <w:rFonts w:hint="cs"/>
          <w:rtl/>
        </w:rPr>
        <w:t xml:space="preserve"> على </w:t>
      </w:r>
      <w:r w:rsidR="00301676">
        <w:rPr>
          <w:rFonts w:hint="cs"/>
          <w:rtl/>
        </w:rPr>
        <w:t xml:space="preserve">فهمهم </w:t>
      </w:r>
      <w:r w:rsidRPr="00822CE9">
        <w:rPr>
          <w:rFonts w:hint="cs"/>
          <w:rtl/>
        </w:rPr>
        <w:t>الحائري</w:t>
      </w:r>
      <w:r w:rsidR="00301676">
        <w:rPr>
          <w:rFonts w:hint="cs"/>
          <w:rtl/>
        </w:rPr>
        <w:t>ُّ</w:t>
      </w:r>
      <w:r w:rsidRPr="00822CE9">
        <w:rPr>
          <w:rFonts w:hint="cs"/>
          <w:rtl/>
        </w:rPr>
        <w:t xml:space="preserve"> هنا، فقد بيّنا </w:t>
      </w:r>
      <w:r w:rsidR="00301676">
        <w:rPr>
          <w:rFonts w:hint="cs"/>
          <w:rtl/>
        </w:rPr>
        <w:t xml:space="preserve">فيما تقدّم </w:t>
      </w:r>
      <w:r w:rsidRPr="00822CE9">
        <w:rPr>
          <w:rFonts w:hint="cs"/>
          <w:rtl/>
        </w:rPr>
        <w:t>أن</w:t>
      </w:r>
      <w:r w:rsidR="00301676">
        <w:rPr>
          <w:rFonts w:hint="cs"/>
          <w:rtl/>
        </w:rPr>
        <w:t>ّ</w:t>
      </w:r>
      <w:r w:rsidRPr="00822CE9">
        <w:rPr>
          <w:rFonts w:hint="cs"/>
          <w:rtl/>
        </w:rPr>
        <w:t xml:space="preserve"> البغي مفهوم</w:t>
      </w:r>
      <w:r w:rsidR="00301676">
        <w:rPr>
          <w:rFonts w:hint="cs"/>
          <w:rtl/>
        </w:rPr>
        <w:t>ٌ</w:t>
      </w:r>
      <w:r w:rsidRPr="00822CE9">
        <w:rPr>
          <w:rFonts w:hint="cs"/>
          <w:rtl/>
        </w:rPr>
        <w:t xml:space="preserve"> أوسع من ذلك بكثير، وأن</w:t>
      </w:r>
      <w:r w:rsidR="00301676">
        <w:rPr>
          <w:rFonts w:hint="cs"/>
          <w:rtl/>
        </w:rPr>
        <w:t>ّ</w:t>
      </w:r>
      <w:r w:rsidRPr="00822CE9">
        <w:rPr>
          <w:rFonts w:hint="cs"/>
          <w:rtl/>
        </w:rPr>
        <w:t xml:space="preserve"> بغي الخارجين أحد أنواع البغي الذي دلّت عليه الآية، وعليه، فنحن لا نريد التعدّي من قتال البغاة بالمصطلح الفقهي إلى قتال السلطان الجائر، حتى يبرز هذا الفرق وي</w:t>
      </w:r>
      <w:r w:rsidR="00301676">
        <w:rPr>
          <w:rFonts w:hint="cs"/>
          <w:rtl/>
        </w:rPr>
        <w:t>ُ</w:t>
      </w:r>
      <w:r w:rsidRPr="00822CE9">
        <w:rPr>
          <w:rFonts w:hint="cs"/>
          <w:rtl/>
        </w:rPr>
        <w:t>توق</w:t>
      </w:r>
      <w:r w:rsidR="00301676">
        <w:rPr>
          <w:rFonts w:hint="cs"/>
          <w:rtl/>
        </w:rPr>
        <w:t>ّ</w:t>
      </w:r>
      <w:r w:rsidRPr="00822CE9">
        <w:rPr>
          <w:rFonts w:hint="cs"/>
          <w:rtl/>
        </w:rPr>
        <w:t>ف في أمر التعدي، بل الهدف الاستناد إلى الآية مباشرة للأخذ بإطلاقها دفعةً واحدة في تمام الحالات، لا في حالة خاص</w:t>
      </w:r>
      <w:r w:rsidR="00301676">
        <w:rPr>
          <w:rFonts w:hint="cs"/>
          <w:rtl/>
        </w:rPr>
        <w:t>ّ</w:t>
      </w:r>
      <w:r w:rsidRPr="00822CE9">
        <w:rPr>
          <w:rFonts w:hint="cs"/>
          <w:rtl/>
        </w:rPr>
        <w:t>ة كي ي</w:t>
      </w:r>
      <w:r w:rsidR="00301676">
        <w:rPr>
          <w:rFonts w:hint="cs"/>
          <w:rtl/>
        </w:rPr>
        <w:t>ُ</w:t>
      </w:r>
      <w:r w:rsidRPr="00822CE9">
        <w:rPr>
          <w:rFonts w:hint="cs"/>
          <w:rtl/>
        </w:rPr>
        <w:t>تعد</w:t>
      </w:r>
      <w:r w:rsidR="00301676">
        <w:rPr>
          <w:rFonts w:hint="cs"/>
          <w:rtl/>
        </w:rPr>
        <w:t>ّ</w:t>
      </w:r>
      <w:r w:rsidRPr="00822CE9">
        <w:rPr>
          <w:rFonts w:hint="cs"/>
          <w:rtl/>
        </w:rPr>
        <w:t>ى منها إلى غيرها، وعليه فلا فرق بين كثرة الدماء المس</w:t>
      </w:r>
      <w:r w:rsidR="00301676">
        <w:rPr>
          <w:rFonts w:hint="cs"/>
          <w:rtl/>
        </w:rPr>
        <w:t>ف</w:t>
      </w:r>
      <w:r w:rsidRPr="00822CE9">
        <w:rPr>
          <w:rFonts w:hint="cs"/>
          <w:rtl/>
        </w:rPr>
        <w:t>وكة وقل</w:t>
      </w:r>
      <w:r w:rsidR="00301676">
        <w:rPr>
          <w:rFonts w:hint="cs"/>
          <w:rtl/>
        </w:rPr>
        <w:t>ّ</w:t>
      </w:r>
      <w:r w:rsidRPr="00822CE9">
        <w:rPr>
          <w:rFonts w:hint="cs"/>
          <w:rtl/>
        </w:rPr>
        <w:t xml:space="preserve">تها </w:t>
      </w:r>
      <w:r w:rsidRPr="00822CE9">
        <w:rPr>
          <w:rFonts w:hint="cs"/>
          <w:rtl/>
        </w:rPr>
        <w:lastRenderedPageBreak/>
        <w:t>بحسب دلالة الآية بالعنوان الأو</w:t>
      </w:r>
      <w:r w:rsidR="00301676">
        <w:rPr>
          <w:rFonts w:hint="cs"/>
          <w:rtl/>
        </w:rPr>
        <w:t>ّ</w:t>
      </w:r>
      <w:r w:rsidRPr="00822CE9">
        <w:rPr>
          <w:rFonts w:hint="cs"/>
          <w:rtl/>
        </w:rPr>
        <w:t>لي.</w:t>
      </w:r>
    </w:p>
    <w:p w14:paraId="5D278B15" w14:textId="77777777" w:rsidR="000A4159" w:rsidRDefault="000A4159" w:rsidP="001F286B">
      <w:pPr>
        <w:rPr>
          <w:rtl/>
        </w:rPr>
      </w:pPr>
      <w:r w:rsidRPr="00301676">
        <w:rPr>
          <w:rFonts w:hint="cs"/>
          <w:b/>
          <w:bCs/>
          <w:rtl/>
        </w:rPr>
        <w:t>وحصيلة الكلام في هذا الدليل الرابع</w:t>
      </w:r>
      <w:r w:rsidRPr="00822CE9">
        <w:rPr>
          <w:rFonts w:hint="cs"/>
          <w:rtl/>
        </w:rPr>
        <w:t xml:space="preserve"> أنّه لا يدلّ على قاعدة</w:t>
      </w:r>
      <w:r w:rsidR="002F5B3A">
        <w:rPr>
          <w:rFonts w:hint="cs"/>
          <w:rtl/>
        </w:rPr>
        <w:t>ِ</w:t>
      </w:r>
      <w:r w:rsidRPr="00822CE9">
        <w:rPr>
          <w:rFonts w:hint="cs"/>
          <w:rtl/>
        </w:rPr>
        <w:t xml:space="preserve"> شرعي</w:t>
      </w:r>
      <w:r w:rsidR="00301676">
        <w:rPr>
          <w:rFonts w:hint="cs"/>
          <w:rtl/>
        </w:rPr>
        <w:t>ّ</w:t>
      </w:r>
      <w:r w:rsidRPr="00822CE9">
        <w:rPr>
          <w:rFonts w:hint="cs"/>
          <w:rtl/>
        </w:rPr>
        <w:t>ة أو وجوب الثورة المسلّحة ضدّ النظام الجائر مطلقاً، بل إذا صدق أنّ هذا النظام اعتدى على المؤمنين وقاتلهم ودارت حرب بين</w:t>
      </w:r>
      <w:r w:rsidR="00301676">
        <w:rPr>
          <w:rFonts w:hint="cs"/>
          <w:rtl/>
        </w:rPr>
        <w:t xml:space="preserve"> الطرفين بحيث لا يمكن وقفها إلا</w:t>
      </w:r>
      <w:r w:rsidRPr="00822CE9">
        <w:rPr>
          <w:rFonts w:hint="cs"/>
          <w:rtl/>
        </w:rPr>
        <w:t xml:space="preserve"> بمقاتلته كان ذلك، لكن بين هذه النتيجة والبحث الذي نبحثه هنا نسبة العموم والخصوص من وجه.</w:t>
      </w:r>
    </w:p>
    <w:p w14:paraId="510F8835" w14:textId="77777777" w:rsidR="00D10031" w:rsidRPr="00D10031" w:rsidRDefault="00D10031" w:rsidP="00BF0865">
      <w:pPr>
        <w:pStyle w:val="Heading2"/>
        <w:rPr>
          <w:rtl/>
        </w:rPr>
      </w:pPr>
      <w:bookmarkStart w:id="22" w:name="_Toc143804101"/>
      <w:bookmarkStart w:id="23" w:name="_Toc238123226"/>
      <w:r w:rsidRPr="00D10031">
        <w:rPr>
          <w:rFonts w:hint="cs"/>
          <w:rtl/>
        </w:rPr>
        <w:t>5 ـ مرجعيّ</w:t>
      </w:r>
      <w:r>
        <w:rPr>
          <w:rFonts w:hint="cs"/>
          <w:rtl/>
        </w:rPr>
        <w:t>ة</w:t>
      </w:r>
      <w:r w:rsidRPr="00D10031">
        <w:rPr>
          <w:rFonts w:hint="cs"/>
          <w:rtl/>
        </w:rPr>
        <w:t xml:space="preserve"> لزوم الاهتمام بأمور المسلمين وإعانة المظلومين، تأمّلات ومراجعات</w:t>
      </w:r>
      <w:bookmarkEnd w:id="22"/>
      <w:bookmarkEnd w:id="23"/>
    </w:p>
    <w:p w14:paraId="5BE94274" w14:textId="77777777" w:rsidR="000A4159" w:rsidRPr="00822CE9" w:rsidRDefault="00E92664" w:rsidP="001F286B">
      <w:pPr>
        <w:pStyle w:val="normal84"/>
        <w:rPr>
          <w:rtl/>
        </w:rPr>
      </w:pPr>
      <w:r>
        <w:rPr>
          <w:rFonts w:hint="cs"/>
          <w:b/>
          <w:bCs/>
          <w:rtl/>
        </w:rPr>
        <w:t>خا</w:t>
      </w:r>
      <w:r w:rsidR="000A4159" w:rsidRPr="00301676">
        <w:rPr>
          <w:rFonts w:hint="cs"/>
          <w:b/>
          <w:bCs/>
          <w:rtl/>
        </w:rPr>
        <w:t>مس</w:t>
      </w:r>
      <w:r>
        <w:rPr>
          <w:rFonts w:hint="cs"/>
          <w:b/>
          <w:bCs/>
          <w:rtl/>
        </w:rPr>
        <w:t xml:space="preserve"> الأمور التي عوّلوا عليها هنا</w:t>
      </w:r>
      <w:r w:rsidRPr="00E92664">
        <w:rPr>
          <w:rFonts w:hint="cs"/>
          <w:rtl/>
        </w:rPr>
        <w:t xml:space="preserve"> هو </w:t>
      </w:r>
      <w:r w:rsidR="000A4159" w:rsidRPr="00E92664">
        <w:rPr>
          <w:rFonts w:hint="cs"/>
          <w:rtl/>
        </w:rPr>
        <w:t>ال</w:t>
      </w:r>
      <w:r w:rsidR="000A4159" w:rsidRPr="00822CE9">
        <w:rPr>
          <w:rFonts w:hint="cs"/>
          <w:rtl/>
        </w:rPr>
        <w:t>استناد إلى النصوص الديني</w:t>
      </w:r>
      <w:r w:rsidR="00301676">
        <w:rPr>
          <w:rFonts w:hint="cs"/>
          <w:rtl/>
        </w:rPr>
        <w:t>ّ</w:t>
      </w:r>
      <w:r w:rsidR="000A4159" w:rsidRPr="00822CE9">
        <w:rPr>
          <w:rFonts w:hint="cs"/>
          <w:rtl/>
        </w:rPr>
        <w:t>ة الدالّة على لزوم إعانة الضعفاء والمظلومين</w:t>
      </w:r>
      <w:r w:rsidR="00301676">
        <w:rPr>
          <w:rFonts w:hint="cs"/>
          <w:rtl/>
        </w:rPr>
        <w:t>،</w:t>
      </w:r>
      <w:r w:rsidR="000A4159" w:rsidRPr="00822CE9">
        <w:rPr>
          <w:rFonts w:hint="cs"/>
          <w:rtl/>
        </w:rPr>
        <w:t xml:space="preserve"> وعدم جواز ترك المبالاة بأمور المسلمين، فإنّ التمسّك بإطلاق هذه النصوص يدلّ على لزوم القيام بهذه الوظائف حتى لو كان ذلك على سبيل الكفاح المسلّح</w:t>
      </w:r>
      <w:r w:rsidR="000A4159" w:rsidRPr="000A4159">
        <w:rPr>
          <w:rFonts w:cs="Taher"/>
          <w:vertAlign w:val="superscript"/>
          <w:rtl/>
        </w:rPr>
        <w:t>(</w:t>
      </w:r>
      <w:r w:rsidR="000A4159" w:rsidRPr="000A4159">
        <w:rPr>
          <w:rStyle w:val="FootnoteReference"/>
          <w:rFonts w:cs="Taher"/>
          <w:rtl/>
        </w:rPr>
        <w:footnoteReference w:id="25"/>
      </w:r>
      <w:r w:rsidR="000A4159" w:rsidRPr="000A4159">
        <w:rPr>
          <w:rFonts w:cs="Taher"/>
          <w:vertAlign w:val="superscript"/>
          <w:rtl/>
        </w:rPr>
        <w:t>)</w:t>
      </w:r>
      <w:r w:rsidR="000A4159" w:rsidRPr="00822CE9">
        <w:rPr>
          <w:rtl/>
        </w:rPr>
        <w:t>.</w:t>
      </w:r>
    </w:p>
    <w:p w14:paraId="1EA736E2" w14:textId="77777777" w:rsidR="00301676" w:rsidRDefault="000A4159" w:rsidP="00E50D0A">
      <w:pPr>
        <w:spacing w:line="214" w:lineRule="auto"/>
        <w:rPr>
          <w:rtl/>
        </w:rPr>
      </w:pPr>
      <w:r w:rsidRPr="00822CE9">
        <w:rPr>
          <w:rFonts w:hint="cs"/>
          <w:rtl/>
        </w:rPr>
        <w:t>ومن هذه الروايات ـ وهي كثيرة موجودة في مصادر الحديث عند السنّة والشيعة ـ ما ورد عن النبي</w:t>
      </w:r>
      <w:r w:rsidR="00301676">
        <w:rPr>
          <w:rFonts w:hint="cs"/>
          <w:rtl/>
        </w:rPr>
        <w:t>‘</w:t>
      </w:r>
      <w:r w:rsidRPr="00822CE9">
        <w:rPr>
          <w:rFonts w:hint="cs"/>
          <w:rtl/>
        </w:rPr>
        <w:t xml:space="preserve">، </w:t>
      </w:r>
      <w:r w:rsidR="00E50D0A">
        <w:rPr>
          <w:rFonts w:hint="cs"/>
          <w:rtl/>
        </w:rPr>
        <w:t>وبعض الأئمّة،</w:t>
      </w:r>
      <w:r w:rsidRPr="00822CE9">
        <w:rPr>
          <w:rFonts w:hint="cs"/>
          <w:rtl/>
        </w:rPr>
        <w:t xml:space="preserve"> باختلافات ط</w:t>
      </w:r>
      <w:r w:rsidR="00301676">
        <w:rPr>
          <w:rFonts w:hint="cs"/>
          <w:rtl/>
        </w:rPr>
        <w:t>ف</w:t>
      </w:r>
      <w:r w:rsidRPr="00822CE9">
        <w:rPr>
          <w:rFonts w:hint="cs"/>
          <w:rtl/>
        </w:rPr>
        <w:t>ي</w:t>
      </w:r>
      <w:r w:rsidR="00301676">
        <w:rPr>
          <w:rFonts w:hint="cs"/>
          <w:rtl/>
        </w:rPr>
        <w:t>ف</w:t>
      </w:r>
      <w:r w:rsidRPr="00822CE9">
        <w:rPr>
          <w:rFonts w:hint="cs"/>
          <w:rtl/>
        </w:rPr>
        <w:t>ة: «لن تقدّس أمّة</w:t>
      </w:r>
      <w:r w:rsidR="00301676">
        <w:rPr>
          <w:rFonts w:hint="cs"/>
          <w:rtl/>
        </w:rPr>
        <w:t>ٌ</w:t>
      </w:r>
      <w:r w:rsidRPr="00822CE9">
        <w:rPr>
          <w:rFonts w:hint="cs"/>
          <w:rtl/>
        </w:rPr>
        <w:t xml:space="preserve"> لا يؤخذ للضعيف فيها حقّه من القوي</w:t>
      </w:r>
      <w:r w:rsidR="00301676">
        <w:rPr>
          <w:rFonts w:hint="cs"/>
          <w:rtl/>
        </w:rPr>
        <w:t>ّ</w:t>
      </w:r>
      <w:r w:rsidRPr="00822CE9">
        <w:rPr>
          <w:rFonts w:hint="cs"/>
          <w:rtl/>
        </w:rPr>
        <w:t xml:space="preserve"> غير متتعتع»</w:t>
      </w:r>
      <w:r w:rsidRPr="000A4159">
        <w:rPr>
          <w:rFonts w:cs="Taher"/>
          <w:vertAlign w:val="superscript"/>
          <w:rtl/>
        </w:rPr>
        <w:t>(</w:t>
      </w:r>
      <w:r w:rsidRPr="000A4159">
        <w:rPr>
          <w:rStyle w:val="FootnoteReference"/>
          <w:rFonts w:cs="Taher"/>
          <w:rtl/>
        </w:rPr>
        <w:footnoteReference w:id="26"/>
      </w:r>
      <w:r w:rsidRPr="000A4159">
        <w:rPr>
          <w:rFonts w:cs="Taher"/>
          <w:vertAlign w:val="superscript"/>
          <w:rtl/>
        </w:rPr>
        <w:t>)</w:t>
      </w:r>
      <w:r w:rsidR="00301676">
        <w:rPr>
          <w:rFonts w:hint="cs"/>
          <w:rtl/>
        </w:rPr>
        <w:t>.</w:t>
      </w:r>
    </w:p>
    <w:p w14:paraId="0FF12E4F" w14:textId="77777777" w:rsidR="000A4159" w:rsidRPr="001F286B" w:rsidRDefault="000A4159" w:rsidP="001F286B">
      <w:pPr>
        <w:pStyle w:val="normal930"/>
        <w:rPr>
          <w:b/>
          <w:bCs/>
          <w:rtl/>
        </w:rPr>
      </w:pPr>
      <w:r w:rsidRPr="001F286B">
        <w:rPr>
          <w:rFonts w:hint="cs"/>
          <w:b/>
          <w:bCs/>
          <w:rtl/>
        </w:rPr>
        <w:t>وهذا الدليل قابل</w:t>
      </w:r>
      <w:r w:rsidR="00301676" w:rsidRPr="001F286B">
        <w:rPr>
          <w:rFonts w:hint="cs"/>
          <w:b/>
          <w:bCs/>
          <w:rtl/>
        </w:rPr>
        <w:t>ٌ</w:t>
      </w:r>
      <w:r w:rsidRPr="001F286B">
        <w:rPr>
          <w:rFonts w:hint="cs"/>
          <w:b/>
          <w:bCs/>
          <w:rtl/>
        </w:rPr>
        <w:t xml:space="preserve"> للمناقشة من جهتين:</w:t>
      </w:r>
    </w:p>
    <w:p w14:paraId="328A34A3" w14:textId="77777777" w:rsidR="000A4159" w:rsidRPr="00822CE9" w:rsidRDefault="00301676" w:rsidP="001F286B">
      <w:pPr>
        <w:pStyle w:val="normal930"/>
        <w:rPr>
          <w:rtl/>
        </w:rPr>
      </w:pPr>
      <w:r>
        <w:rPr>
          <w:rFonts w:hint="cs"/>
          <w:b/>
          <w:bCs/>
          <w:rtl/>
        </w:rPr>
        <w:t xml:space="preserve">الجهة </w:t>
      </w:r>
      <w:r w:rsidR="000A4159" w:rsidRPr="00301676">
        <w:rPr>
          <w:rFonts w:hint="cs"/>
          <w:b/>
          <w:bCs/>
          <w:rtl/>
        </w:rPr>
        <w:t>الأولى:</w:t>
      </w:r>
      <w:r w:rsidR="000A4159" w:rsidRPr="00822CE9">
        <w:rPr>
          <w:rFonts w:hint="cs"/>
          <w:rtl/>
        </w:rPr>
        <w:t xml:space="preserve"> إنّ الصورة التي تفرضها هذه الروايات أقصى </w:t>
      </w:r>
      <w:r>
        <w:rPr>
          <w:rFonts w:hint="cs"/>
          <w:rtl/>
        </w:rPr>
        <w:t xml:space="preserve">ما </w:t>
      </w:r>
      <w:r w:rsidR="000A4159" w:rsidRPr="00822CE9">
        <w:rPr>
          <w:rFonts w:hint="cs"/>
          <w:rtl/>
        </w:rPr>
        <w:t>فيها لزوم الاهتمام بأمر المسلمين والدفاع عن حق</w:t>
      </w:r>
      <w:r>
        <w:rPr>
          <w:rFonts w:hint="cs"/>
          <w:rtl/>
        </w:rPr>
        <w:t>ّ</w:t>
      </w:r>
      <w:r w:rsidR="000A4159" w:rsidRPr="00822CE9">
        <w:rPr>
          <w:rFonts w:hint="cs"/>
          <w:rtl/>
        </w:rPr>
        <w:t xml:space="preserve"> المظلومين، وهذا إن</w:t>
      </w:r>
      <w:r>
        <w:rPr>
          <w:rFonts w:hint="cs"/>
          <w:rtl/>
        </w:rPr>
        <w:t>ّ</w:t>
      </w:r>
      <w:r w:rsidR="000A4159" w:rsidRPr="00822CE9">
        <w:rPr>
          <w:rFonts w:hint="cs"/>
          <w:rtl/>
        </w:rPr>
        <w:t>ما يصدق في بعض أنواع الحكومات الفاسدة، وهي الحكومات التي تظلم شعبها وتبطش بهم، أم</w:t>
      </w:r>
      <w:r>
        <w:rPr>
          <w:rFonts w:hint="cs"/>
          <w:rtl/>
        </w:rPr>
        <w:t>ّ</w:t>
      </w:r>
      <w:r w:rsidR="000A4159" w:rsidRPr="00822CE9">
        <w:rPr>
          <w:rFonts w:hint="cs"/>
          <w:rtl/>
        </w:rPr>
        <w:t>ا الحاكم المنحرف في شخصه، أو الذي لا يطب</w:t>
      </w:r>
      <w:r>
        <w:rPr>
          <w:rFonts w:hint="cs"/>
          <w:rtl/>
        </w:rPr>
        <w:t>ّق</w:t>
      </w:r>
      <w:r w:rsidR="000A4159" w:rsidRPr="00822CE9">
        <w:rPr>
          <w:rFonts w:hint="cs"/>
          <w:rtl/>
        </w:rPr>
        <w:t xml:space="preserve"> شرع الله تعالى، فهذا لا ي</w:t>
      </w:r>
      <w:r>
        <w:rPr>
          <w:rFonts w:hint="cs"/>
          <w:rtl/>
        </w:rPr>
        <w:t>ُ</w:t>
      </w:r>
      <w:r w:rsidR="000A4159" w:rsidRPr="00822CE9">
        <w:rPr>
          <w:rFonts w:hint="cs"/>
          <w:rtl/>
        </w:rPr>
        <w:t>علم نظر مثل هذه النصوص إليه، فلا يمكن الاستناد إليها في مورده، كما هو واضح.</w:t>
      </w:r>
    </w:p>
    <w:p w14:paraId="7B1223EF" w14:textId="77777777" w:rsidR="000A4159" w:rsidRDefault="00301676" w:rsidP="004A3040">
      <w:pPr>
        <w:spacing w:line="214" w:lineRule="auto"/>
        <w:rPr>
          <w:rtl/>
        </w:rPr>
      </w:pPr>
      <w:r w:rsidRPr="00301676">
        <w:rPr>
          <w:rFonts w:hint="cs"/>
          <w:b/>
          <w:bCs/>
          <w:rtl/>
        </w:rPr>
        <w:t xml:space="preserve">الجهة </w:t>
      </w:r>
      <w:r w:rsidR="000A4159" w:rsidRPr="00301676">
        <w:rPr>
          <w:rFonts w:hint="cs"/>
          <w:b/>
          <w:bCs/>
          <w:rtl/>
        </w:rPr>
        <w:t>الثانية:</w:t>
      </w:r>
      <w:r w:rsidR="000A4159" w:rsidRPr="00822CE9">
        <w:rPr>
          <w:rFonts w:hint="cs"/>
          <w:rtl/>
        </w:rPr>
        <w:t xml:space="preserve"> لا ي</w:t>
      </w:r>
      <w:r>
        <w:rPr>
          <w:rFonts w:hint="cs"/>
          <w:rtl/>
        </w:rPr>
        <w:t>ُ</w:t>
      </w:r>
      <w:r w:rsidR="000A4159" w:rsidRPr="00822CE9">
        <w:rPr>
          <w:rFonts w:hint="cs"/>
          <w:rtl/>
        </w:rPr>
        <w:t>حرز في مثل هذه النصوص انعقاد إطلاق يشمل حالة الحرب الداخلي</w:t>
      </w:r>
      <w:r>
        <w:rPr>
          <w:rFonts w:hint="cs"/>
          <w:rtl/>
        </w:rPr>
        <w:t>ّ</w:t>
      </w:r>
      <w:r w:rsidR="000A4159" w:rsidRPr="00822CE9">
        <w:rPr>
          <w:rFonts w:hint="cs"/>
          <w:rtl/>
        </w:rPr>
        <w:t>ة بين المسلمين وسفك الدماء، فإن</w:t>
      </w:r>
      <w:r>
        <w:rPr>
          <w:rFonts w:hint="cs"/>
          <w:rtl/>
        </w:rPr>
        <w:t>ّ</w:t>
      </w:r>
      <w:r w:rsidR="000A4159" w:rsidRPr="00822CE9">
        <w:rPr>
          <w:rFonts w:hint="cs"/>
          <w:rtl/>
        </w:rPr>
        <w:t xml:space="preserve"> الاهتمام بأمر المسلمين يصدق بمتابعة أمورهم والدفاع عنهم بغير </w:t>
      </w:r>
      <w:r w:rsidR="000A4159" w:rsidRPr="00822CE9">
        <w:rPr>
          <w:rFonts w:hint="cs"/>
          <w:rtl/>
        </w:rPr>
        <w:lastRenderedPageBreak/>
        <w:t>أسلوب القتال العسكري</w:t>
      </w:r>
      <w:r>
        <w:rPr>
          <w:rFonts w:hint="cs"/>
          <w:rtl/>
        </w:rPr>
        <w:t>،</w:t>
      </w:r>
      <w:r w:rsidR="000A4159" w:rsidRPr="00822CE9">
        <w:rPr>
          <w:rFonts w:hint="cs"/>
          <w:rtl/>
        </w:rPr>
        <w:t xml:space="preserve"> ولا نحرز نظر مثل هذه النصوص إلى مطلق اشكال الدفاع أو الاهتمام حتى ما أد</w:t>
      </w:r>
      <w:r>
        <w:rPr>
          <w:rFonts w:hint="cs"/>
          <w:rtl/>
        </w:rPr>
        <w:t>ّ</w:t>
      </w:r>
      <w:r w:rsidR="000A4159" w:rsidRPr="00822CE9">
        <w:rPr>
          <w:rFonts w:hint="cs"/>
          <w:rtl/>
        </w:rPr>
        <w:t xml:space="preserve">ى </w:t>
      </w:r>
      <w:r>
        <w:rPr>
          <w:rFonts w:hint="cs"/>
          <w:rtl/>
        </w:rPr>
        <w:t xml:space="preserve">منه </w:t>
      </w:r>
      <w:r w:rsidR="000A4159" w:rsidRPr="00822CE9">
        <w:rPr>
          <w:rFonts w:hint="cs"/>
          <w:rtl/>
        </w:rPr>
        <w:t>إلى معارضة مسلّحة.</w:t>
      </w:r>
      <w:r>
        <w:rPr>
          <w:rFonts w:hint="cs"/>
          <w:rtl/>
        </w:rPr>
        <w:t xml:space="preserve"> </w:t>
      </w:r>
      <w:r w:rsidR="000A4159" w:rsidRPr="00822CE9">
        <w:rPr>
          <w:rFonts w:hint="cs"/>
          <w:rtl/>
        </w:rPr>
        <w:t xml:space="preserve">نعم، بعض ألسنة بعض الروايات </w:t>
      </w:r>
      <w:r w:rsidR="00737030">
        <w:rPr>
          <w:rFonts w:hint="cs"/>
          <w:rtl/>
        </w:rPr>
        <w:t xml:space="preserve">الآحاديّة </w:t>
      </w:r>
      <w:r w:rsidR="000A4159" w:rsidRPr="00822CE9">
        <w:rPr>
          <w:rFonts w:hint="cs"/>
          <w:rtl/>
        </w:rPr>
        <w:t>يستو</w:t>
      </w:r>
      <w:r>
        <w:rPr>
          <w:rFonts w:hint="cs"/>
          <w:rtl/>
        </w:rPr>
        <w:t xml:space="preserve">حى </w:t>
      </w:r>
      <w:r w:rsidR="000A4159" w:rsidRPr="00822CE9">
        <w:rPr>
          <w:rFonts w:hint="cs"/>
          <w:rtl/>
        </w:rPr>
        <w:t>منه مثل هذا الإطلاق</w:t>
      </w:r>
      <w:r w:rsidR="00B61691">
        <w:rPr>
          <w:rFonts w:hint="cs"/>
          <w:rtl/>
        </w:rPr>
        <w:t>، بل لو أخذ بالإطلاق للزمت لوازم في بعض الروايات هنا؛ إذ الإطلاق محفوظ حتى في مثل الظلم الفردي أيضاً</w:t>
      </w:r>
      <w:r w:rsidR="000A4159" w:rsidRPr="00822CE9">
        <w:rPr>
          <w:rFonts w:hint="cs"/>
          <w:rtl/>
        </w:rPr>
        <w:t>.</w:t>
      </w:r>
      <w:r w:rsidR="00001B1C">
        <w:rPr>
          <w:rFonts w:hint="cs"/>
          <w:rtl/>
        </w:rPr>
        <w:t xml:space="preserve"> </w:t>
      </w:r>
      <w:r w:rsidR="00001B1C" w:rsidRPr="004A3040">
        <w:rPr>
          <w:rFonts w:hint="cs"/>
          <w:b/>
          <w:bCs/>
          <w:rtl/>
        </w:rPr>
        <w:t>وستكون لنا عودة لبعض هذه الأدلّة هنا</w:t>
      </w:r>
      <w:r w:rsidR="004A3040" w:rsidRPr="004A3040">
        <w:rPr>
          <w:rFonts w:hint="cs"/>
          <w:b/>
          <w:bCs/>
          <w:rtl/>
        </w:rPr>
        <w:t>؛ لأخذ مجموع المقدار الذي يمكن أخذه من كل</w:t>
      </w:r>
      <w:r w:rsidR="004A3040">
        <w:rPr>
          <w:rFonts w:hint="cs"/>
          <w:b/>
          <w:bCs/>
          <w:rtl/>
        </w:rPr>
        <w:t>ّ</w:t>
      </w:r>
      <w:r w:rsidR="004A3040" w:rsidRPr="004A3040">
        <w:rPr>
          <w:rFonts w:hint="cs"/>
          <w:b/>
          <w:bCs/>
          <w:rtl/>
        </w:rPr>
        <w:t xml:space="preserve"> واحد منها</w:t>
      </w:r>
      <w:r w:rsidR="00001B1C" w:rsidRPr="004A3040">
        <w:rPr>
          <w:rFonts w:hint="cs"/>
          <w:b/>
          <w:bCs/>
          <w:rtl/>
        </w:rPr>
        <w:t>.</w:t>
      </w:r>
    </w:p>
    <w:p w14:paraId="01F9760C" w14:textId="77777777" w:rsidR="00D10031" w:rsidRPr="00D10031" w:rsidRDefault="00D10031" w:rsidP="00BF0865">
      <w:pPr>
        <w:pStyle w:val="Heading2"/>
        <w:rPr>
          <w:rtl/>
        </w:rPr>
      </w:pPr>
      <w:bookmarkStart w:id="24" w:name="_Toc143804102"/>
      <w:bookmarkStart w:id="25" w:name="_Toc238123227"/>
      <w:r w:rsidRPr="00D10031">
        <w:rPr>
          <w:rFonts w:hint="cs"/>
          <w:rtl/>
        </w:rPr>
        <w:t>6 ـ مرجعيّ</w:t>
      </w:r>
      <w:r>
        <w:rPr>
          <w:rFonts w:hint="cs"/>
          <w:rtl/>
        </w:rPr>
        <w:t>ة</w:t>
      </w:r>
      <w:r w:rsidRPr="00D10031">
        <w:rPr>
          <w:rFonts w:hint="cs"/>
          <w:rtl/>
        </w:rPr>
        <w:t xml:space="preserve"> التحليل العقلاني </w:t>
      </w:r>
      <w:r>
        <w:rPr>
          <w:rFonts w:hint="cs"/>
          <w:rtl/>
        </w:rPr>
        <w:t xml:space="preserve">لمنظومة </w:t>
      </w:r>
      <w:r w:rsidRPr="00D10031">
        <w:rPr>
          <w:rFonts w:hint="cs"/>
          <w:rtl/>
        </w:rPr>
        <w:t>التشريع الإسلامي، مراجعة نقديّ</w:t>
      </w:r>
      <w:r>
        <w:rPr>
          <w:rFonts w:hint="cs"/>
          <w:rtl/>
        </w:rPr>
        <w:t>ة</w:t>
      </w:r>
      <w:bookmarkEnd w:id="24"/>
      <w:bookmarkEnd w:id="25"/>
    </w:p>
    <w:p w14:paraId="5A326554" w14:textId="77777777" w:rsidR="000A4159" w:rsidRPr="00822CE9" w:rsidRDefault="000A4159" w:rsidP="001F286B">
      <w:pPr>
        <w:pStyle w:val="normal870"/>
        <w:rPr>
          <w:rtl/>
        </w:rPr>
      </w:pPr>
      <w:r w:rsidRPr="00301676">
        <w:rPr>
          <w:rFonts w:hint="cs"/>
          <w:b/>
          <w:bCs/>
          <w:rtl/>
        </w:rPr>
        <w:t>سادس</w:t>
      </w:r>
      <w:r w:rsidR="00E92664">
        <w:rPr>
          <w:rFonts w:hint="cs"/>
          <w:b/>
          <w:bCs/>
          <w:rtl/>
        </w:rPr>
        <w:t xml:space="preserve"> المقاربات الاستدلاليّة هنا </w:t>
      </w:r>
      <w:r w:rsidR="00E92664" w:rsidRPr="00E92664">
        <w:rPr>
          <w:rFonts w:hint="cs"/>
          <w:rtl/>
        </w:rPr>
        <w:t xml:space="preserve">هو </w:t>
      </w:r>
      <w:r w:rsidRPr="00822CE9">
        <w:rPr>
          <w:rFonts w:hint="cs"/>
          <w:rtl/>
        </w:rPr>
        <w:t>تحليل طبيعة الإسلام ومشروعه الإنساني، فإن</w:t>
      </w:r>
      <w:r w:rsidR="00737030">
        <w:rPr>
          <w:rFonts w:hint="cs"/>
          <w:rtl/>
        </w:rPr>
        <w:t>ّ</w:t>
      </w:r>
      <w:r w:rsidRPr="00822CE9">
        <w:rPr>
          <w:rFonts w:hint="cs"/>
          <w:rtl/>
        </w:rPr>
        <w:t xml:space="preserve"> الإسلام دين</w:t>
      </w:r>
      <w:r w:rsidR="00737030">
        <w:rPr>
          <w:rFonts w:hint="cs"/>
          <w:rtl/>
        </w:rPr>
        <w:t>ٌ</w:t>
      </w:r>
      <w:r w:rsidRPr="00822CE9">
        <w:rPr>
          <w:rFonts w:hint="cs"/>
          <w:rtl/>
        </w:rPr>
        <w:t xml:space="preserve"> عالمي</w:t>
      </w:r>
      <w:r w:rsidR="00737030">
        <w:rPr>
          <w:rFonts w:hint="cs"/>
          <w:rtl/>
        </w:rPr>
        <w:t>ّ</w:t>
      </w:r>
      <w:r w:rsidRPr="00822CE9">
        <w:rPr>
          <w:rFonts w:hint="cs"/>
          <w:rtl/>
        </w:rPr>
        <w:t xml:space="preserve"> يهدف للسيطرة على العالم، وإقامة حكمه فيه، وإذا كان كذلك لا يحتمل أن يحرّم القيام العسكري ضدّ الفئة الحاكمة المنحرفة</w:t>
      </w:r>
      <w:r w:rsidR="00737030">
        <w:rPr>
          <w:rFonts w:hint="cs"/>
          <w:rtl/>
        </w:rPr>
        <w:t xml:space="preserve"> </w:t>
      </w:r>
      <w:r w:rsidRPr="00822CE9">
        <w:rPr>
          <w:rFonts w:hint="cs"/>
          <w:rtl/>
        </w:rPr>
        <w:t>عندما ينحصر علاج انحرافها بتقويمها بالقو</w:t>
      </w:r>
      <w:r w:rsidR="00737030">
        <w:rPr>
          <w:rFonts w:hint="cs"/>
          <w:rtl/>
        </w:rPr>
        <w:t>ّ</w:t>
      </w:r>
      <w:r w:rsidRPr="00822CE9">
        <w:rPr>
          <w:rFonts w:hint="cs"/>
          <w:rtl/>
        </w:rPr>
        <w:t>ة ولو العسكري</w:t>
      </w:r>
      <w:r w:rsidR="00737030">
        <w:rPr>
          <w:rFonts w:hint="cs"/>
          <w:rtl/>
        </w:rPr>
        <w:t>ّ</w:t>
      </w:r>
      <w:r w:rsidRPr="00822CE9">
        <w:rPr>
          <w:rFonts w:hint="cs"/>
          <w:rtl/>
        </w:rPr>
        <w:t>ة، فعدم تشريع الإسلام حكماً من هذا النوع يعدّ نقطة ضعف تشريعي</w:t>
      </w:r>
      <w:r w:rsidR="00737030">
        <w:rPr>
          <w:rFonts w:hint="cs"/>
          <w:rtl/>
        </w:rPr>
        <w:t>ّ</w:t>
      </w:r>
      <w:r w:rsidRPr="00822CE9">
        <w:rPr>
          <w:rFonts w:hint="cs"/>
          <w:rtl/>
        </w:rPr>
        <w:t>ة فيه، تؤد</w:t>
      </w:r>
      <w:r w:rsidR="00737030">
        <w:rPr>
          <w:rFonts w:hint="cs"/>
          <w:rtl/>
        </w:rPr>
        <w:t>ّ</w:t>
      </w:r>
      <w:r w:rsidRPr="00822CE9">
        <w:rPr>
          <w:rFonts w:hint="cs"/>
          <w:rtl/>
        </w:rPr>
        <w:t xml:space="preserve">ي إلى </w:t>
      </w:r>
      <w:r w:rsidR="00737030">
        <w:rPr>
          <w:rFonts w:hint="cs"/>
          <w:rtl/>
        </w:rPr>
        <w:t>عدم ال</w:t>
      </w:r>
      <w:r w:rsidRPr="00822CE9">
        <w:rPr>
          <w:rFonts w:hint="cs"/>
          <w:rtl/>
        </w:rPr>
        <w:t xml:space="preserve">توازن </w:t>
      </w:r>
      <w:r w:rsidR="00737030">
        <w:rPr>
          <w:rFonts w:hint="cs"/>
          <w:rtl/>
        </w:rPr>
        <w:t>ال</w:t>
      </w:r>
      <w:r w:rsidRPr="00822CE9">
        <w:rPr>
          <w:rFonts w:hint="cs"/>
          <w:rtl/>
        </w:rPr>
        <w:t>داخلي في تشريعاته</w:t>
      </w:r>
      <w:r w:rsidRPr="000A4159">
        <w:rPr>
          <w:rFonts w:cs="Taher"/>
          <w:vertAlign w:val="superscript"/>
          <w:rtl/>
        </w:rPr>
        <w:t>(</w:t>
      </w:r>
      <w:r w:rsidRPr="000A4159">
        <w:rPr>
          <w:rStyle w:val="FootnoteReference"/>
          <w:rFonts w:cs="Taher"/>
          <w:rtl/>
        </w:rPr>
        <w:footnoteReference w:id="27"/>
      </w:r>
      <w:r w:rsidRPr="000A4159">
        <w:rPr>
          <w:rFonts w:cs="Taher"/>
          <w:vertAlign w:val="superscript"/>
          <w:rtl/>
        </w:rPr>
        <w:t>)</w:t>
      </w:r>
      <w:r w:rsidRPr="00822CE9">
        <w:rPr>
          <w:rFonts w:hint="cs"/>
          <w:rtl/>
        </w:rPr>
        <w:t>.</w:t>
      </w:r>
    </w:p>
    <w:p w14:paraId="5A661F7C" w14:textId="77777777" w:rsidR="000A4159" w:rsidRPr="00822CE9" w:rsidRDefault="000A4159" w:rsidP="001F286B">
      <w:pPr>
        <w:pStyle w:val="normal870"/>
        <w:rPr>
          <w:rtl/>
        </w:rPr>
      </w:pPr>
      <w:r w:rsidRPr="00737030">
        <w:rPr>
          <w:rFonts w:hint="cs"/>
          <w:b/>
          <w:bCs/>
          <w:rtl/>
        </w:rPr>
        <w:t xml:space="preserve">وبصيغة أخرى: </w:t>
      </w:r>
      <w:r w:rsidR="001B6BFD">
        <w:rPr>
          <w:rFonts w:hint="cs"/>
          <w:rtl/>
        </w:rPr>
        <w:t>إ</w:t>
      </w:r>
      <w:r w:rsidRPr="00822CE9">
        <w:rPr>
          <w:rFonts w:hint="cs"/>
          <w:rtl/>
        </w:rPr>
        <w:t>ن</w:t>
      </w:r>
      <w:r w:rsidR="001B6BFD">
        <w:rPr>
          <w:rFonts w:hint="cs"/>
          <w:rtl/>
        </w:rPr>
        <w:t>ّ</w:t>
      </w:r>
      <w:r w:rsidRPr="00822CE9">
        <w:rPr>
          <w:rFonts w:hint="cs"/>
          <w:rtl/>
        </w:rPr>
        <w:t xml:space="preserve">ه من الضروري تفكيك التشريعات والقوانين نفسها، وأن نرى انسجامها بعضها </w:t>
      </w:r>
      <w:r w:rsidR="00001B1C">
        <w:rPr>
          <w:rFonts w:hint="cs"/>
          <w:rtl/>
        </w:rPr>
        <w:t xml:space="preserve">مع </w:t>
      </w:r>
      <w:r w:rsidRPr="00822CE9">
        <w:rPr>
          <w:rFonts w:hint="cs"/>
          <w:rtl/>
        </w:rPr>
        <w:t>بعض، وعليه، كيف يمكن لدين أن يهدف السيطرة على العالم لإقامة حكومة الحقّ، وخوض حروب مع كل</w:t>
      </w:r>
      <w:r w:rsidR="00980351">
        <w:rPr>
          <w:rFonts w:hint="cs"/>
          <w:rtl/>
        </w:rPr>
        <w:t>ّ</w:t>
      </w:r>
      <w:r w:rsidRPr="00822CE9">
        <w:rPr>
          <w:rFonts w:hint="cs"/>
          <w:rtl/>
        </w:rPr>
        <w:t xml:space="preserve"> الناس لأجل ذلك، إلا أن</w:t>
      </w:r>
      <w:r w:rsidR="00980351">
        <w:rPr>
          <w:rFonts w:hint="cs"/>
          <w:rtl/>
        </w:rPr>
        <w:t>ّ</w:t>
      </w:r>
      <w:r w:rsidRPr="00822CE9">
        <w:rPr>
          <w:rFonts w:hint="cs"/>
          <w:rtl/>
        </w:rPr>
        <w:t>ه يمنع عن مجاهدة الفئة الحاكمة عند المسلمين والتي تفرّغ الإسلام من مضمونه وتبعده عن الحكم والإدارة</w:t>
      </w:r>
      <w:r w:rsidR="00980351">
        <w:rPr>
          <w:rFonts w:hint="cs"/>
          <w:rtl/>
        </w:rPr>
        <w:t>؟!</w:t>
      </w:r>
      <w:r w:rsidRPr="00822CE9">
        <w:rPr>
          <w:rFonts w:hint="cs"/>
          <w:rtl/>
        </w:rPr>
        <w:t xml:space="preserve"> إنّ نفس هذا التحليل العقلائي يفضي إلى اليقين بأن</w:t>
      </w:r>
      <w:r w:rsidR="00980351">
        <w:rPr>
          <w:rFonts w:hint="cs"/>
          <w:rtl/>
        </w:rPr>
        <w:t>ّ</w:t>
      </w:r>
      <w:r w:rsidRPr="00822CE9">
        <w:rPr>
          <w:rFonts w:hint="cs"/>
          <w:rtl/>
        </w:rPr>
        <w:t xml:space="preserve"> الإسلام فيه تشريع</w:t>
      </w:r>
      <w:r w:rsidR="00980351">
        <w:rPr>
          <w:rFonts w:hint="cs"/>
          <w:rtl/>
        </w:rPr>
        <w:t>ُ</w:t>
      </w:r>
      <w:r w:rsidRPr="00822CE9">
        <w:rPr>
          <w:rFonts w:hint="cs"/>
          <w:rtl/>
        </w:rPr>
        <w:t xml:space="preserve"> القيام المسلّح ضد</w:t>
      </w:r>
      <w:r w:rsidR="00980351">
        <w:rPr>
          <w:rFonts w:hint="cs"/>
          <w:rtl/>
        </w:rPr>
        <w:t>ّ</w:t>
      </w:r>
      <w:r w:rsidRPr="00822CE9">
        <w:rPr>
          <w:rFonts w:hint="cs"/>
          <w:rtl/>
        </w:rPr>
        <w:t xml:space="preserve"> الحاكم المنحرف.</w:t>
      </w:r>
    </w:p>
    <w:p w14:paraId="1AD2ABF8" w14:textId="77777777" w:rsidR="000A4159" w:rsidRPr="00980351" w:rsidRDefault="00980351" w:rsidP="00980351">
      <w:pPr>
        <w:spacing w:line="214" w:lineRule="auto"/>
        <w:rPr>
          <w:b/>
          <w:bCs/>
          <w:rtl/>
        </w:rPr>
      </w:pPr>
      <w:r>
        <w:rPr>
          <w:rFonts w:hint="cs"/>
          <w:b/>
          <w:bCs/>
          <w:rtl/>
        </w:rPr>
        <w:t>لكن</w:t>
      </w:r>
      <w:r w:rsidR="00001B1C">
        <w:rPr>
          <w:rFonts w:hint="cs"/>
          <w:b/>
          <w:bCs/>
          <w:rtl/>
        </w:rPr>
        <w:t>ّ</w:t>
      </w:r>
      <w:r>
        <w:rPr>
          <w:rFonts w:hint="cs"/>
          <w:b/>
          <w:bCs/>
          <w:rtl/>
        </w:rPr>
        <w:t xml:space="preserve"> هذا الكلام </w:t>
      </w:r>
      <w:r w:rsidR="000A4159" w:rsidRPr="00980351">
        <w:rPr>
          <w:rFonts w:hint="cs"/>
          <w:b/>
          <w:bCs/>
          <w:rtl/>
        </w:rPr>
        <w:t>قد يلاحظ عليه:</w:t>
      </w:r>
    </w:p>
    <w:p w14:paraId="1F1C0D5B" w14:textId="77777777" w:rsidR="000A4159" w:rsidRPr="00822CE9" w:rsidRDefault="000A4159" w:rsidP="00A079D6">
      <w:pPr>
        <w:spacing w:line="214" w:lineRule="auto"/>
        <w:rPr>
          <w:rtl/>
        </w:rPr>
      </w:pPr>
      <w:r w:rsidRPr="00980351">
        <w:rPr>
          <w:rFonts w:hint="cs"/>
          <w:b/>
          <w:bCs/>
          <w:rtl/>
        </w:rPr>
        <w:t>أو</w:t>
      </w:r>
      <w:r w:rsidR="00980351">
        <w:rPr>
          <w:rFonts w:hint="cs"/>
          <w:b/>
          <w:bCs/>
          <w:rtl/>
        </w:rPr>
        <w:t>ّ</w:t>
      </w:r>
      <w:r w:rsidRPr="00980351">
        <w:rPr>
          <w:rFonts w:hint="cs"/>
          <w:b/>
          <w:bCs/>
          <w:rtl/>
        </w:rPr>
        <w:t>لاً:</w:t>
      </w:r>
      <w:r w:rsidRPr="00822CE9">
        <w:rPr>
          <w:rFonts w:hint="cs"/>
          <w:rtl/>
        </w:rPr>
        <w:t xml:space="preserve"> إنّ هذا اللون من الاستدلال نوع</w:t>
      </w:r>
      <w:r w:rsidR="00980351">
        <w:rPr>
          <w:rFonts w:hint="cs"/>
          <w:rtl/>
        </w:rPr>
        <w:t>ٌ</w:t>
      </w:r>
      <w:r w:rsidRPr="00822CE9">
        <w:rPr>
          <w:rFonts w:hint="cs"/>
          <w:rtl/>
        </w:rPr>
        <w:t xml:space="preserve"> من القي</w:t>
      </w:r>
      <w:r w:rsidR="00980351">
        <w:rPr>
          <w:rFonts w:hint="cs"/>
          <w:rtl/>
        </w:rPr>
        <w:t>اس؛</w:t>
      </w:r>
      <w:r w:rsidRPr="00822CE9">
        <w:rPr>
          <w:rFonts w:hint="cs"/>
          <w:rtl/>
        </w:rPr>
        <w:t xml:space="preserve"> إذ نحن هنا تعدّينا من تشريع عالمي</w:t>
      </w:r>
      <w:r w:rsidR="00980351">
        <w:rPr>
          <w:rFonts w:hint="cs"/>
          <w:rtl/>
        </w:rPr>
        <w:t>ّ</w:t>
      </w:r>
      <w:r w:rsidRPr="00822CE9">
        <w:rPr>
          <w:rFonts w:hint="cs"/>
          <w:rtl/>
        </w:rPr>
        <w:t>ة الإسلام والجهاد الابتدائي لبسط حاكمي</w:t>
      </w:r>
      <w:r w:rsidR="002F4EB2">
        <w:rPr>
          <w:rFonts w:hint="cs"/>
          <w:rtl/>
        </w:rPr>
        <w:t>ّ</w:t>
      </w:r>
      <w:r w:rsidRPr="00822CE9">
        <w:rPr>
          <w:rFonts w:hint="cs"/>
          <w:rtl/>
        </w:rPr>
        <w:t>ة الدين إلى حكم</w:t>
      </w:r>
      <w:r w:rsidR="002F4EB2">
        <w:rPr>
          <w:rFonts w:hint="cs"/>
          <w:rtl/>
        </w:rPr>
        <w:t>ٍ</w:t>
      </w:r>
      <w:r w:rsidRPr="00822CE9">
        <w:rPr>
          <w:rFonts w:hint="cs"/>
          <w:rtl/>
        </w:rPr>
        <w:t xml:space="preserve"> آخر في موضع</w:t>
      </w:r>
      <w:r w:rsidR="002F4EB2">
        <w:rPr>
          <w:rFonts w:hint="cs"/>
          <w:rtl/>
        </w:rPr>
        <w:t>ٍ</w:t>
      </w:r>
      <w:r w:rsidRPr="00822CE9">
        <w:rPr>
          <w:rFonts w:hint="cs"/>
          <w:rtl/>
        </w:rPr>
        <w:t xml:space="preserve"> آخر، وهو القيام المسلّح ضد النظام الحاكم</w:t>
      </w:r>
      <w:r w:rsidR="00001B1C">
        <w:rPr>
          <w:rFonts w:hint="cs"/>
          <w:rtl/>
        </w:rPr>
        <w:t xml:space="preserve"> المسلم</w:t>
      </w:r>
      <w:r w:rsidRPr="00822CE9">
        <w:rPr>
          <w:rFonts w:hint="cs"/>
          <w:rtl/>
        </w:rPr>
        <w:t>، وهذا هو القياس بعينه، فيكون باطلاً.</w:t>
      </w:r>
    </w:p>
    <w:p w14:paraId="123921BF" w14:textId="77777777" w:rsidR="000A4159" w:rsidRPr="00822CE9" w:rsidRDefault="000A4159" w:rsidP="004A3040">
      <w:pPr>
        <w:spacing w:line="214" w:lineRule="auto"/>
        <w:rPr>
          <w:rtl/>
        </w:rPr>
      </w:pPr>
      <w:r w:rsidRPr="002F4EB2">
        <w:rPr>
          <w:rFonts w:hint="cs"/>
          <w:b/>
          <w:bCs/>
          <w:rtl/>
        </w:rPr>
        <w:t>ويمكن أن يجاب ـ كبروياً ـ</w:t>
      </w:r>
      <w:r w:rsidRPr="002F4EB2">
        <w:rPr>
          <w:rFonts w:hint="cs"/>
          <w:rtl/>
        </w:rPr>
        <w:t xml:space="preserve"> </w:t>
      </w:r>
      <w:r w:rsidR="002F4EB2" w:rsidRPr="002F4EB2">
        <w:rPr>
          <w:rFonts w:hint="cs"/>
          <w:rtl/>
        </w:rPr>
        <w:t>بأ</w:t>
      </w:r>
      <w:r w:rsidRPr="002F4EB2">
        <w:rPr>
          <w:rFonts w:hint="cs"/>
          <w:rtl/>
        </w:rPr>
        <w:t>ن</w:t>
      </w:r>
      <w:r w:rsidR="002F4EB2" w:rsidRPr="002F4EB2">
        <w:rPr>
          <w:rFonts w:hint="cs"/>
          <w:rtl/>
        </w:rPr>
        <w:t>ّ</w:t>
      </w:r>
      <w:r w:rsidRPr="002F4EB2">
        <w:rPr>
          <w:rFonts w:hint="cs"/>
          <w:rtl/>
        </w:rPr>
        <w:t xml:space="preserve"> هذا ا</w:t>
      </w:r>
      <w:r w:rsidRPr="00822CE9">
        <w:rPr>
          <w:rFonts w:hint="cs"/>
          <w:rtl/>
        </w:rPr>
        <w:t>للون من الاستدلال ليس قياساً، بل هو تحليل</w:t>
      </w:r>
      <w:r w:rsidR="002F4EB2">
        <w:rPr>
          <w:rFonts w:hint="cs"/>
          <w:rtl/>
        </w:rPr>
        <w:t>ٌ</w:t>
      </w:r>
      <w:r w:rsidRPr="00822CE9">
        <w:rPr>
          <w:rFonts w:hint="cs"/>
          <w:rtl/>
        </w:rPr>
        <w:t xml:space="preserve"> عقلائي لطبيعة التشريعات يؤد</w:t>
      </w:r>
      <w:r w:rsidR="002F4EB2">
        <w:rPr>
          <w:rFonts w:hint="cs"/>
          <w:rtl/>
        </w:rPr>
        <w:t>ّ</w:t>
      </w:r>
      <w:r w:rsidRPr="00822CE9">
        <w:rPr>
          <w:rFonts w:hint="cs"/>
          <w:rtl/>
        </w:rPr>
        <w:t>ي إلى اليقين أو الاطمئنان بثبوت تشريع</w:t>
      </w:r>
      <w:r w:rsidR="002F4EB2">
        <w:rPr>
          <w:rFonts w:hint="cs"/>
          <w:rtl/>
        </w:rPr>
        <w:t>ٍ</w:t>
      </w:r>
      <w:r w:rsidRPr="00822CE9">
        <w:rPr>
          <w:rFonts w:hint="cs"/>
          <w:rtl/>
        </w:rPr>
        <w:t xml:space="preserve"> ما، ومثله كثير</w:t>
      </w:r>
      <w:r w:rsidR="002F4EB2">
        <w:rPr>
          <w:rFonts w:hint="cs"/>
          <w:rtl/>
        </w:rPr>
        <w:t>ٌ</w:t>
      </w:r>
      <w:r w:rsidRPr="00822CE9">
        <w:rPr>
          <w:rFonts w:hint="cs"/>
          <w:rtl/>
        </w:rPr>
        <w:t xml:space="preserve"> في ممارسات </w:t>
      </w:r>
      <w:r w:rsidRPr="00822CE9">
        <w:rPr>
          <w:rFonts w:hint="cs"/>
          <w:rtl/>
        </w:rPr>
        <w:lastRenderedPageBreak/>
        <w:t>الفقهاء المسلمين حتى الرافضين لنظري</w:t>
      </w:r>
      <w:r w:rsidR="002F4EB2">
        <w:rPr>
          <w:rFonts w:hint="cs"/>
          <w:rtl/>
        </w:rPr>
        <w:t>ّ</w:t>
      </w:r>
      <w:r w:rsidRPr="00822CE9">
        <w:rPr>
          <w:rFonts w:hint="cs"/>
          <w:rtl/>
        </w:rPr>
        <w:t xml:space="preserve">ة القياس، فعندما </w:t>
      </w:r>
      <w:r w:rsidR="004A3040">
        <w:rPr>
          <w:rFonts w:hint="cs"/>
          <w:rtl/>
        </w:rPr>
        <w:t>ي</w:t>
      </w:r>
      <w:r w:rsidRPr="00822CE9">
        <w:rPr>
          <w:rFonts w:hint="cs"/>
          <w:rtl/>
        </w:rPr>
        <w:t xml:space="preserve">قول </w:t>
      </w:r>
      <w:r w:rsidR="00001B1C">
        <w:rPr>
          <w:rFonts w:hint="cs"/>
          <w:rtl/>
        </w:rPr>
        <w:t>بعضٌ:</w:t>
      </w:r>
      <w:r w:rsidRPr="00822CE9">
        <w:rPr>
          <w:rFonts w:hint="cs"/>
          <w:rtl/>
        </w:rPr>
        <w:t xml:space="preserve"> إن</w:t>
      </w:r>
      <w:r w:rsidR="002F4EB2">
        <w:rPr>
          <w:rFonts w:hint="cs"/>
          <w:rtl/>
        </w:rPr>
        <w:t>ّ</w:t>
      </w:r>
      <w:r w:rsidRPr="00822CE9">
        <w:rPr>
          <w:rFonts w:hint="cs"/>
          <w:rtl/>
        </w:rPr>
        <w:t xml:space="preserve"> ملاحظة مجمل التشريعات الإسلامي</w:t>
      </w:r>
      <w:r w:rsidR="002F4EB2">
        <w:rPr>
          <w:rFonts w:hint="cs"/>
          <w:rtl/>
        </w:rPr>
        <w:t>ّ</w:t>
      </w:r>
      <w:r w:rsidRPr="00822CE9">
        <w:rPr>
          <w:rFonts w:hint="cs"/>
          <w:rtl/>
        </w:rPr>
        <w:t>ة ي</w:t>
      </w:r>
      <w:r w:rsidR="002F4EB2">
        <w:rPr>
          <w:rFonts w:hint="cs"/>
          <w:rtl/>
        </w:rPr>
        <w:t>ُ</w:t>
      </w:r>
      <w:r w:rsidRPr="00822CE9">
        <w:rPr>
          <w:rFonts w:hint="cs"/>
          <w:rtl/>
        </w:rPr>
        <w:t>فضي إلى اليقين بعلاقة الدين بالسياسة، وبأن</w:t>
      </w:r>
      <w:r w:rsidR="002F4EB2">
        <w:rPr>
          <w:rFonts w:hint="cs"/>
          <w:rtl/>
        </w:rPr>
        <w:t>ّ</w:t>
      </w:r>
      <w:r w:rsidRPr="00822CE9">
        <w:rPr>
          <w:rFonts w:hint="cs"/>
          <w:rtl/>
        </w:rPr>
        <w:t>ه لا يقام الدين بلا دولة</w:t>
      </w:r>
      <w:r w:rsidR="004A3040">
        <w:rPr>
          <w:rFonts w:hint="cs"/>
          <w:rtl/>
        </w:rPr>
        <w:t>..</w:t>
      </w:r>
      <w:r w:rsidRPr="00822CE9">
        <w:rPr>
          <w:rFonts w:hint="cs"/>
          <w:rtl/>
        </w:rPr>
        <w:t xml:space="preserve"> فهو لا يريد ممارسة قياس، بقدر ما يريد </w:t>
      </w:r>
      <w:r w:rsidR="002F4EB2">
        <w:rPr>
          <w:rFonts w:hint="cs"/>
          <w:rtl/>
        </w:rPr>
        <w:t>ف</w:t>
      </w:r>
      <w:r w:rsidRPr="00822CE9">
        <w:rPr>
          <w:rFonts w:hint="cs"/>
          <w:rtl/>
        </w:rPr>
        <w:t>هم طبيعة التشريعات فهماً عقلائياً عرفي</w:t>
      </w:r>
      <w:r w:rsidR="002F4EB2">
        <w:rPr>
          <w:rFonts w:hint="cs"/>
          <w:rtl/>
        </w:rPr>
        <w:t>ّ</w:t>
      </w:r>
      <w:r w:rsidRPr="00822CE9">
        <w:rPr>
          <w:rFonts w:hint="cs"/>
          <w:rtl/>
        </w:rPr>
        <w:t>اً موجباً لليقين،</w:t>
      </w:r>
      <w:r w:rsidR="002F4EB2">
        <w:rPr>
          <w:rFonts w:hint="cs"/>
          <w:rtl/>
        </w:rPr>
        <w:t xml:space="preserve"> دون ا</w:t>
      </w:r>
      <w:r w:rsidRPr="00822CE9">
        <w:rPr>
          <w:rFonts w:hint="cs"/>
          <w:rtl/>
        </w:rPr>
        <w:t>لظن</w:t>
      </w:r>
      <w:r w:rsidR="002F4EB2">
        <w:rPr>
          <w:rFonts w:hint="cs"/>
          <w:rtl/>
        </w:rPr>
        <w:t>ّ</w:t>
      </w:r>
      <w:r w:rsidRPr="00822CE9">
        <w:rPr>
          <w:rFonts w:hint="cs"/>
          <w:rtl/>
        </w:rPr>
        <w:t>، كما هي الحال في القياس</w:t>
      </w:r>
      <w:r w:rsidR="002F4EB2">
        <w:rPr>
          <w:rFonts w:hint="cs"/>
          <w:rtl/>
        </w:rPr>
        <w:t>، فنحن هنا أقرب لفهم مذاق الشارع من مسألة القياس</w:t>
      </w:r>
      <w:r w:rsidRPr="00822CE9">
        <w:rPr>
          <w:rFonts w:hint="cs"/>
          <w:rtl/>
        </w:rPr>
        <w:t>.</w:t>
      </w:r>
    </w:p>
    <w:p w14:paraId="34D04D04" w14:textId="77777777" w:rsidR="000A4159" w:rsidRPr="00822CE9" w:rsidRDefault="000A4159" w:rsidP="002F4EB2">
      <w:pPr>
        <w:spacing w:line="214" w:lineRule="auto"/>
        <w:rPr>
          <w:rtl/>
        </w:rPr>
      </w:pPr>
      <w:r w:rsidRPr="002F4EB2">
        <w:rPr>
          <w:rFonts w:hint="cs"/>
          <w:b/>
          <w:bCs/>
          <w:rtl/>
        </w:rPr>
        <w:t>ثانياً:</w:t>
      </w:r>
      <w:r w:rsidRPr="00822CE9">
        <w:rPr>
          <w:rFonts w:hint="cs"/>
          <w:rtl/>
        </w:rPr>
        <w:t xml:space="preserve"> إن</w:t>
      </w:r>
      <w:r w:rsidR="002F4EB2">
        <w:rPr>
          <w:rFonts w:hint="cs"/>
          <w:rtl/>
        </w:rPr>
        <w:t>ّ</w:t>
      </w:r>
      <w:r w:rsidRPr="00822CE9">
        <w:rPr>
          <w:rFonts w:hint="cs"/>
          <w:rtl/>
        </w:rPr>
        <w:t xml:space="preserve"> هذا الدليل مبن</w:t>
      </w:r>
      <w:r w:rsidR="002F4EB2">
        <w:rPr>
          <w:rFonts w:hint="cs"/>
          <w:rtl/>
        </w:rPr>
        <w:t>يٌّ</w:t>
      </w:r>
      <w:r w:rsidRPr="00822CE9">
        <w:rPr>
          <w:rFonts w:hint="cs"/>
          <w:rtl/>
        </w:rPr>
        <w:t xml:space="preserve"> على افتراض أن</w:t>
      </w:r>
      <w:r w:rsidR="002F4EB2">
        <w:rPr>
          <w:rFonts w:hint="cs"/>
          <w:rtl/>
        </w:rPr>
        <w:t>ّ</w:t>
      </w:r>
      <w:r w:rsidRPr="00822CE9">
        <w:rPr>
          <w:rFonts w:hint="cs"/>
          <w:rtl/>
        </w:rPr>
        <w:t xml:space="preserve"> الإسلام يسعى للسيطرة بالقوّة على العالم، وهذا ما يقوم على نظري</w:t>
      </w:r>
      <w:r w:rsidR="002F4EB2">
        <w:rPr>
          <w:rFonts w:hint="cs"/>
          <w:rtl/>
        </w:rPr>
        <w:t>ّ</w:t>
      </w:r>
      <w:r w:rsidRPr="00822CE9">
        <w:rPr>
          <w:rFonts w:hint="cs"/>
          <w:rtl/>
        </w:rPr>
        <w:t>ة الجهاد الابتدائي، وقد سبق أن بحثنا هذه النظري</w:t>
      </w:r>
      <w:r w:rsidR="002F4EB2">
        <w:rPr>
          <w:rFonts w:hint="cs"/>
          <w:rtl/>
        </w:rPr>
        <w:t>ّ</w:t>
      </w:r>
      <w:r w:rsidRPr="00822CE9">
        <w:rPr>
          <w:rFonts w:hint="cs"/>
          <w:rtl/>
        </w:rPr>
        <w:t>ة مفص</w:t>
      </w:r>
      <w:r w:rsidR="002F4EB2">
        <w:rPr>
          <w:rFonts w:hint="cs"/>
          <w:rtl/>
        </w:rPr>
        <w:t>ّ</w:t>
      </w:r>
      <w:r w:rsidRPr="00822CE9">
        <w:rPr>
          <w:rFonts w:hint="cs"/>
          <w:rtl/>
        </w:rPr>
        <w:t>لاً</w:t>
      </w:r>
      <w:r w:rsidR="002F4EB2">
        <w:rPr>
          <w:rFonts w:hint="cs"/>
          <w:rtl/>
        </w:rPr>
        <w:t>،</w:t>
      </w:r>
      <w:r w:rsidRPr="00822CE9">
        <w:rPr>
          <w:rFonts w:hint="cs"/>
          <w:rtl/>
        </w:rPr>
        <w:t xml:space="preserve"> وشك</w:t>
      </w:r>
      <w:r w:rsidR="002F4EB2">
        <w:rPr>
          <w:rFonts w:hint="cs"/>
          <w:rtl/>
        </w:rPr>
        <w:t>ّ</w:t>
      </w:r>
      <w:r w:rsidRPr="00822CE9">
        <w:rPr>
          <w:rFonts w:hint="cs"/>
          <w:rtl/>
        </w:rPr>
        <w:t>كنا في وجودها في الشريعة الإسلامي</w:t>
      </w:r>
      <w:r w:rsidR="002F4EB2">
        <w:rPr>
          <w:rFonts w:hint="cs"/>
          <w:rtl/>
        </w:rPr>
        <w:t>ّ</w:t>
      </w:r>
      <w:r w:rsidRPr="00822CE9">
        <w:rPr>
          <w:rFonts w:hint="cs"/>
          <w:rtl/>
        </w:rPr>
        <w:t>ة</w:t>
      </w:r>
      <w:r w:rsidR="002F4EB2">
        <w:rPr>
          <w:rFonts w:hint="cs"/>
          <w:rtl/>
        </w:rPr>
        <w:t>.</w:t>
      </w:r>
      <w:r w:rsidRPr="00822CE9">
        <w:rPr>
          <w:rFonts w:hint="cs"/>
          <w:rtl/>
        </w:rPr>
        <w:t xml:space="preserve"> وعليه، فغاية ما في عالمي</w:t>
      </w:r>
      <w:r w:rsidR="002F4EB2">
        <w:rPr>
          <w:rFonts w:hint="cs"/>
          <w:rtl/>
        </w:rPr>
        <w:t>ّ</w:t>
      </w:r>
      <w:r w:rsidRPr="00822CE9">
        <w:rPr>
          <w:rFonts w:hint="cs"/>
          <w:rtl/>
        </w:rPr>
        <w:t>ة الإسلام هو نشره بالقول واللسان والوسائل السلمي</w:t>
      </w:r>
      <w:r w:rsidR="002F4EB2">
        <w:rPr>
          <w:rFonts w:hint="cs"/>
          <w:rtl/>
        </w:rPr>
        <w:t>ّ</w:t>
      </w:r>
      <w:r w:rsidRPr="00822CE9">
        <w:rPr>
          <w:rFonts w:hint="cs"/>
          <w:rtl/>
        </w:rPr>
        <w:t>ة الأخرى، ومن ثم</w:t>
      </w:r>
      <w:r w:rsidR="002F4EB2">
        <w:rPr>
          <w:rFonts w:hint="cs"/>
          <w:rtl/>
        </w:rPr>
        <w:t>ّ</w:t>
      </w:r>
      <w:r w:rsidRPr="00822CE9">
        <w:rPr>
          <w:rFonts w:hint="cs"/>
          <w:rtl/>
        </w:rPr>
        <w:t xml:space="preserve"> فلا تكون هناك أي</w:t>
      </w:r>
      <w:r w:rsidR="002F4EB2">
        <w:rPr>
          <w:rFonts w:hint="cs"/>
          <w:rtl/>
        </w:rPr>
        <w:t>ّ</w:t>
      </w:r>
      <w:r w:rsidRPr="00822CE9">
        <w:rPr>
          <w:rFonts w:hint="cs"/>
          <w:rtl/>
        </w:rPr>
        <w:t xml:space="preserve"> مفارقة قانوني</w:t>
      </w:r>
      <w:r w:rsidR="002F4EB2">
        <w:rPr>
          <w:rFonts w:hint="cs"/>
          <w:rtl/>
        </w:rPr>
        <w:t>ّ</w:t>
      </w:r>
      <w:r w:rsidRPr="00822CE9">
        <w:rPr>
          <w:rFonts w:hint="cs"/>
          <w:rtl/>
        </w:rPr>
        <w:t>ة في أن يحظر الإسلام الخروج المسلّح على الحاكم، كما يحظر الجهاد الابتدائي، أو لا يشرّعه، فيختل</w:t>
      </w:r>
      <w:r w:rsidR="002F4EB2">
        <w:rPr>
          <w:rFonts w:hint="cs"/>
          <w:rtl/>
        </w:rPr>
        <w:t>ّ</w:t>
      </w:r>
      <w:r w:rsidRPr="00822CE9">
        <w:rPr>
          <w:rFonts w:hint="cs"/>
          <w:rtl/>
        </w:rPr>
        <w:t xml:space="preserve"> المنطلق الذي انطلقت منه عملي</w:t>
      </w:r>
      <w:r w:rsidR="002F4EB2">
        <w:rPr>
          <w:rFonts w:hint="cs"/>
          <w:rtl/>
        </w:rPr>
        <w:t>ّ</w:t>
      </w:r>
      <w:r w:rsidRPr="00822CE9">
        <w:rPr>
          <w:rFonts w:hint="cs"/>
          <w:rtl/>
        </w:rPr>
        <w:t>ة الاستدلال هنا.</w:t>
      </w:r>
    </w:p>
    <w:p w14:paraId="362767DF" w14:textId="77777777" w:rsidR="000A4159" w:rsidRDefault="000A4159" w:rsidP="002F4EB2">
      <w:pPr>
        <w:spacing w:line="214" w:lineRule="auto"/>
        <w:rPr>
          <w:rtl/>
        </w:rPr>
      </w:pPr>
      <w:r w:rsidRPr="002F4EB2">
        <w:rPr>
          <w:rFonts w:hint="cs"/>
          <w:b/>
          <w:bCs/>
          <w:rtl/>
        </w:rPr>
        <w:t xml:space="preserve">ثالثاً: </w:t>
      </w:r>
      <w:r w:rsidRPr="00822CE9">
        <w:rPr>
          <w:rFonts w:hint="cs"/>
          <w:rtl/>
        </w:rPr>
        <w:t>مع قبولنا بممارسة مثل هذا النوع من التحليل العقلائي للتشريع</w:t>
      </w:r>
      <w:r w:rsidR="002F4EB2">
        <w:rPr>
          <w:rFonts w:hint="cs"/>
          <w:rtl/>
        </w:rPr>
        <w:t>،</w:t>
      </w:r>
      <w:r w:rsidRPr="00822CE9">
        <w:rPr>
          <w:rFonts w:hint="cs"/>
          <w:rtl/>
        </w:rPr>
        <w:t xml:space="preserve"> إلا أن</w:t>
      </w:r>
      <w:r w:rsidR="002F4EB2">
        <w:rPr>
          <w:rFonts w:hint="cs"/>
          <w:rtl/>
        </w:rPr>
        <w:t>ّ</w:t>
      </w:r>
      <w:r w:rsidRPr="00822CE9">
        <w:rPr>
          <w:rFonts w:hint="cs"/>
          <w:rtl/>
        </w:rPr>
        <w:t>نا نجده هنا يواجه عقبة؛ وذلك أن</w:t>
      </w:r>
      <w:r w:rsidR="002F4EB2">
        <w:rPr>
          <w:rFonts w:hint="cs"/>
          <w:rtl/>
        </w:rPr>
        <w:t>ّ</w:t>
      </w:r>
      <w:r w:rsidRPr="00822CE9">
        <w:rPr>
          <w:rFonts w:hint="cs"/>
          <w:rtl/>
        </w:rPr>
        <w:t>نا نعلم باليقين أيضاً من جملة نصوص الكتاب والسنّة أن</w:t>
      </w:r>
      <w:r w:rsidR="002F4EB2">
        <w:rPr>
          <w:rFonts w:hint="cs"/>
          <w:rtl/>
        </w:rPr>
        <w:t>ّ</w:t>
      </w:r>
      <w:r w:rsidRPr="00822CE9">
        <w:rPr>
          <w:rFonts w:hint="cs"/>
          <w:rtl/>
        </w:rPr>
        <w:t xml:space="preserve"> دماء المسلمين من أعظم الحرمات، فأيّ مانع أن </w:t>
      </w:r>
      <w:r w:rsidR="002F4EB2">
        <w:rPr>
          <w:rFonts w:hint="cs"/>
          <w:rtl/>
        </w:rPr>
        <w:t>ت</w:t>
      </w:r>
      <w:r w:rsidRPr="00822CE9">
        <w:rPr>
          <w:rFonts w:hint="cs"/>
          <w:rtl/>
        </w:rPr>
        <w:t>تعاطى الشريعة في مجال السياسة الخارجي</w:t>
      </w:r>
      <w:r w:rsidR="002F4EB2">
        <w:rPr>
          <w:rFonts w:hint="cs"/>
          <w:rtl/>
        </w:rPr>
        <w:t>ّ</w:t>
      </w:r>
      <w:r w:rsidRPr="00822CE9">
        <w:rPr>
          <w:rFonts w:hint="cs"/>
          <w:rtl/>
        </w:rPr>
        <w:t>ة بمنطق القوّة، إلا أن</w:t>
      </w:r>
      <w:r w:rsidR="002F4EB2">
        <w:rPr>
          <w:rFonts w:hint="cs"/>
          <w:rtl/>
        </w:rPr>
        <w:t>ّ</w:t>
      </w:r>
      <w:r w:rsidRPr="00822CE9">
        <w:rPr>
          <w:rFonts w:hint="cs"/>
          <w:rtl/>
        </w:rPr>
        <w:t>ها تقف متحف</w:t>
      </w:r>
      <w:r w:rsidR="002F4EB2">
        <w:rPr>
          <w:rFonts w:hint="cs"/>
          <w:rtl/>
        </w:rPr>
        <w:t>ّ</w:t>
      </w:r>
      <w:r w:rsidRPr="00822CE9">
        <w:rPr>
          <w:rFonts w:hint="cs"/>
          <w:rtl/>
        </w:rPr>
        <w:t>ظة</w:t>
      </w:r>
      <w:r w:rsidR="002F4EB2">
        <w:rPr>
          <w:rFonts w:hint="cs"/>
          <w:rtl/>
        </w:rPr>
        <w:t>ً</w:t>
      </w:r>
      <w:r w:rsidRPr="00822CE9">
        <w:rPr>
          <w:rFonts w:hint="cs"/>
          <w:rtl/>
        </w:rPr>
        <w:t xml:space="preserve"> عن استخدام المنطق عينه في السياسة الداخلي</w:t>
      </w:r>
      <w:r w:rsidR="002F4EB2">
        <w:rPr>
          <w:rFonts w:hint="cs"/>
          <w:rtl/>
        </w:rPr>
        <w:t>ّ</w:t>
      </w:r>
      <w:r w:rsidRPr="00822CE9">
        <w:rPr>
          <w:rFonts w:hint="cs"/>
          <w:rtl/>
        </w:rPr>
        <w:t>ة، حمايةً ل</w:t>
      </w:r>
      <w:r w:rsidR="002F4EB2">
        <w:rPr>
          <w:rFonts w:hint="cs"/>
          <w:rtl/>
        </w:rPr>
        <w:t>لكيان الداخلي للمسلمين وحصراً لأ</w:t>
      </w:r>
      <w:r w:rsidRPr="00822CE9">
        <w:rPr>
          <w:rFonts w:hint="cs"/>
          <w:rtl/>
        </w:rPr>
        <w:t>ساليب التغيير الداخلي بالطرق السلمي</w:t>
      </w:r>
      <w:r w:rsidR="002F4EB2">
        <w:rPr>
          <w:rFonts w:hint="cs"/>
          <w:rtl/>
        </w:rPr>
        <w:t>ّ</w:t>
      </w:r>
      <w:r w:rsidRPr="00822CE9">
        <w:rPr>
          <w:rFonts w:hint="cs"/>
          <w:rtl/>
        </w:rPr>
        <w:t>ة، وهذا أمر</w:t>
      </w:r>
      <w:r w:rsidR="002F4EB2">
        <w:rPr>
          <w:rFonts w:hint="cs"/>
          <w:rtl/>
        </w:rPr>
        <w:t>ٌ</w:t>
      </w:r>
      <w:r w:rsidRPr="00822CE9">
        <w:rPr>
          <w:rFonts w:hint="cs"/>
          <w:rtl/>
        </w:rPr>
        <w:t xml:space="preserve"> معقول </w:t>
      </w:r>
      <w:r w:rsidR="002F4EB2">
        <w:rPr>
          <w:rFonts w:hint="cs"/>
          <w:rtl/>
        </w:rPr>
        <w:t>ووج</w:t>
      </w:r>
      <w:r w:rsidRPr="00822CE9">
        <w:rPr>
          <w:rFonts w:hint="cs"/>
          <w:rtl/>
        </w:rPr>
        <w:t>يه، له نماذج في القوانين البشري</w:t>
      </w:r>
      <w:r w:rsidR="002F4EB2">
        <w:rPr>
          <w:rFonts w:hint="cs"/>
          <w:rtl/>
        </w:rPr>
        <w:t>ّ</w:t>
      </w:r>
      <w:r w:rsidRPr="00822CE9">
        <w:rPr>
          <w:rFonts w:hint="cs"/>
          <w:rtl/>
        </w:rPr>
        <w:t>ة، وعليه فلا ي</w:t>
      </w:r>
      <w:r w:rsidR="002F4EB2">
        <w:rPr>
          <w:rFonts w:hint="cs"/>
          <w:rtl/>
        </w:rPr>
        <w:t>ُ</w:t>
      </w:r>
      <w:r w:rsidRPr="00822CE9">
        <w:rPr>
          <w:rFonts w:hint="cs"/>
          <w:rtl/>
        </w:rPr>
        <w:t>حرز التعدّي المذكور في روح هذا الدليل، رغم الممارسة الاجتهادي</w:t>
      </w:r>
      <w:r w:rsidR="002F4EB2">
        <w:rPr>
          <w:rFonts w:hint="cs"/>
          <w:rtl/>
        </w:rPr>
        <w:t>ّ</w:t>
      </w:r>
      <w:r w:rsidRPr="00822CE9">
        <w:rPr>
          <w:rFonts w:hint="cs"/>
          <w:rtl/>
        </w:rPr>
        <w:t>ة الجميلة التي يحتويها.</w:t>
      </w:r>
    </w:p>
    <w:p w14:paraId="20C8B28D" w14:textId="77777777" w:rsidR="00D10031" w:rsidRPr="00D10031" w:rsidRDefault="00D10031" w:rsidP="00BF0865">
      <w:pPr>
        <w:pStyle w:val="Heading2"/>
        <w:rPr>
          <w:rtl/>
        </w:rPr>
      </w:pPr>
      <w:bookmarkStart w:id="26" w:name="_Toc143804103"/>
      <w:bookmarkStart w:id="27" w:name="_Toc238123228"/>
      <w:r w:rsidRPr="00D10031">
        <w:rPr>
          <w:rFonts w:hint="cs"/>
          <w:rtl/>
        </w:rPr>
        <w:t xml:space="preserve">7 ـ مبدأ تحريم إعانة الظالم وحبّ بقائه في تشييد المنطق </w:t>
      </w:r>
      <w:r>
        <w:rPr>
          <w:rFonts w:hint="cs"/>
          <w:rtl/>
        </w:rPr>
        <w:t>ال</w:t>
      </w:r>
      <w:r w:rsidRPr="00D10031">
        <w:rPr>
          <w:rFonts w:hint="cs"/>
          <w:rtl/>
        </w:rPr>
        <w:t>ثوري، نقد</w:t>
      </w:r>
      <w:r>
        <w:rPr>
          <w:rFonts w:hint="cs"/>
          <w:rtl/>
        </w:rPr>
        <w:t>ٌ</w:t>
      </w:r>
      <w:r w:rsidRPr="00D10031">
        <w:rPr>
          <w:rFonts w:hint="cs"/>
          <w:rtl/>
        </w:rPr>
        <w:t xml:space="preserve"> وتأمّل</w:t>
      </w:r>
      <w:bookmarkEnd w:id="26"/>
      <w:bookmarkEnd w:id="27"/>
    </w:p>
    <w:p w14:paraId="4E768B36" w14:textId="77777777" w:rsidR="000A4159" w:rsidRPr="00822CE9" w:rsidRDefault="000A4159" w:rsidP="00E92664">
      <w:pPr>
        <w:spacing w:line="214" w:lineRule="auto"/>
        <w:rPr>
          <w:rtl/>
        </w:rPr>
      </w:pPr>
      <w:r w:rsidRPr="002F4EB2">
        <w:rPr>
          <w:rFonts w:hint="cs"/>
          <w:b/>
          <w:bCs/>
          <w:rtl/>
        </w:rPr>
        <w:t>سابع</w:t>
      </w:r>
      <w:r w:rsidR="00E92664">
        <w:rPr>
          <w:rFonts w:hint="cs"/>
          <w:b/>
          <w:bCs/>
          <w:rtl/>
        </w:rPr>
        <w:t xml:space="preserve"> مداركهم هنا </w:t>
      </w:r>
      <w:r w:rsidR="00E92664" w:rsidRPr="00E92664">
        <w:rPr>
          <w:rFonts w:hint="cs"/>
          <w:rtl/>
        </w:rPr>
        <w:t xml:space="preserve">هو </w:t>
      </w:r>
      <w:r w:rsidRPr="00E92664">
        <w:rPr>
          <w:rFonts w:hint="cs"/>
          <w:rtl/>
        </w:rPr>
        <w:t>م</w:t>
      </w:r>
      <w:r w:rsidRPr="00822CE9">
        <w:rPr>
          <w:rFonts w:hint="cs"/>
          <w:rtl/>
        </w:rPr>
        <w:t>ا دلّ على حرمة إعانة الظالم ومساعدته، وحبّ بقائه، وهذه الروايات كثيرة جداً في مصادر الحديث الشيع</w:t>
      </w:r>
      <w:r w:rsidR="002F4EB2">
        <w:rPr>
          <w:rFonts w:hint="cs"/>
          <w:rtl/>
        </w:rPr>
        <w:t>يّة والسنيّة</w:t>
      </w:r>
      <w:r w:rsidRPr="00822CE9">
        <w:rPr>
          <w:rFonts w:hint="cs"/>
          <w:rtl/>
        </w:rPr>
        <w:t>، لا نطيل باستعراضها، فقد بحثها الفقهاء بالتفصيل في مباحث المكاسب المحر</w:t>
      </w:r>
      <w:r w:rsidR="002F4EB2">
        <w:rPr>
          <w:rFonts w:hint="cs"/>
          <w:rtl/>
        </w:rPr>
        <w:t>ّ</w:t>
      </w:r>
      <w:r w:rsidRPr="00822CE9">
        <w:rPr>
          <w:rFonts w:hint="cs"/>
          <w:rtl/>
        </w:rPr>
        <w:t>مة، فلتراجع هناك، وألسنة هذه الروايات شديدة جداً.</w:t>
      </w:r>
    </w:p>
    <w:p w14:paraId="34C7751A" w14:textId="77777777" w:rsidR="000A4159" w:rsidRPr="00822CE9" w:rsidRDefault="000A4159" w:rsidP="002F4EB2">
      <w:pPr>
        <w:spacing w:line="214" w:lineRule="auto"/>
        <w:rPr>
          <w:rtl/>
        </w:rPr>
      </w:pPr>
      <w:r w:rsidRPr="002F4EB2">
        <w:rPr>
          <w:rFonts w:hint="cs"/>
          <w:b/>
          <w:bCs/>
          <w:rtl/>
        </w:rPr>
        <w:t>وتقريب الاستدلال بهذه النصوص</w:t>
      </w:r>
      <w:r w:rsidRPr="00822CE9">
        <w:rPr>
          <w:rFonts w:hint="cs"/>
          <w:rtl/>
        </w:rPr>
        <w:t xml:space="preserve"> أن</w:t>
      </w:r>
      <w:r w:rsidR="002F4EB2">
        <w:rPr>
          <w:rFonts w:hint="cs"/>
          <w:rtl/>
        </w:rPr>
        <w:t>ّ</w:t>
      </w:r>
      <w:r w:rsidRPr="00822CE9">
        <w:rPr>
          <w:rFonts w:hint="cs"/>
          <w:rtl/>
        </w:rPr>
        <w:t xml:space="preserve"> التسليم للظالم وإطاعته في أوامر</w:t>
      </w:r>
      <w:r w:rsidR="002F4EB2">
        <w:rPr>
          <w:rFonts w:hint="cs"/>
          <w:rtl/>
        </w:rPr>
        <w:t>ه</w:t>
      </w:r>
      <w:r w:rsidRPr="00822CE9">
        <w:rPr>
          <w:rFonts w:hint="cs"/>
          <w:rtl/>
        </w:rPr>
        <w:t xml:space="preserve"> الحكومي</w:t>
      </w:r>
      <w:r w:rsidR="002F4EB2">
        <w:rPr>
          <w:rFonts w:hint="cs"/>
          <w:rtl/>
        </w:rPr>
        <w:t>ّ</w:t>
      </w:r>
      <w:r w:rsidRPr="00822CE9">
        <w:rPr>
          <w:rFonts w:hint="cs"/>
          <w:rtl/>
        </w:rPr>
        <w:t xml:space="preserve">ة، والخضوع لقوانين دولته من أبرز مظاهر الدعم له والتأييد، فيكون ذلك مشمولاً لحرمة إعانة </w:t>
      </w:r>
      <w:r w:rsidRPr="00822CE9">
        <w:rPr>
          <w:rFonts w:hint="cs"/>
          <w:rtl/>
        </w:rPr>
        <w:lastRenderedPageBreak/>
        <w:t>الظالم كيفما كان</w:t>
      </w:r>
      <w:r w:rsidRPr="000A4159">
        <w:rPr>
          <w:rFonts w:cs="Taher"/>
          <w:vertAlign w:val="superscript"/>
          <w:rtl/>
        </w:rPr>
        <w:t>(</w:t>
      </w:r>
      <w:r w:rsidRPr="000A4159">
        <w:rPr>
          <w:rStyle w:val="FootnoteReference"/>
          <w:rFonts w:cs="Taher"/>
          <w:rtl/>
        </w:rPr>
        <w:footnoteReference w:id="28"/>
      </w:r>
      <w:r w:rsidRPr="000A4159">
        <w:rPr>
          <w:rFonts w:cs="Taher"/>
          <w:vertAlign w:val="superscript"/>
          <w:rtl/>
        </w:rPr>
        <w:t>)</w:t>
      </w:r>
      <w:r w:rsidRPr="00822CE9">
        <w:rPr>
          <w:rtl/>
        </w:rPr>
        <w:t xml:space="preserve">، </w:t>
      </w:r>
      <w:r w:rsidRPr="00822CE9">
        <w:rPr>
          <w:rFonts w:hint="cs"/>
          <w:rtl/>
        </w:rPr>
        <w:t>أليس سكوت المعارضين عن ظلم الظالم إعانة له وخدمة يرتاح بها حكمه ويمتدّ بها سلطانه</w:t>
      </w:r>
      <w:r w:rsidR="002F4EB2">
        <w:rPr>
          <w:rFonts w:hint="cs"/>
          <w:rtl/>
        </w:rPr>
        <w:t>؟!</w:t>
      </w:r>
      <w:r w:rsidRPr="00822CE9">
        <w:rPr>
          <w:rFonts w:hint="cs"/>
          <w:rtl/>
        </w:rPr>
        <w:t xml:space="preserve"> فكيف يكون تقديم دواة وقلم للظالم حرام</w:t>
      </w:r>
      <w:r w:rsidR="002F4EB2">
        <w:rPr>
          <w:rFonts w:hint="cs"/>
          <w:rtl/>
        </w:rPr>
        <w:t>،</w:t>
      </w:r>
      <w:r w:rsidRPr="00822CE9">
        <w:rPr>
          <w:rFonts w:hint="cs"/>
          <w:rtl/>
        </w:rPr>
        <w:t xml:space="preserve"> وهو إعانة له</w:t>
      </w:r>
      <w:r w:rsidR="002F4EB2">
        <w:rPr>
          <w:rFonts w:hint="cs"/>
          <w:rtl/>
        </w:rPr>
        <w:t>،</w:t>
      </w:r>
      <w:r w:rsidRPr="00822CE9">
        <w:rPr>
          <w:rFonts w:hint="cs"/>
          <w:rtl/>
        </w:rPr>
        <w:t xml:space="preserve"> ولا يكون سكوت المعارضين إعانة وخدمة</w:t>
      </w:r>
      <w:r w:rsidR="002F4EB2">
        <w:rPr>
          <w:rFonts w:hint="cs"/>
          <w:rtl/>
        </w:rPr>
        <w:t>؟!</w:t>
      </w:r>
      <w:r w:rsidRPr="00822CE9">
        <w:rPr>
          <w:rFonts w:hint="cs"/>
          <w:rtl/>
        </w:rPr>
        <w:t xml:space="preserve"> إنّ الفهم الحرفي لنصوص الإعانة يصوّرها لنا فعلاً، فيما قد تكون سكوتاً وسلباً.</w:t>
      </w:r>
    </w:p>
    <w:p w14:paraId="62E44228" w14:textId="77777777" w:rsidR="000A4159" w:rsidRPr="00822CE9" w:rsidRDefault="000A4159" w:rsidP="001F286B">
      <w:pPr>
        <w:rPr>
          <w:rtl/>
        </w:rPr>
      </w:pPr>
      <w:r w:rsidRPr="002F4EB2">
        <w:rPr>
          <w:rFonts w:hint="cs"/>
          <w:b/>
          <w:bCs/>
          <w:rtl/>
        </w:rPr>
        <w:t>وهذا الوجه في الاستدلال يختلف عن الدليل الثاني المتقد</w:t>
      </w:r>
      <w:r w:rsidR="002F4EB2">
        <w:rPr>
          <w:rFonts w:hint="cs"/>
          <w:b/>
          <w:bCs/>
          <w:rtl/>
        </w:rPr>
        <w:t>ّ</w:t>
      </w:r>
      <w:r w:rsidRPr="002F4EB2">
        <w:rPr>
          <w:rFonts w:hint="cs"/>
          <w:b/>
          <w:bCs/>
          <w:rtl/>
        </w:rPr>
        <w:t>م،</w:t>
      </w:r>
      <w:r w:rsidRPr="00822CE9">
        <w:rPr>
          <w:rFonts w:hint="cs"/>
          <w:rtl/>
        </w:rPr>
        <w:t xml:space="preserve"> وهو حرمة الركون، من حيث إن</w:t>
      </w:r>
      <w:r w:rsidR="002F4EB2">
        <w:rPr>
          <w:rFonts w:hint="cs"/>
          <w:rtl/>
        </w:rPr>
        <w:t>ّ</w:t>
      </w:r>
      <w:r w:rsidRPr="00822CE9">
        <w:rPr>
          <w:rFonts w:hint="cs"/>
          <w:rtl/>
        </w:rPr>
        <w:t xml:space="preserve"> مفهوم الإعانة يختلف عن مفهوم الركون، </w:t>
      </w:r>
      <w:r w:rsidR="002F4EB2">
        <w:rPr>
          <w:rFonts w:hint="cs"/>
          <w:rtl/>
        </w:rPr>
        <w:t xml:space="preserve">فيكون تقريب الاستدلال مختلفاً، إضافة إلى أنّ المستند هناك </w:t>
      </w:r>
      <w:r w:rsidRPr="00822CE9">
        <w:rPr>
          <w:rFonts w:hint="cs"/>
          <w:rtl/>
        </w:rPr>
        <w:t xml:space="preserve">عمدته الدليل القرآني، فيما المستند الأساس هنا هو </w:t>
      </w:r>
      <w:r w:rsidR="002F4EB2">
        <w:rPr>
          <w:rFonts w:hint="cs"/>
          <w:rtl/>
        </w:rPr>
        <w:t>النصوص الحديثيّة</w:t>
      </w:r>
      <w:r w:rsidRPr="00822CE9">
        <w:rPr>
          <w:rFonts w:hint="cs"/>
          <w:rtl/>
        </w:rPr>
        <w:t>، والتي لن نبحث في سندها ودلالتها منفردة</w:t>
      </w:r>
      <w:r w:rsidR="002F4EB2">
        <w:rPr>
          <w:rFonts w:hint="cs"/>
          <w:rtl/>
        </w:rPr>
        <w:t>ً، كي لا نخرج عن أصل البحث.</w:t>
      </w:r>
    </w:p>
    <w:p w14:paraId="69CADEF5" w14:textId="77777777" w:rsidR="000A4159" w:rsidRPr="00822CE9" w:rsidRDefault="000A4159" w:rsidP="001F286B">
      <w:pPr>
        <w:pStyle w:val="normal930"/>
        <w:rPr>
          <w:rtl/>
        </w:rPr>
      </w:pPr>
      <w:r w:rsidRPr="00654551">
        <w:rPr>
          <w:rFonts w:hint="cs"/>
          <w:b/>
          <w:bCs/>
          <w:rtl/>
        </w:rPr>
        <w:t xml:space="preserve">ومن الطبيعي هنا أن </w:t>
      </w:r>
      <w:r w:rsidR="002F4EB2" w:rsidRPr="00654551">
        <w:rPr>
          <w:rFonts w:hint="cs"/>
          <w:b/>
          <w:bCs/>
          <w:rtl/>
        </w:rPr>
        <w:t>ت</w:t>
      </w:r>
      <w:r w:rsidRPr="00654551">
        <w:rPr>
          <w:rFonts w:hint="cs"/>
          <w:b/>
          <w:bCs/>
          <w:rtl/>
        </w:rPr>
        <w:t xml:space="preserve">ترك </w:t>
      </w:r>
      <w:r w:rsidR="00654551">
        <w:rPr>
          <w:rFonts w:hint="cs"/>
          <w:b/>
          <w:bCs/>
          <w:rtl/>
        </w:rPr>
        <w:t xml:space="preserve">رؤية </w:t>
      </w:r>
      <w:r w:rsidRPr="00654551">
        <w:rPr>
          <w:rFonts w:hint="cs"/>
          <w:b/>
          <w:bCs/>
          <w:rtl/>
        </w:rPr>
        <w:t>الفقيه في مسألة إعانة الظالمين أثراً على بحثنا هنا،</w:t>
      </w:r>
      <w:r w:rsidRPr="00822CE9">
        <w:rPr>
          <w:rFonts w:hint="cs"/>
          <w:rtl/>
        </w:rPr>
        <w:t xml:space="preserve"> فإذا</w:t>
      </w:r>
      <w:r w:rsidR="002F4EB2">
        <w:rPr>
          <w:rFonts w:hint="cs"/>
          <w:rtl/>
        </w:rPr>
        <w:t xml:space="preserve"> </w:t>
      </w:r>
      <w:r w:rsidRPr="00822CE9">
        <w:rPr>
          <w:rFonts w:hint="cs"/>
          <w:rtl/>
        </w:rPr>
        <w:t>خرج الفقيه بنظر</w:t>
      </w:r>
      <w:r w:rsidR="002F4EB2">
        <w:rPr>
          <w:rFonts w:hint="cs"/>
          <w:rtl/>
        </w:rPr>
        <w:t xml:space="preserve">يّةٍ </w:t>
      </w:r>
      <w:r w:rsidRPr="00822CE9">
        <w:rPr>
          <w:rFonts w:hint="cs"/>
          <w:rtl/>
        </w:rPr>
        <w:t>هناك ترى حرمة إعانة الظالم مطلقاً، في أمر</w:t>
      </w:r>
      <w:r w:rsidR="002F4EB2">
        <w:rPr>
          <w:rFonts w:hint="cs"/>
          <w:rtl/>
        </w:rPr>
        <w:t>ٍ ح</w:t>
      </w:r>
      <w:r w:rsidRPr="00822CE9">
        <w:rPr>
          <w:rFonts w:hint="cs"/>
          <w:rtl/>
        </w:rPr>
        <w:t>لال</w:t>
      </w:r>
      <w:r w:rsidR="002F4EB2">
        <w:rPr>
          <w:rFonts w:hint="cs"/>
          <w:rtl/>
        </w:rPr>
        <w:t>ٍ</w:t>
      </w:r>
      <w:r w:rsidRPr="00822CE9">
        <w:rPr>
          <w:rFonts w:hint="cs"/>
          <w:rtl/>
        </w:rPr>
        <w:t xml:space="preserve"> أو حرام، ينفتح عنده وجه الاستدلال هنا، أم</w:t>
      </w:r>
      <w:r w:rsidR="002F4EB2">
        <w:rPr>
          <w:rFonts w:hint="cs"/>
          <w:rtl/>
        </w:rPr>
        <w:t>ّ</w:t>
      </w:r>
      <w:r w:rsidRPr="00822CE9">
        <w:rPr>
          <w:rFonts w:hint="cs"/>
          <w:rtl/>
        </w:rPr>
        <w:t>ا إذا كان يرى حرمة الإعانة في الأمر الحرام فقط، كما ذهب إليه بعض الفقهاء، أشكل هذا الاستدلال، فإن</w:t>
      </w:r>
      <w:r w:rsidR="002F4EB2">
        <w:rPr>
          <w:rFonts w:hint="cs"/>
          <w:rtl/>
        </w:rPr>
        <w:t>ّ</w:t>
      </w:r>
      <w:r w:rsidRPr="00822CE9">
        <w:rPr>
          <w:rFonts w:hint="cs"/>
          <w:rtl/>
        </w:rPr>
        <w:t xml:space="preserve"> مجر</w:t>
      </w:r>
      <w:r w:rsidR="002F4EB2">
        <w:rPr>
          <w:rFonts w:hint="cs"/>
          <w:rtl/>
        </w:rPr>
        <w:t>ّد السكوت ـ بما هو هو ـ ليس أ</w:t>
      </w:r>
      <w:r w:rsidRPr="00822CE9">
        <w:rPr>
          <w:rFonts w:hint="cs"/>
          <w:rtl/>
        </w:rPr>
        <w:t>مراً حراماً، كما لا إعانة فيه على حرام</w:t>
      </w:r>
      <w:r w:rsidR="002F4EB2">
        <w:rPr>
          <w:rFonts w:hint="cs"/>
          <w:rtl/>
        </w:rPr>
        <w:t>ٍ</w:t>
      </w:r>
      <w:r w:rsidRPr="00822CE9">
        <w:rPr>
          <w:rFonts w:hint="cs"/>
          <w:rtl/>
        </w:rPr>
        <w:t xml:space="preserve"> بعينه</w:t>
      </w:r>
      <w:r w:rsidR="002F4EB2">
        <w:rPr>
          <w:rFonts w:hint="cs"/>
          <w:rtl/>
        </w:rPr>
        <w:t xml:space="preserve">، ما لم نقل بأنّه </w:t>
      </w:r>
      <w:r w:rsidRPr="00822CE9">
        <w:rPr>
          <w:rFonts w:hint="cs"/>
          <w:rtl/>
        </w:rPr>
        <w:t>إعانة على بقاء حكمه، إلا أن</w:t>
      </w:r>
      <w:r w:rsidR="002F4EB2">
        <w:rPr>
          <w:rFonts w:hint="cs"/>
          <w:rtl/>
        </w:rPr>
        <w:t>ّ</w:t>
      </w:r>
      <w:r w:rsidRPr="00822CE9">
        <w:rPr>
          <w:rFonts w:hint="cs"/>
          <w:rtl/>
        </w:rPr>
        <w:t xml:space="preserve"> الذي يقول بتخصيص الإعانة بالحرام يخرج هذه الصورة، وإلا كان خلف التخصيص، إذ كل</w:t>
      </w:r>
      <w:r w:rsidR="002F4EB2">
        <w:rPr>
          <w:rFonts w:hint="cs"/>
          <w:rtl/>
        </w:rPr>
        <w:t>ّ</w:t>
      </w:r>
      <w:r w:rsidRPr="00822CE9">
        <w:rPr>
          <w:rFonts w:hint="cs"/>
          <w:rtl/>
        </w:rPr>
        <w:t xml:space="preserve"> إعانة ستكون على حرام حينئذ، وتفصيل مباحث إعانة الظالمين موكول إلى محلّه</w:t>
      </w:r>
      <w:r w:rsidR="002F4EB2">
        <w:rPr>
          <w:rFonts w:hint="cs"/>
          <w:rtl/>
        </w:rPr>
        <w:t>، وقد أشرنا سابقاً لعدم وجود تحريم كلّي في هذا الصدد</w:t>
      </w:r>
      <w:r w:rsidRPr="00822CE9">
        <w:rPr>
          <w:rFonts w:hint="cs"/>
          <w:rtl/>
        </w:rPr>
        <w:t>.</w:t>
      </w:r>
    </w:p>
    <w:p w14:paraId="26D84275" w14:textId="77777777" w:rsidR="000A4159" w:rsidRPr="002F4EB2" w:rsidRDefault="000A4159" w:rsidP="00A079D6">
      <w:pPr>
        <w:spacing w:line="214" w:lineRule="auto"/>
        <w:rPr>
          <w:b/>
          <w:bCs/>
          <w:rtl/>
        </w:rPr>
      </w:pPr>
      <w:r w:rsidRPr="002F4EB2">
        <w:rPr>
          <w:rFonts w:hint="cs"/>
          <w:b/>
          <w:bCs/>
          <w:rtl/>
        </w:rPr>
        <w:t>وعلى أي</w:t>
      </w:r>
      <w:r w:rsidR="002F4EB2">
        <w:rPr>
          <w:rFonts w:hint="cs"/>
          <w:b/>
          <w:bCs/>
          <w:rtl/>
        </w:rPr>
        <w:t>ّ</w:t>
      </w:r>
      <w:r w:rsidRPr="002F4EB2">
        <w:rPr>
          <w:rFonts w:hint="cs"/>
          <w:b/>
          <w:bCs/>
          <w:rtl/>
        </w:rPr>
        <w:t>ة حال، فهذا الوجه غير تام</w:t>
      </w:r>
      <w:r w:rsidR="00062269">
        <w:rPr>
          <w:rFonts w:hint="cs"/>
          <w:b/>
          <w:bCs/>
          <w:rtl/>
        </w:rPr>
        <w:t>ّ؛ وذلك</w:t>
      </w:r>
      <w:r w:rsidRPr="002F4EB2">
        <w:rPr>
          <w:rFonts w:hint="cs"/>
          <w:b/>
          <w:bCs/>
          <w:rtl/>
        </w:rPr>
        <w:t>:</w:t>
      </w:r>
    </w:p>
    <w:p w14:paraId="517A5A18" w14:textId="77777777" w:rsidR="004209D7" w:rsidRDefault="000A4159" w:rsidP="001F286B">
      <w:pPr>
        <w:pStyle w:val="normal930"/>
        <w:rPr>
          <w:rtl/>
        </w:rPr>
      </w:pPr>
      <w:r w:rsidRPr="002F4EB2">
        <w:rPr>
          <w:rFonts w:hint="cs"/>
          <w:b/>
          <w:bCs/>
          <w:rtl/>
        </w:rPr>
        <w:t>أو</w:t>
      </w:r>
      <w:r w:rsidR="00062269">
        <w:rPr>
          <w:rFonts w:hint="cs"/>
          <w:b/>
          <w:bCs/>
          <w:rtl/>
        </w:rPr>
        <w:t>ّ</w:t>
      </w:r>
      <w:r w:rsidRPr="002F4EB2">
        <w:rPr>
          <w:rFonts w:hint="cs"/>
          <w:b/>
          <w:bCs/>
          <w:rtl/>
        </w:rPr>
        <w:t>لاً:</w:t>
      </w:r>
      <w:r w:rsidRPr="00822CE9">
        <w:rPr>
          <w:rFonts w:hint="cs"/>
          <w:rtl/>
        </w:rPr>
        <w:t xml:space="preserve"> </w:t>
      </w:r>
      <w:r w:rsidR="00062269">
        <w:rPr>
          <w:rFonts w:hint="cs"/>
          <w:rtl/>
        </w:rPr>
        <w:t>إنّ</w:t>
      </w:r>
      <w:r w:rsidRPr="00822CE9">
        <w:rPr>
          <w:rFonts w:hint="cs"/>
          <w:rtl/>
        </w:rPr>
        <w:t xml:space="preserve"> الظاهر من مراجعة الروايات في باب إعانة الظالمين </w:t>
      </w:r>
      <w:r w:rsidR="00654551" w:rsidRPr="00822CE9">
        <w:rPr>
          <w:rFonts w:hint="cs"/>
          <w:rtl/>
        </w:rPr>
        <w:t xml:space="preserve">ـ </w:t>
      </w:r>
      <w:r w:rsidR="00654551">
        <w:rPr>
          <w:rFonts w:hint="cs"/>
          <w:rtl/>
        </w:rPr>
        <w:t xml:space="preserve">لا </w:t>
      </w:r>
      <w:r w:rsidR="00654551" w:rsidRPr="00822CE9">
        <w:rPr>
          <w:rFonts w:hint="cs"/>
          <w:rtl/>
        </w:rPr>
        <w:t>سيما التام</w:t>
      </w:r>
      <w:r w:rsidR="00654551">
        <w:rPr>
          <w:rFonts w:hint="cs"/>
          <w:rtl/>
        </w:rPr>
        <w:t>ّ</w:t>
      </w:r>
      <w:r w:rsidR="00654551" w:rsidRPr="00822CE9">
        <w:rPr>
          <w:rFonts w:hint="cs"/>
          <w:rtl/>
        </w:rPr>
        <w:t xml:space="preserve"> سنداً </w:t>
      </w:r>
      <w:r w:rsidR="00654551">
        <w:rPr>
          <w:rFonts w:hint="cs"/>
          <w:rtl/>
        </w:rPr>
        <w:t xml:space="preserve">منها </w:t>
      </w:r>
      <w:r w:rsidR="00654551" w:rsidRPr="00822CE9">
        <w:rPr>
          <w:rFonts w:hint="cs"/>
          <w:rtl/>
        </w:rPr>
        <w:t xml:space="preserve">ـ </w:t>
      </w:r>
      <w:r w:rsidRPr="00822CE9">
        <w:rPr>
          <w:rFonts w:hint="cs"/>
          <w:rtl/>
        </w:rPr>
        <w:t>أن</w:t>
      </w:r>
      <w:r w:rsidR="00062269">
        <w:rPr>
          <w:rFonts w:hint="cs"/>
          <w:rtl/>
        </w:rPr>
        <w:t>ّ</w:t>
      </w:r>
      <w:r w:rsidRPr="00822CE9">
        <w:rPr>
          <w:rFonts w:hint="cs"/>
          <w:rtl/>
        </w:rPr>
        <w:t xml:space="preserve">ها ناظرة إلى الإعانة بمعنى الفعل الإيجابي الذي يقوم به الإنسان فيساعد الظالم في ذلك، </w:t>
      </w:r>
      <w:r w:rsidR="00062269">
        <w:rPr>
          <w:rFonts w:hint="cs"/>
          <w:rtl/>
        </w:rPr>
        <w:t xml:space="preserve">دون </w:t>
      </w:r>
      <w:r w:rsidRPr="00822CE9">
        <w:rPr>
          <w:rFonts w:hint="cs"/>
          <w:rtl/>
        </w:rPr>
        <w:t>الفعل السلبي الذي هو عدم فعل</w:t>
      </w:r>
      <w:r w:rsidR="00654551">
        <w:rPr>
          <w:rFonts w:hint="cs"/>
          <w:rtl/>
        </w:rPr>
        <w:t>ٍ</w:t>
      </w:r>
      <w:r w:rsidRPr="00822CE9">
        <w:rPr>
          <w:rFonts w:hint="cs"/>
          <w:rtl/>
        </w:rPr>
        <w:t xml:space="preserve"> في الحقيقة</w:t>
      </w:r>
      <w:r w:rsidR="004209D7">
        <w:rPr>
          <w:rFonts w:hint="cs"/>
          <w:rtl/>
        </w:rPr>
        <w:t>.</w:t>
      </w:r>
    </w:p>
    <w:p w14:paraId="5DDF3185" w14:textId="77777777" w:rsidR="00654551" w:rsidRDefault="000A4159" w:rsidP="004209D7">
      <w:pPr>
        <w:spacing w:line="214" w:lineRule="auto"/>
        <w:rPr>
          <w:rtl/>
        </w:rPr>
      </w:pPr>
      <w:r w:rsidRPr="004209D7">
        <w:rPr>
          <w:rFonts w:hint="cs"/>
          <w:b/>
          <w:bCs/>
          <w:rtl/>
        </w:rPr>
        <w:t>ففي خبر حريز قال:</w:t>
      </w:r>
      <w:r w:rsidRPr="00822CE9">
        <w:rPr>
          <w:rFonts w:hint="cs"/>
          <w:rtl/>
        </w:rPr>
        <w:t xml:space="preserve"> سمعت أبا عبد الله</w:t>
      </w:r>
      <w:r w:rsidR="009A1626" w:rsidRPr="00822CE9">
        <w:rPr>
          <w:rFonts w:hint="cs"/>
          <w:rtl/>
        </w:rPr>
        <w:t>×</w:t>
      </w:r>
      <w:r w:rsidRPr="00822CE9">
        <w:rPr>
          <w:rFonts w:hint="cs"/>
          <w:rtl/>
        </w:rPr>
        <w:t xml:space="preserve"> يقول: «اتقوا الله وصونوا دينكم بالورع.. إن</w:t>
      </w:r>
      <w:r w:rsidR="00062269">
        <w:rPr>
          <w:rFonts w:hint="cs"/>
          <w:rtl/>
        </w:rPr>
        <w:t>ّ</w:t>
      </w:r>
      <w:r w:rsidRPr="00822CE9">
        <w:rPr>
          <w:rFonts w:hint="cs"/>
          <w:rtl/>
        </w:rPr>
        <w:t>ه من خضع لصاحب سلطان ولمن يخالفه على دينه طلباً لما في يديه من دنياه أخمله الله عز وجل ومقته عليه، ووكله إليه، فإن هو غلب على شيء</w:t>
      </w:r>
      <w:r w:rsidR="00062269">
        <w:rPr>
          <w:rFonts w:hint="cs"/>
          <w:rtl/>
        </w:rPr>
        <w:t>ٍ</w:t>
      </w:r>
      <w:r w:rsidRPr="00822CE9">
        <w:rPr>
          <w:rFonts w:hint="cs"/>
          <w:rtl/>
        </w:rPr>
        <w:t xml:space="preserve"> من دنياه، فصار إليه منه شيء نزع الله جلّ اسمه </w:t>
      </w:r>
      <w:r w:rsidRPr="00822CE9">
        <w:rPr>
          <w:rFonts w:hint="cs"/>
          <w:rtl/>
        </w:rPr>
        <w:lastRenderedPageBreak/>
        <w:t>البركة عنه، ولم يأجره على شيء منه ينفقه في حجّ ولا عتق ولا برّ»</w:t>
      </w:r>
      <w:r w:rsidRPr="000A4159">
        <w:rPr>
          <w:rFonts w:cs="Taher"/>
          <w:vertAlign w:val="superscript"/>
          <w:rtl/>
        </w:rPr>
        <w:t>(</w:t>
      </w:r>
      <w:r w:rsidRPr="000A4159">
        <w:rPr>
          <w:rStyle w:val="FootnoteReference"/>
          <w:rFonts w:cs="Taher"/>
          <w:rtl/>
        </w:rPr>
        <w:footnoteReference w:id="29"/>
      </w:r>
      <w:r w:rsidRPr="000A4159">
        <w:rPr>
          <w:rFonts w:cs="Taher"/>
          <w:vertAlign w:val="superscript"/>
          <w:rtl/>
        </w:rPr>
        <w:t>)</w:t>
      </w:r>
      <w:r w:rsidRPr="00822CE9">
        <w:rPr>
          <w:rtl/>
        </w:rPr>
        <w:t xml:space="preserve">، </w:t>
      </w:r>
      <w:r w:rsidRPr="00822CE9">
        <w:rPr>
          <w:rFonts w:hint="cs"/>
          <w:rtl/>
        </w:rPr>
        <w:t>حيث الظاهر من الرواية أن</w:t>
      </w:r>
      <w:r w:rsidR="00062269">
        <w:rPr>
          <w:rFonts w:hint="cs"/>
          <w:rtl/>
        </w:rPr>
        <w:t>ّ</w:t>
      </w:r>
      <w:r w:rsidRPr="00822CE9">
        <w:rPr>
          <w:rFonts w:hint="cs"/>
          <w:rtl/>
        </w:rPr>
        <w:t xml:space="preserve"> المعين يفعل ذلك طالباً شيئاً من السلطا</w:t>
      </w:r>
      <w:r w:rsidR="00062269">
        <w:rPr>
          <w:rFonts w:hint="cs"/>
          <w:rtl/>
        </w:rPr>
        <w:t>ن</w:t>
      </w:r>
      <w:r w:rsidRPr="00822CE9">
        <w:rPr>
          <w:rFonts w:hint="cs"/>
          <w:rtl/>
        </w:rPr>
        <w:t xml:space="preserve"> يمنحه </w:t>
      </w:r>
      <w:r w:rsidR="00062269">
        <w:rPr>
          <w:rFonts w:hint="cs"/>
          <w:rtl/>
        </w:rPr>
        <w:t>إيّاه</w:t>
      </w:r>
      <w:r w:rsidRPr="00822CE9">
        <w:rPr>
          <w:rFonts w:hint="cs"/>
          <w:rtl/>
        </w:rPr>
        <w:t>، ويأخذ</w:t>
      </w:r>
      <w:r w:rsidR="00062269">
        <w:rPr>
          <w:rFonts w:hint="cs"/>
          <w:rtl/>
        </w:rPr>
        <w:t>ه منه، كما أنّ ذيلها واضح في الإ</w:t>
      </w:r>
      <w:r w:rsidRPr="00822CE9">
        <w:rPr>
          <w:rFonts w:hint="cs"/>
          <w:rtl/>
        </w:rPr>
        <w:t>نفاق لمعونة السلطان</w:t>
      </w:r>
      <w:r w:rsidR="00062269">
        <w:rPr>
          <w:rFonts w:hint="cs"/>
          <w:rtl/>
        </w:rPr>
        <w:t>،</w:t>
      </w:r>
      <w:r w:rsidRPr="00822CE9">
        <w:rPr>
          <w:rFonts w:hint="cs"/>
          <w:rtl/>
        </w:rPr>
        <w:t xml:space="preserve"> فيصعب تعدية مثل هذا اللسان إلى حالة السكوت عن الظالم مع عدم تقديم العون له</w:t>
      </w:r>
      <w:r w:rsidR="00062269">
        <w:rPr>
          <w:rFonts w:hint="cs"/>
          <w:rtl/>
        </w:rPr>
        <w:t>.</w:t>
      </w:r>
    </w:p>
    <w:p w14:paraId="567B9D3F" w14:textId="77777777" w:rsidR="000A4159" w:rsidRPr="00822CE9" w:rsidRDefault="000A4159" w:rsidP="00654551">
      <w:pPr>
        <w:spacing w:line="214" w:lineRule="auto"/>
        <w:rPr>
          <w:rtl/>
        </w:rPr>
      </w:pPr>
      <w:r w:rsidRPr="004209D7">
        <w:rPr>
          <w:rFonts w:hint="cs"/>
          <w:b/>
          <w:bCs/>
          <w:rtl/>
        </w:rPr>
        <w:t>ومثل ذلك صحيحة هشام بن سالم</w:t>
      </w:r>
      <w:r w:rsidR="00062269" w:rsidRPr="004209D7">
        <w:rPr>
          <w:rFonts w:hint="cs"/>
          <w:b/>
          <w:bCs/>
          <w:rtl/>
        </w:rPr>
        <w:t>،</w:t>
      </w:r>
      <w:r w:rsidRPr="00822CE9">
        <w:rPr>
          <w:rFonts w:hint="cs"/>
          <w:rtl/>
        </w:rPr>
        <w:t xml:space="preserve"> </w:t>
      </w:r>
      <w:r w:rsidR="00062269">
        <w:rPr>
          <w:rFonts w:hint="cs"/>
          <w:rtl/>
        </w:rPr>
        <w:t>عن أ</w:t>
      </w:r>
      <w:r w:rsidRPr="00822CE9">
        <w:rPr>
          <w:rFonts w:hint="cs"/>
          <w:rtl/>
        </w:rPr>
        <w:t>بي بصير قال: سألت أبا جعفر</w:t>
      </w:r>
      <w:r w:rsidR="009A1626" w:rsidRPr="00822CE9">
        <w:rPr>
          <w:rFonts w:hint="cs"/>
          <w:rtl/>
        </w:rPr>
        <w:t>×</w:t>
      </w:r>
      <w:r w:rsidRPr="00822CE9">
        <w:rPr>
          <w:rFonts w:hint="cs"/>
          <w:rtl/>
        </w:rPr>
        <w:t xml:space="preserve"> عن أعمالهم، فقال لي: </w:t>
      </w:r>
      <w:r w:rsidR="00062269">
        <w:rPr>
          <w:rFonts w:hint="eastAsia"/>
          <w:rtl/>
        </w:rPr>
        <w:t>«</w:t>
      </w:r>
      <w:r w:rsidRPr="00822CE9">
        <w:rPr>
          <w:rFonts w:hint="cs"/>
          <w:rtl/>
        </w:rPr>
        <w:t>يا أبا محمد، لا</w:t>
      </w:r>
      <w:r w:rsidR="00062269">
        <w:rPr>
          <w:rFonts w:hint="cs"/>
          <w:rtl/>
        </w:rPr>
        <w:t>،</w:t>
      </w:r>
      <w:r w:rsidRPr="00822CE9">
        <w:rPr>
          <w:rFonts w:hint="cs"/>
          <w:rtl/>
        </w:rPr>
        <w:t xml:space="preserve"> ولا مدّة قلم، إنّ أحدهم لا يصيب من دنياهم شيئاً إلا أصابوا من دينه مثله..»</w:t>
      </w:r>
      <w:r w:rsidRPr="000A4159">
        <w:rPr>
          <w:rFonts w:cs="Taher"/>
          <w:vertAlign w:val="superscript"/>
          <w:rtl/>
        </w:rPr>
        <w:t>(</w:t>
      </w:r>
      <w:r w:rsidRPr="000A4159">
        <w:rPr>
          <w:rStyle w:val="FootnoteReference"/>
          <w:rFonts w:cs="Taher"/>
          <w:rtl/>
        </w:rPr>
        <w:footnoteReference w:id="30"/>
      </w:r>
      <w:r w:rsidRPr="000A4159">
        <w:rPr>
          <w:rFonts w:cs="Taher"/>
          <w:vertAlign w:val="superscript"/>
          <w:rtl/>
        </w:rPr>
        <w:t>)</w:t>
      </w:r>
      <w:r w:rsidRPr="00822CE9">
        <w:rPr>
          <w:rtl/>
        </w:rPr>
        <w:t xml:space="preserve">. </w:t>
      </w:r>
      <w:r w:rsidRPr="00822CE9">
        <w:rPr>
          <w:rFonts w:hint="cs"/>
          <w:rtl/>
        </w:rPr>
        <w:t>فهي ظاهرة في السؤال عن أعمالهم</w:t>
      </w:r>
      <w:r w:rsidR="00FB2973">
        <w:rPr>
          <w:rFonts w:hint="cs"/>
          <w:rtl/>
        </w:rPr>
        <w:t>،</w:t>
      </w:r>
      <w:r w:rsidRPr="00822CE9">
        <w:rPr>
          <w:rFonts w:hint="cs"/>
          <w:rtl/>
        </w:rPr>
        <w:t xml:space="preserve"> أي أخذ الوظيفة عندهم والعمل لهم، وقد كان جواب الإمام واضحاً أيضاً في النهي أن يطلب من دنياهم ش</w:t>
      </w:r>
      <w:r w:rsidR="00FB2973">
        <w:rPr>
          <w:rFonts w:hint="cs"/>
          <w:rtl/>
        </w:rPr>
        <w:t>يئاً</w:t>
      </w:r>
      <w:r w:rsidRPr="00822CE9">
        <w:rPr>
          <w:rFonts w:hint="cs"/>
          <w:rtl/>
        </w:rPr>
        <w:t>، وهذا كلّه يصعب تعديته إلى حالة السكوت والعزلة.</w:t>
      </w:r>
    </w:p>
    <w:p w14:paraId="5F4C633C" w14:textId="77777777" w:rsidR="004209D7" w:rsidRDefault="000A4159" w:rsidP="001F286B">
      <w:pPr>
        <w:pStyle w:val="normal930"/>
        <w:rPr>
          <w:rtl/>
        </w:rPr>
      </w:pPr>
      <w:r w:rsidRPr="004209D7">
        <w:rPr>
          <w:rFonts w:hint="cs"/>
          <w:b/>
          <w:bCs/>
          <w:rtl/>
        </w:rPr>
        <w:t>ومثله صحيح</w:t>
      </w:r>
      <w:r w:rsidR="00FB2973" w:rsidRPr="004209D7">
        <w:rPr>
          <w:rFonts w:hint="cs"/>
          <w:b/>
          <w:bCs/>
          <w:rtl/>
        </w:rPr>
        <w:t>ة</w:t>
      </w:r>
      <w:r w:rsidRPr="004209D7">
        <w:rPr>
          <w:rFonts w:hint="cs"/>
          <w:b/>
          <w:bCs/>
          <w:rtl/>
        </w:rPr>
        <w:t xml:space="preserve"> يونس بن يعقوب</w:t>
      </w:r>
      <w:r w:rsidR="00FB2973" w:rsidRPr="004209D7">
        <w:rPr>
          <w:rFonts w:hint="cs"/>
          <w:b/>
          <w:bCs/>
          <w:rtl/>
        </w:rPr>
        <w:t>،</w:t>
      </w:r>
      <w:r w:rsidRPr="004209D7">
        <w:rPr>
          <w:rFonts w:hint="cs"/>
          <w:b/>
          <w:bCs/>
          <w:rtl/>
        </w:rPr>
        <w:t xml:space="preserve"> </w:t>
      </w:r>
      <w:r w:rsidRPr="00822CE9">
        <w:rPr>
          <w:rFonts w:hint="cs"/>
          <w:rtl/>
        </w:rPr>
        <w:t>قال: قال لي أبو عبد الله</w:t>
      </w:r>
      <w:r w:rsidR="009A1626" w:rsidRPr="00822CE9">
        <w:rPr>
          <w:rFonts w:hint="cs"/>
          <w:rtl/>
        </w:rPr>
        <w:t>×</w:t>
      </w:r>
      <w:r w:rsidRPr="00822CE9">
        <w:rPr>
          <w:rFonts w:hint="cs"/>
          <w:rtl/>
        </w:rPr>
        <w:t>: «لا تعنهم على بناء مسجد»</w:t>
      </w:r>
      <w:r w:rsidRPr="000A4159">
        <w:rPr>
          <w:rFonts w:cs="Taher"/>
          <w:vertAlign w:val="superscript"/>
          <w:rtl/>
        </w:rPr>
        <w:t>(</w:t>
      </w:r>
      <w:r w:rsidRPr="000A4159">
        <w:rPr>
          <w:rStyle w:val="FootnoteReference"/>
          <w:rFonts w:cs="Taher"/>
          <w:rtl/>
        </w:rPr>
        <w:footnoteReference w:id="31"/>
      </w:r>
      <w:r w:rsidRPr="000A4159">
        <w:rPr>
          <w:rFonts w:cs="Taher"/>
          <w:vertAlign w:val="superscript"/>
          <w:rtl/>
        </w:rPr>
        <w:t>)</w:t>
      </w:r>
      <w:r w:rsidRPr="00822CE9">
        <w:rPr>
          <w:rtl/>
        </w:rPr>
        <w:t xml:space="preserve">، </w:t>
      </w:r>
      <w:r w:rsidRPr="00822CE9">
        <w:rPr>
          <w:rFonts w:hint="cs"/>
          <w:rtl/>
        </w:rPr>
        <w:t>فهي ظاهرة في الفعل الإي</w:t>
      </w:r>
      <w:r w:rsidR="004209D7">
        <w:rPr>
          <w:rFonts w:hint="cs"/>
          <w:rtl/>
        </w:rPr>
        <w:t>جابي ولو كان في حدّ نفسه حلالاً.</w:t>
      </w:r>
    </w:p>
    <w:p w14:paraId="1087DD7A" w14:textId="77777777" w:rsidR="00C15FF3" w:rsidRDefault="000A4159" w:rsidP="004209D7">
      <w:pPr>
        <w:spacing w:line="214" w:lineRule="auto"/>
        <w:rPr>
          <w:rtl/>
        </w:rPr>
      </w:pPr>
      <w:r w:rsidRPr="004209D7">
        <w:rPr>
          <w:rFonts w:hint="cs"/>
          <w:b/>
          <w:bCs/>
          <w:rtl/>
        </w:rPr>
        <w:t xml:space="preserve">وكذلك </w:t>
      </w:r>
      <w:r w:rsidR="00FB2973" w:rsidRPr="004209D7">
        <w:rPr>
          <w:rFonts w:hint="cs"/>
          <w:b/>
          <w:bCs/>
          <w:rtl/>
        </w:rPr>
        <w:t xml:space="preserve">خبر </w:t>
      </w:r>
      <w:r w:rsidRPr="004209D7">
        <w:rPr>
          <w:rFonts w:hint="cs"/>
          <w:b/>
          <w:bCs/>
          <w:rtl/>
        </w:rPr>
        <w:t>السكوني،</w:t>
      </w:r>
      <w:r w:rsidRPr="00822CE9">
        <w:rPr>
          <w:rFonts w:hint="cs"/>
          <w:rtl/>
        </w:rPr>
        <w:t xml:space="preserve"> عن جعفر بن محم</w:t>
      </w:r>
      <w:r w:rsidR="00FB2973">
        <w:rPr>
          <w:rFonts w:hint="cs"/>
          <w:rtl/>
        </w:rPr>
        <w:t>ّ</w:t>
      </w:r>
      <w:r w:rsidRPr="00822CE9">
        <w:rPr>
          <w:rFonts w:hint="cs"/>
          <w:rtl/>
        </w:rPr>
        <w:t>د، عن آبائه</w:t>
      </w:r>
      <w:r w:rsidR="00FB2973">
        <w:rPr>
          <w:rFonts w:hint="cs"/>
          <w:rtl/>
        </w:rPr>
        <w:t xml:space="preserve"> ـ عليهم السلام ـ</w:t>
      </w:r>
      <w:r w:rsidRPr="00822CE9">
        <w:rPr>
          <w:rFonts w:hint="cs"/>
          <w:rtl/>
        </w:rPr>
        <w:t xml:space="preserve"> قال: قال رسول الله</w:t>
      </w:r>
      <w:r w:rsidR="00FB2973">
        <w:rPr>
          <w:rFonts w:hint="cs"/>
          <w:rtl/>
        </w:rPr>
        <w:t>‘</w:t>
      </w:r>
      <w:r w:rsidRPr="00822CE9">
        <w:rPr>
          <w:rFonts w:hint="cs"/>
          <w:rtl/>
        </w:rPr>
        <w:t>: «إذا كان يوم القيامة نادى مناد</w:t>
      </w:r>
      <w:r w:rsidR="00FB2973">
        <w:rPr>
          <w:rFonts w:hint="cs"/>
          <w:rtl/>
        </w:rPr>
        <w:t>ٍ</w:t>
      </w:r>
      <w:r w:rsidRPr="00822CE9">
        <w:rPr>
          <w:rFonts w:hint="cs"/>
          <w:rtl/>
        </w:rPr>
        <w:t>: أين أعوان الظلمة، ومن لاق لهم دواة، أو ربط كيساً، أو مدّ لهم مدّة قلم، فاحشروهم معهم»</w:t>
      </w:r>
      <w:r w:rsidRPr="000A4159">
        <w:rPr>
          <w:rFonts w:cs="Taher"/>
          <w:vertAlign w:val="superscript"/>
          <w:rtl/>
        </w:rPr>
        <w:t>(</w:t>
      </w:r>
      <w:r w:rsidRPr="000A4159">
        <w:rPr>
          <w:rStyle w:val="FootnoteReference"/>
          <w:rFonts w:cs="Taher"/>
          <w:rtl/>
        </w:rPr>
        <w:footnoteReference w:id="32"/>
      </w:r>
      <w:r w:rsidRPr="000A4159">
        <w:rPr>
          <w:rFonts w:cs="Taher"/>
          <w:vertAlign w:val="superscript"/>
          <w:rtl/>
        </w:rPr>
        <w:t>)</w:t>
      </w:r>
      <w:r w:rsidRPr="00822CE9">
        <w:rPr>
          <w:rtl/>
        </w:rPr>
        <w:t xml:space="preserve">، </w:t>
      </w:r>
      <w:r w:rsidRPr="00822CE9">
        <w:rPr>
          <w:rFonts w:hint="cs"/>
          <w:rtl/>
        </w:rPr>
        <w:t>ونحوه: «ما اقترب عبد من سلطان جائر إلا تباعد من الله..»</w:t>
      </w:r>
      <w:r w:rsidRPr="000A4159">
        <w:rPr>
          <w:rFonts w:cs="Taher"/>
          <w:vertAlign w:val="superscript"/>
          <w:rtl/>
        </w:rPr>
        <w:t>(</w:t>
      </w:r>
      <w:r w:rsidRPr="000A4159">
        <w:rPr>
          <w:rStyle w:val="FootnoteReference"/>
          <w:rFonts w:cs="Taher"/>
          <w:rtl/>
        </w:rPr>
        <w:footnoteReference w:id="33"/>
      </w:r>
      <w:r w:rsidRPr="000A4159">
        <w:rPr>
          <w:rFonts w:cs="Taher"/>
          <w:vertAlign w:val="superscript"/>
          <w:rtl/>
        </w:rPr>
        <w:t>)</w:t>
      </w:r>
      <w:r w:rsidR="00C15FF3">
        <w:rPr>
          <w:rFonts w:hint="cs"/>
          <w:rtl/>
        </w:rPr>
        <w:t>.</w:t>
      </w:r>
    </w:p>
    <w:p w14:paraId="47483B48" w14:textId="77777777" w:rsidR="004209D7" w:rsidRDefault="000A4159" w:rsidP="004209D7">
      <w:pPr>
        <w:spacing w:line="214" w:lineRule="auto"/>
        <w:rPr>
          <w:rtl/>
        </w:rPr>
      </w:pPr>
      <w:r w:rsidRPr="004209D7">
        <w:rPr>
          <w:rFonts w:hint="cs"/>
          <w:b/>
          <w:bCs/>
          <w:rtl/>
        </w:rPr>
        <w:t>وعلى المنوال عينه الروايات التي وردت في مدح الظالمين،</w:t>
      </w:r>
      <w:r w:rsidRPr="00822CE9">
        <w:rPr>
          <w:rFonts w:hint="cs"/>
          <w:rtl/>
        </w:rPr>
        <w:t xml:space="preserve"> والتي رواها الحر</w:t>
      </w:r>
      <w:r w:rsidR="00C15FF3">
        <w:rPr>
          <w:rFonts w:hint="cs"/>
          <w:rtl/>
        </w:rPr>
        <w:t>ّ العاملي في الباب 43 من أ</w:t>
      </w:r>
      <w:r w:rsidRPr="00822CE9">
        <w:rPr>
          <w:rFonts w:hint="cs"/>
          <w:rtl/>
        </w:rPr>
        <w:t>بواب ما يكتسب به</w:t>
      </w:r>
      <w:r w:rsidRPr="000A4159">
        <w:rPr>
          <w:rFonts w:cs="Taher"/>
          <w:vertAlign w:val="superscript"/>
          <w:rtl/>
        </w:rPr>
        <w:t>(</w:t>
      </w:r>
      <w:r w:rsidRPr="000A4159">
        <w:rPr>
          <w:rStyle w:val="FootnoteReference"/>
          <w:rFonts w:cs="Taher"/>
          <w:rtl/>
        </w:rPr>
        <w:footnoteReference w:id="34"/>
      </w:r>
      <w:r w:rsidRPr="000A4159">
        <w:rPr>
          <w:rFonts w:cs="Taher"/>
          <w:vertAlign w:val="superscript"/>
          <w:rtl/>
        </w:rPr>
        <w:t>)</w:t>
      </w:r>
      <w:r w:rsidRPr="00822CE9">
        <w:rPr>
          <w:rtl/>
        </w:rPr>
        <w:t xml:space="preserve">، </w:t>
      </w:r>
      <w:r w:rsidRPr="00822CE9">
        <w:rPr>
          <w:rFonts w:hint="cs"/>
          <w:rtl/>
        </w:rPr>
        <w:t>وما عقده الحر</w:t>
      </w:r>
      <w:r w:rsidR="00C15FF3">
        <w:rPr>
          <w:rFonts w:hint="cs"/>
          <w:rtl/>
        </w:rPr>
        <w:t>ّ أ</w:t>
      </w:r>
      <w:r w:rsidRPr="00822CE9">
        <w:rPr>
          <w:rFonts w:hint="cs"/>
          <w:rtl/>
        </w:rPr>
        <w:t xml:space="preserve">يضاً في الباب 44 من نصوص تحرّم صحبة </w:t>
      </w:r>
      <w:r w:rsidRPr="00822CE9">
        <w:rPr>
          <w:rFonts w:hint="cs"/>
          <w:rtl/>
        </w:rPr>
        <w:lastRenderedPageBreak/>
        <w:t>الظالمين ومحب</w:t>
      </w:r>
      <w:r w:rsidR="00C15FF3">
        <w:rPr>
          <w:rFonts w:hint="cs"/>
          <w:rtl/>
        </w:rPr>
        <w:t>ّ</w:t>
      </w:r>
      <w:r w:rsidRPr="00822CE9">
        <w:rPr>
          <w:rFonts w:hint="cs"/>
          <w:rtl/>
        </w:rPr>
        <w:t>ة بقائهم</w:t>
      </w:r>
      <w:r w:rsidRPr="000A4159">
        <w:rPr>
          <w:rFonts w:cs="Taher"/>
          <w:vertAlign w:val="superscript"/>
          <w:rtl/>
        </w:rPr>
        <w:t>(</w:t>
      </w:r>
      <w:r w:rsidRPr="000A4159">
        <w:rPr>
          <w:rStyle w:val="FootnoteReference"/>
          <w:rFonts w:cs="Taher"/>
          <w:rtl/>
        </w:rPr>
        <w:footnoteReference w:id="35"/>
      </w:r>
      <w:r w:rsidRPr="000A4159">
        <w:rPr>
          <w:rFonts w:cs="Taher"/>
          <w:vertAlign w:val="superscript"/>
          <w:rtl/>
        </w:rPr>
        <w:t>)</w:t>
      </w:r>
      <w:r w:rsidRPr="00822CE9">
        <w:rPr>
          <w:rtl/>
        </w:rPr>
        <w:t xml:space="preserve">، </w:t>
      </w:r>
      <w:r w:rsidRPr="004209D7">
        <w:rPr>
          <w:rFonts w:hint="cs"/>
          <w:b/>
          <w:bCs/>
          <w:rtl/>
        </w:rPr>
        <w:t>أو ما ورد في تحريم الولاية من قبلهم،</w:t>
      </w:r>
      <w:r w:rsidRPr="00822CE9">
        <w:rPr>
          <w:rFonts w:hint="cs"/>
          <w:rtl/>
        </w:rPr>
        <w:t xml:space="preserve"> والذي جمعه العاملي في الباب 45</w:t>
      </w:r>
      <w:r w:rsidRPr="000A4159">
        <w:rPr>
          <w:rFonts w:cs="Taher"/>
          <w:vertAlign w:val="superscript"/>
          <w:rtl/>
        </w:rPr>
        <w:t>(</w:t>
      </w:r>
      <w:r w:rsidRPr="000A4159">
        <w:rPr>
          <w:rStyle w:val="FootnoteReference"/>
          <w:rFonts w:cs="Taher"/>
          <w:rtl/>
        </w:rPr>
        <w:footnoteReference w:id="36"/>
      </w:r>
      <w:r w:rsidRPr="000A4159">
        <w:rPr>
          <w:rFonts w:cs="Taher"/>
          <w:vertAlign w:val="superscript"/>
          <w:rtl/>
        </w:rPr>
        <w:t>)</w:t>
      </w:r>
      <w:r w:rsidR="004209D7">
        <w:rPr>
          <w:rFonts w:hint="cs"/>
          <w:rtl/>
        </w:rPr>
        <w:t>.</w:t>
      </w:r>
    </w:p>
    <w:p w14:paraId="39170835" w14:textId="77777777" w:rsidR="000A4159" w:rsidRPr="00822CE9" w:rsidRDefault="000A4159" w:rsidP="004209D7">
      <w:pPr>
        <w:spacing w:line="214" w:lineRule="auto"/>
        <w:rPr>
          <w:rtl/>
        </w:rPr>
      </w:pPr>
      <w:r w:rsidRPr="004209D7">
        <w:rPr>
          <w:rFonts w:hint="cs"/>
          <w:b/>
          <w:bCs/>
          <w:rtl/>
        </w:rPr>
        <w:t xml:space="preserve">فهذه </w:t>
      </w:r>
      <w:r w:rsidR="00C15FF3" w:rsidRPr="004209D7">
        <w:rPr>
          <w:rFonts w:hint="cs"/>
          <w:b/>
          <w:bCs/>
          <w:rtl/>
        </w:rPr>
        <w:t>كلّها ظاهرة بوضوح في الفعل الإيج</w:t>
      </w:r>
      <w:r w:rsidRPr="004209D7">
        <w:rPr>
          <w:rFonts w:hint="cs"/>
          <w:b/>
          <w:bCs/>
          <w:rtl/>
        </w:rPr>
        <w:t>ابي،</w:t>
      </w:r>
      <w:r w:rsidRPr="00822CE9">
        <w:rPr>
          <w:rFonts w:hint="cs"/>
          <w:rtl/>
        </w:rPr>
        <w:t xml:space="preserve"> ولا تشمل حالة شخص لا يتعاطى مع السلطان ولا يحبّ بقاءه، ولا يتولّى عنده، ولا يصاحبه أو يصبح محسوباً عليه ولا مثل ذلك، ولم نعثر على رواية تام</w:t>
      </w:r>
      <w:r w:rsidR="00C15FF3">
        <w:rPr>
          <w:rFonts w:hint="cs"/>
          <w:rtl/>
        </w:rPr>
        <w:t>ّ</w:t>
      </w:r>
      <w:r w:rsidRPr="00822CE9">
        <w:rPr>
          <w:rFonts w:hint="cs"/>
          <w:rtl/>
        </w:rPr>
        <w:t>ة السند تشمل حالة السكوت، فالاستناد إلى أدلّة حرمة معونة الظالم في غير محلّه.</w:t>
      </w:r>
    </w:p>
    <w:p w14:paraId="43A2A4EE" w14:textId="77777777" w:rsidR="000A4159" w:rsidRPr="00822CE9" w:rsidRDefault="000A4159" w:rsidP="000427FA">
      <w:pPr>
        <w:pStyle w:val="normal84"/>
        <w:rPr>
          <w:rtl/>
        </w:rPr>
      </w:pPr>
      <w:r w:rsidRPr="00C15FF3">
        <w:rPr>
          <w:rFonts w:hint="cs"/>
          <w:b/>
          <w:bCs/>
          <w:rtl/>
        </w:rPr>
        <w:t xml:space="preserve">ثانياً: </w:t>
      </w:r>
      <w:r w:rsidRPr="00822CE9">
        <w:rPr>
          <w:rFonts w:hint="cs"/>
          <w:rtl/>
        </w:rPr>
        <w:t>بقطع النظر عن الملاحظة السابقة، لم تحدّد الروايات ماذا ي</w:t>
      </w:r>
      <w:r w:rsidR="00C15FF3">
        <w:rPr>
          <w:rFonts w:hint="cs"/>
          <w:rtl/>
        </w:rPr>
        <w:t>ُ</w:t>
      </w:r>
      <w:r w:rsidRPr="00822CE9">
        <w:rPr>
          <w:rFonts w:hint="cs"/>
          <w:rtl/>
        </w:rPr>
        <w:t>قصد بالظالم</w:t>
      </w:r>
      <w:r w:rsidR="00C53EA3">
        <w:rPr>
          <w:rFonts w:hint="cs"/>
          <w:rtl/>
        </w:rPr>
        <w:t>.</w:t>
      </w:r>
      <w:r w:rsidRPr="00822CE9">
        <w:rPr>
          <w:rFonts w:hint="cs"/>
          <w:rtl/>
        </w:rPr>
        <w:t xml:space="preserve"> كل</w:t>
      </w:r>
      <w:r w:rsidR="00C15FF3">
        <w:rPr>
          <w:rFonts w:hint="cs"/>
          <w:rtl/>
        </w:rPr>
        <w:t>ّ</w:t>
      </w:r>
      <w:r w:rsidRPr="00822CE9">
        <w:rPr>
          <w:rFonts w:hint="cs"/>
          <w:rtl/>
        </w:rPr>
        <w:t xml:space="preserve"> ما فيها أن</w:t>
      </w:r>
      <w:r w:rsidR="00C15FF3">
        <w:rPr>
          <w:rFonts w:hint="cs"/>
          <w:rtl/>
        </w:rPr>
        <w:t>ّ</w:t>
      </w:r>
      <w:r w:rsidRPr="00822CE9">
        <w:rPr>
          <w:rFonts w:hint="cs"/>
          <w:rtl/>
        </w:rPr>
        <w:t>ها طبقت هذا المفهوم على الخلفاء الأموي</w:t>
      </w:r>
      <w:r w:rsidR="00C15FF3">
        <w:rPr>
          <w:rFonts w:hint="cs"/>
          <w:rtl/>
        </w:rPr>
        <w:t>ّ</w:t>
      </w:r>
      <w:r w:rsidRPr="00822CE9">
        <w:rPr>
          <w:rFonts w:hint="cs"/>
          <w:rtl/>
        </w:rPr>
        <w:t>ين والعباسي</w:t>
      </w:r>
      <w:r w:rsidR="00C15FF3">
        <w:rPr>
          <w:rFonts w:hint="cs"/>
          <w:rtl/>
        </w:rPr>
        <w:t>ّ</w:t>
      </w:r>
      <w:r w:rsidRPr="00822CE9">
        <w:rPr>
          <w:rFonts w:hint="cs"/>
          <w:rtl/>
        </w:rPr>
        <w:t>ين على أبعد تقدير، والشيء المؤك</w:t>
      </w:r>
      <w:r w:rsidR="00C15FF3">
        <w:rPr>
          <w:rFonts w:hint="cs"/>
          <w:rtl/>
        </w:rPr>
        <w:t>ّ</w:t>
      </w:r>
      <w:r w:rsidRPr="00822CE9">
        <w:rPr>
          <w:rFonts w:hint="cs"/>
          <w:rtl/>
        </w:rPr>
        <w:t>د من دلالة ه</w:t>
      </w:r>
      <w:r w:rsidR="00C15FF3">
        <w:rPr>
          <w:rFonts w:hint="cs"/>
          <w:rtl/>
        </w:rPr>
        <w:t>ذ</w:t>
      </w:r>
      <w:r w:rsidRPr="00822CE9">
        <w:rPr>
          <w:rFonts w:hint="cs"/>
          <w:rtl/>
        </w:rPr>
        <w:t>ه النصوص أن</w:t>
      </w:r>
      <w:r w:rsidR="00C15FF3">
        <w:rPr>
          <w:rFonts w:hint="cs"/>
          <w:rtl/>
        </w:rPr>
        <w:t>ّه</w:t>
      </w:r>
      <w:r w:rsidRPr="00822CE9">
        <w:rPr>
          <w:rFonts w:hint="cs"/>
          <w:rtl/>
        </w:rPr>
        <w:t xml:space="preserve"> الظالم لغيره من الحك</w:t>
      </w:r>
      <w:r w:rsidR="00C15FF3">
        <w:rPr>
          <w:rFonts w:hint="cs"/>
          <w:rtl/>
        </w:rPr>
        <w:t>ّ</w:t>
      </w:r>
      <w:r w:rsidRPr="00822CE9">
        <w:rPr>
          <w:rFonts w:hint="cs"/>
          <w:rtl/>
        </w:rPr>
        <w:t xml:space="preserve">ام </w:t>
      </w:r>
      <w:r w:rsidR="00C15FF3">
        <w:rPr>
          <w:rFonts w:hint="cs"/>
          <w:rtl/>
        </w:rPr>
        <w:t xml:space="preserve">ممّن </w:t>
      </w:r>
      <w:r w:rsidRPr="00822CE9">
        <w:rPr>
          <w:rFonts w:hint="cs"/>
          <w:rtl/>
        </w:rPr>
        <w:t>يبطش بشعبه وينك</w:t>
      </w:r>
      <w:r w:rsidR="00C15FF3">
        <w:rPr>
          <w:rFonts w:hint="cs"/>
          <w:rtl/>
        </w:rPr>
        <w:t>ّ</w:t>
      </w:r>
      <w:r w:rsidRPr="00822CE9">
        <w:rPr>
          <w:rFonts w:hint="cs"/>
          <w:rtl/>
        </w:rPr>
        <w:t>ل به ويجور عليه</w:t>
      </w:r>
      <w:r w:rsidR="00C15FF3">
        <w:rPr>
          <w:rFonts w:hint="cs"/>
          <w:rtl/>
        </w:rPr>
        <w:t>م</w:t>
      </w:r>
      <w:r w:rsidRPr="00822CE9">
        <w:rPr>
          <w:rFonts w:hint="cs"/>
          <w:rtl/>
        </w:rPr>
        <w:t>، كما هي الحال مع هاتين الخلافتين في تاريخ المسلمين، ولا أقلّ من أنّ هذا العنوان هو المتبادر في إطلاق الظالم على الحاكم، فإن</w:t>
      </w:r>
      <w:r w:rsidR="00C15FF3">
        <w:rPr>
          <w:rFonts w:hint="cs"/>
          <w:rtl/>
        </w:rPr>
        <w:t>ّ</w:t>
      </w:r>
      <w:r w:rsidRPr="00822CE9">
        <w:rPr>
          <w:rFonts w:hint="cs"/>
          <w:rtl/>
        </w:rPr>
        <w:t xml:space="preserve"> نعت الحاكم بأن</w:t>
      </w:r>
      <w:r w:rsidR="00C15FF3">
        <w:rPr>
          <w:rFonts w:hint="cs"/>
          <w:rtl/>
        </w:rPr>
        <w:t>ّ</w:t>
      </w:r>
      <w:r w:rsidRPr="00822CE9">
        <w:rPr>
          <w:rFonts w:hint="cs"/>
          <w:rtl/>
        </w:rPr>
        <w:t>ه ظالم يفهمه عرف أهل اللغة أن</w:t>
      </w:r>
      <w:r w:rsidR="00C15FF3">
        <w:rPr>
          <w:rFonts w:hint="cs"/>
          <w:rtl/>
        </w:rPr>
        <w:t>ّ</w:t>
      </w:r>
      <w:r w:rsidRPr="00822CE9">
        <w:rPr>
          <w:rFonts w:hint="cs"/>
          <w:rtl/>
        </w:rPr>
        <w:t xml:space="preserve">ه الظلم في الحكم والممارسة مع الناس، </w:t>
      </w:r>
      <w:r w:rsidR="00C15FF3">
        <w:rPr>
          <w:rFonts w:hint="cs"/>
          <w:rtl/>
        </w:rPr>
        <w:t>دون</w:t>
      </w:r>
      <w:r w:rsidRPr="00822CE9">
        <w:rPr>
          <w:rFonts w:hint="cs"/>
          <w:rtl/>
        </w:rPr>
        <w:t xml:space="preserve"> الظلم الشخصي لنفسه بأن يعصي، ولا غير ذلك، </w:t>
      </w:r>
      <w:r w:rsidR="00C15FF3">
        <w:rPr>
          <w:rFonts w:hint="cs"/>
          <w:rtl/>
        </w:rPr>
        <w:t>إلا</w:t>
      </w:r>
      <w:r w:rsidRPr="00822CE9">
        <w:rPr>
          <w:rFonts w:hint="cs"/>
          <w:rtl/>
        </w:rPr>
        <w:t xml:space="preserve"> بشاهد</w:t>
      </w:r>
      <w:r w:rsidR="00C15FF3">
        <w:rPr>
          <w:rFonts w:hint="cs"/>
          <w:rtl/>
        </w:rPr>
        <w:t>ٍ</w:t>
      </w:r>
      <w:r w:rsidRPr="00822CE9">
        <w:rPr>
          <w:rFonts w:hint="cs"/>
          <w:rtl/>
        </w:rPr>
        <w:t xml:space="preserve"> أو قرينة، تماماً كما تقول: زوج ظالم</w:t>
      </w:r>
      <w:r w:rsidR="00C15FF3">
        <w:rPr>
          <w:rFonts w:hint="cs"/>
          <w:rtl/>
        </w:rPr>
        <w:t>،</w:t>
      </w:r>
      <w:r w:rsidRPr="00822CE9">
        <w:rPr>
          <w:rFonts w:hint="cs"/>
          <w:rtl/>
        </w:rPr>
        <w:t xml:space="preserve"> فإن</w:t>
      </w:r>
      <w:r w:rsidR="00C15FF3">
        <w:rPr>
          <w:rFonts w:hint="cs"/>
          <w:rtl/>
        </w:rPr>
        <w:t>ّ السامعين لا يفهمون من ذلك إلا</w:t>
      </w:r>
      <w:r w:rsidRPr="00822CE9">
        <w:rPr>
          <w:rFonts w:hint="cs"/>
          <w:rtl/>
        </w:rPr>
        <w:t xml:space="preserve"> ظلم زوجته، </w:t>
      </w:r>
      <w:r w:rsidR="00C15FF3">
        <w:rPr>
          <w:rFonts w:hint="cs"/>
          <w:rtl/>
        </w:rPr>
        <w:t xml:space="preserve">دون </w:t>
      </w:r>
      <w:r w:rsidRPr="00822CE9">
        <w:rPr>
          <w:rFonts w:hint="cs"/>
          <w:rtl/>
        </w:rPr>
        <w:t xml:space="preserve">ظلم سائر الناس، </w:t>
      </w:r>
      <w:r w:rsidR="00C15FF3">
        <w:rPr>
          <w:rFonts w:hint="cs"/>
          <w:rtl/>
        </w:rPr>
        <w:t>أ</w:t>
      </w:r>
      <w:r w:rsidRPr="00822CE9">
        <w:rPr>
          <w:rFonts w:hint="cs"/>
          <w:rtl/>
        </w:rPr>
        <w:t>و ظلمه لنفسه بالشرك أو المعصية.</w:t>
      </w:r>
    </w:p>
    <w:p w14:paraId="519E29D5" w14:textId="77777777" w:rsidR="000A4159" w:rsidRPr="00822CE9" w:rsidRDefault="000A4159" w:rsidP="000427FA">
      <w:pPr>
        <w:pStyle w:val="normal930"/>
        <w:rPr>
          <w:rtl/>
        </w:rPr>
      </w:pPr>
      <w:r w:rsidRPr="00C53EA3">
        <w:rPr>
          <w:rFonts w:hint="cs"/>
          <w:b/>
          <w:bCs/>
          <w:rtl/>
        </w:rPr>
        <w:t>نعم، بقرينة بعض النصوص</w:t>
      </w:r>
      <w:r w:rsidR="009A1626" w:rsidRPr="00C53EA3">
        <w:rPr>
          <w:rFonts w:hint="cs"/>
          <w:b/>
          <w:bCs/>
          <w:rtl/>
        </w:rPr>
        <w:t xml:space="preserve"> الأخرى نفهم أن</w:t>
      </w:r>
      <w:r w:rsidR="00C15FF3" w:rsidRPr="00C53EA3">
        <w:rPr>
          <w:rFonts w:hint="cs"/>
          <w:b/>
          <w:bCs/>
          <w:rtl/>
        </w:rPr>
        <w:t>ّ</w:t>
      </w:r>
      <w:r w:rsidR="009A1626" w:rsidRPr="00C53EA3">
        <w:rPr>
          <w:rFonts w:hint="cs"/>
          <w:b/>
          <w:bCs/>
          <w:rtl/>
        </w:rPr>
        <w:t xml:space="preserve"> ظلم أهل البيت^</w:t>
      </w:r>
      <w:r w:rsidR="00C15FF3" w:rsidRPr="00C53EA3">
        <w:rPr>
          <w:rFonts w:hint="cs"/>
          <w:b/>
          <w:bCs/>
          <w:rtl/>
        </w:rPr>
        <w:t xml:space="preserve"> مع تنح</w:t>
      </w:r>
      <w:r w:rsidRPr="00C53EA3">
        <w:rPr>
          <w:rFonts w:hint="cs"/>
          <w:b/>
          <w:bCs/>
          <w:rtl/>
        </w:rPr>
        <w:t>يتهم عن منا</w:t>
      </w:r>
      <w:r w:rsidR="00C15FF3" w:rsidRPr="00C53EA3">
        <w:rPr>
          <w:rFonts w:hint="cs"/>
          <w:b/>
          <w:bCs/>
          <w:rtl/>
        </w:rPr>
        <w:t>صب</w:t>
      </w:r>
      <w:r w:rsidRPr="00C53EA3">
        <w:rPr>
          <w:rFonts w:hint="cs"/>
          <w:b/>
          <w:bCs/>
          <w:rtl/>
        </w:rPr>
        <w:t>هم كان له دور في نعتهم هذا،</w:t>
      </w:r>
      <w:r w:rsidRPr="00822CE9">
        <w:rPr>
          <w:rFonts w:hint="cs"/>
          <w:rtl/>
        </w:rPr>
        <w:t xml:space="preserve"> لكنّ هذا لا يحرز تعد</w:t>
      </w:r>
      <w:r w:rsidR="00C15FF3">
        <w:rPr>
          <w:rFonts w:hint="cs"/>
          <w:rtl/>
        </w:rPr>
        <w:t>ّي</w:t>
      </w:r>
      <w:r w:rsidRPr="00822CE9">
        <w:rPr>
          <w:rFonts w:hint="cs"/>
          <w:rtl/>
        </w:rPr>
        <w:t>ه إلى حالة قبول عموم المسلمين بحا</w:t>
      </w:r>
      <w:r w:rsidR="009A1626" w:rsidRPr="00822CE9">
        <w:rPr>
          <w:rFonts w:hint="cs"/>
          <w:rtl/>
        </w:rPr>
        <w:t>كم</w:t>
      </w:r>
      <w:r w:rsidR="00C15FF3">
        <w:rPr>
          <w:rFonts w:hint="cs"/>
          <w:rtl/>
        </w:rPr>
        <w:t>ٍ</w:t>
      </w:r>
      <w:r w:rsidR="009A1626" w:rsidRPr="00822CE9">
        <w:rPr>
          <w:rFonts w:hint="cs"/>
          <w:rtl/>
        </w:rPr>
        <w:t xml:space="preserve"> في عصر عدم حضور </w:t>
      </w:r>
      <w:r w:rsidR="00C53EA3">
        <w:rPr>
          <w:rFonts w:hint="cs"/>
          <w:rtl/>
        </w:rPr>
        <w:t>النبي ولا الإمام،</w:t>
      </w:r>
      <w:r w:rsidRPr="00822CE9">
        <w:rPr>
          <w:rFonts w:hint="cs"/>
          <w:rtl/>
        </w:rPr>
        <w:t xml:space="preserve"> </w:t>
      </w:r>
      <w:r w:rsidR="00C15FF3">
        <w:rPr>
          <w:rFonts w:hint="cs"/>
          <w:rtl/>
        </w:rPr>
        <w:t xml:space="preserve">لا </w:t>
      </w:r>
      <w:r w:rsidRPr="00822CE9">
        <w:rPr>
          <w:rFonts w:hint="cs"/>
          <w:rtl/>
        </w:rPr>
        <w:t>سيما مع عدم ادّعاء الحاكم خلافة المسلمين</w:t>
      </w:r>
      <w:r w:rsidR="00C15FF3">
        <w:rPr>
          <w:rFonts w:hint="cs"/>
          <w:rtl/>
        </w:rPr>
        <w:t>،</w:t>
      </w:r>
      <w:r w:rsidRPr="00822CE9">
        <w:rPr>
          <w:rFonts w:hint="cs"/>
          <w:rtl/>
        </w:rPr>
        <w:t xml:space="preserve"> كما هي الحال في أكثر الدول الإسلامي</w:t>
      </w:r>
      <w:r w:rsidR="00C15FF3">
        <w:rPr>
          <w:rFonts w:hint="cs"/>
          <w:rtl/>
        </w:rPr>
        <w:t>ّ</w:t>
      </w:r>
      <w:r w:rsidRPr="00822CE9">
        <w:rPr>
          <w:rFonts w:hint="cs"/>
          <w:rtl/>
        </w:rPr>
        <w:t>ة في عصرنا.</w:t>
      </w:r>
    </w:p>
    <w:p w14:paraId="3BB7B562" w14:textId="77777777" w:rsidR="000A4159" w:rsidRPr="00822CE9" w:rsidRDefault="000A4159" w:rsidP="000427FA">
      <w:pPr>
        <w:rPr>
          <w:rtl/>
        </w:rPr>
      </w:pPr>
      <w:r w:rsidRPr="00C15FF3">
        <w:rPr>
          <w:rFonts w:hint="cs"/>
          <w:b/>
          <w:bCs/>
          <w:rtl/>
        </w:rPr>
        <w:t xml:space="preserve">ثالثاً: </w:t>
      </w:r>
      <w:r w:rsidRPr="00822CE9">
        <w:rPr>
          <w:rFonts w:hint="cs"/>
          <w:rtl/>
        </w:rPr>
        <w:t>بغض النظر عما سبق، نشكّك في صدق عنوان إعانة الظالم أو محبّة بقائه على من يعارض الحاكم معارضةً سلميةً متواصلة ويعمل بالسبل السلمي</w:t>
      </w:r>
      <w:r w:rsidR="00C15FF3">
        <w:rPr>
          <w:rFonts w:hint="cs"/>
          <w:rtl/>
        </w:rPr>
        <w:t>ّ</w:t>
      </w:r>
      <w:r w:rsidRPr="00822CE9">
        <w:rPr>
          <w:rFonts w:hint="cs"/>
          <w:rtl/>
        </w:rPr>
        <w:t>ة على تغيير النظام أو تصويب انحرافه حتى لو آيس</w:t>
      </w:r>
      <w:r w:rsidR="00C15FF3">
        <w:rPr>
          <w:rFonts w:hint="cs"/>
          <w:rtl/>
        </w:rPr>
        <w:t>َ من التغيير؛</w:t>
      </w:r>
      <w:r w:rsidRPr="00822CE9">
        <w:rPr>
          <w:rFonts w:hint="cs"/>
          <w:rtl/>
        </w:rPr>
        <w:t xml:space="preserve"> إذ يبعد أن يفهم العرف هذه العناوين على مثل هذا المعنو</w:t>
      </w:r>
      <w:r w:rsidR="00C15FF3">
        <w:rPr>
          <w:rFonts w:hint="cs"/>
          <w:rtl/>
        </w:rPr>
        <w:t>َ</w:t>
      </w:r>
      <w:r w:rsidRPr="00822CE9">
        <w:rPr>
          <w:rFonts w:hint="cs"/>
          <w:rtl/>
        </w:rPr>
        <w:t>ن، فهذا أوضح في عدم انطباق هذه العناوين على الساكت عن السلطان الجائر الذي لا يتخذ موقفاً منه، لا سلباً ولا إيجاباً، فهذه الملاحظة تعميق</w:t>
      </w:r>
      <w:r w:rsidR="00C15FF3">
        <w:rPr>
          <w:rFonts w:hint="cs"/>
          <w:rtl/>
        </w:rPr>
        <w:t>ٌ</w:t>
      </w:r>
      <w:r w:rsidRPr="00822CE9">
        <w:rPr>
          <w:rFonts w:hint="cs"/>
          <w:rtl/>
        </w:rPr>
        <w:t xml:space="preserve"> للملاحظة الأولى، </w:t>
      </w:r>
      <w:r w:rsidR="00C53EA3">
        <w:rPr>
          <w:rFonts w:hint="cs"/>
          <w:rtl/>
        </w:rPr>
        <w:t>و</w:t>
      </w:r>
      <w:r w:rsidR="00C15FF3">
        <w:rPr>
          <w:rFonts w:hint="cs"/>
          <w:rtl/>
        </w:rPr>
        <w:t xml:space="preserve">لا </w:t>
      </w:r>
      <w:r w:rsidRPr="00822CE9">
        <w:rPr>
          <w:rFonts w:hint="cs"/>
          <w:rtl/>
        </w:rPr>
        <w:t>سي</w:t>
      </w:r>
      <w:r w:rsidR="00C53EA3">
        <w:rPr>
          <w:rFonts w:hint="cs"/>
          <w:rtl/>
        </w:rPr>
        <w:t>ّ</w:t>
      </w:r>
      <w:r w:rsidRPr="00822CE9">
        <w:rPr>
          <w:rFonts w:hint="cs"/>
          <w:rtl/>
        </w:rPr>
        <w:t xml:space="preserve">ما أنّها تردّ بوضوح أكبر بعض </w:t>
      </w:r>
      <w:r w:rsidR="00C15FF3">
        <w:rPr>
          <w:rFonts w:hint="cs"/>
          <w:rtl/>
        </w:rPr>
        <w:lastRenderedPageBreak/>
        <w:t xml:space="preserve">الروايات </w:t>
      </w:r>
      <w:r w:rsidRPr="00822CE9">
        <w:rPr>
          <w:rFonts w:hint="cs"/>
          <w:rtl/>
        </w:rPr>
        <w:t>التي تنهى عن الرضا بالسلاطين وأعمالهم.</w:t>
      </w:r>
    </w:p>
    <w:p w14:paraId="11B644C0" w14:textId="77777777" w:rsidR="000A4159" w:rsidRPr="00C53EA3" w:rsidRDefault="000A4159" w:rsidP="00C53EA3">
      <w:pPr>
        <w:spacing w:line="214" w:lineRule="auto"/>
        <w:rPr>
          <w:b/>
          <w:bCs/>
          <w:rtl/>
        </w:rPr>
      </w:pPr>
      <w:r w:rsidRPr="00C53EA3">
        <w:rPr>
          <w:rFonts w:hint="cs"/>
          <w:b/>
          <w:bCs/>
          <w:rtl/>
        </w:rPr>
        <w:t>وعليه، فالاستناد إلى أدلّة حرمة إعانة الظالم و</w:t>
      </w:r>
      <w:r w:rsidR="00C53EA3" w:rsidRPr="00C53EA3">
        <w:rPr>
          <w:rFonts w:hint="cs"/>
          <w:b/>
          <w:bCs/>
          <w:rtl/>
        </w:rPr>
        <w:t xml:space="preserve">أمثالها </w:t>
      </w:r>
      <w:r w:rsidRPr="00C53EA3">
        <w:rPr>
          <w:rFonts w:hint="cs"/>
          <w:b/>
          <w:bCs/>
          <w:rtl/>
        </w:rPr>
        <w:t xml:space="preserve">لإثبات وجوب الخروج </w:t>
      </w:r>
      <w:r w:rsidR="00C15FF3" w:rsidRPr="00C53EA3">
        <w:rPr>
          <w:rFonts w:hint="cs"/>
          <w:b/>
          <w:bCs/>
          <w:rtl/>
        </w:rPr>
        <w:t>غير السلّمي ـ ك</w:t>
      </w:r>
      <w:r w:rsidRPr="00C53EA3">
        <w:rPr>
          <w:rFonts w:hint="cs"/>
          <w:b/>
          <w:bCs/>
          <w:rtl/>
        </w:rPr>
        <w:t>المسلّح</w:t>
      </w:r>
      <w:r w:rsidR="00C15FF3" w:rsidRPr="00C53EA3">
        <w:rPr>
          <w:rFonts w:hint="cs"/>
          <w:b/>
          <w:bCs/>
          <w:rtl/>
        </w:rPr>
        <w:t xml:space="preserve"> ـ</w:t>
      </w:r>
      <w:r w:rsidRPr="00C53EA3">
        <w:rPr>
          <w:rFonts w:hint="cs"/>
          <w:b/>
          <w:bCs/>
          <w:rtl/>
        </w:rPr>
        <w:t xml:space="preserve"> ضدّه، غير صحيح، وإذا صحّ ففي حالات نادرة جداً.</w:t>
      </w:r>
    </w:p>
    <w:p w14:paraId="18782C8E" w14:textId="77777777" w:rsidR="00C15FF3" w:rsidRPr="00C15FF3" w:rsidRDefault="00C15FF3" w:rsidP="00BF0865">
      <w:pPr>
        <w:pStyle w:val="Heading2"/>
        <w:rPr>
          <w:rtl/>
        </w:rPr>
      </w:pPr>
      <w:bookmarkStart w:id="28" w:name="_Toc143804104"/>
      <w:bookmarkStart w:id="29" w:name="_Toc238123229"/>
      <w:r>
        <w:rPr>
          <w:rFonts w:hint="cs"/>
          <w:rtl/>
        </w:rPr>
        <w:t xml:space="preserve">8 ـ </w:t>
      </w:r>
      <w:r w:rsidRPr="00C15FF3">
        <w:rPr>
          <w:rFonts w:hint="cs"/>
          <w:rtl/>
        </w:rPr>
        <w:t>مرجعيّ</w:t>
      </w:r>
      <w:r>
        <w:rPr>
          <w:rFonts w:hint="cs"/>
          <w:rtl/>
        </w:rPr>
        <w:t>ة</w:t>
      </w:r>
      <w:r w:rsidRPr="00C15FF3">
        <w:rPr>
          <w:rFonts w:hint="cs"/>
          <w:rtl/>
        </w:rPr>
        <w:t xml:space="preserve"> نصوص وجوب مجاهدة أهل البدع</w:t>
      </w:r>
      <w:r w:rsidR="00783C9F">
        <w:rPr>
          <w:rFonts w:hint="cs"/>
          <w:rtl/>
        </w:rPr>
        <w:t>، نقد المستندات</w:t>
      </w:r>
      <w:bookmarkEnd w:id="28"/>
      <w:bookmarkEnd w:id="29"/>
    </w:p>
    <w:p w14:paraId="5551FCE8" w14:textId="77777777" w:rsidR="000A4159" w:rsidRPr="00822CE9" w:rsidRDefault="000A4159" w:rsidP="000427FA">
      <w:pPr>
        <w:pStyle w:val="normal930"/>
        <w:rPr>
          <w:rtl/>
        </w:rPr>
      </w:pPr>
      <w:r w:rsidRPr="00C15FF3">
        <w:rPr>
          <w:rFonts w:hint="cs"/>
          <w:b/>
          <w:bCs/>
          <w:rtl/>
        </w:rPr>
        <w:t>ثامن</w:t>
      </w:r>
      <w:r w:rsidR="00E92664">
        <w:rPr>
          <w:rFonts w:hint="cs"/>
          <w:b/>
          <w:bCs/>
          <w:rtl/>
        </w:rPr>
        <w:t xml:space="preserve"> المرجعيّات هنا</w:t>
      </w:r>
      <w:r w:rsidR="00E92664" w:rsidRPr="00E92664">
        <w:rPr>
          <w:rFonts w:hint="cs"/>
          <w:rtl/>
        </w:rPr>
        <w:t xml:space="preserve"> هي</w:t>
      </w:r>
      <w:r w:rsidRPr="00E92664">
        <w:rPr>
          <w:rFonts w:hint="cs"/>
          <w:rtl/>
        </w:rPr>
        <w:t xml:space="preserve"> ا</w:t>
      </w:r>
      <w:r w:rsidRPr="00822CE9">
        <w:rPr>
          <w:rFonts w:hint="cs"/>
          <w:rtl/>
        </w:rPr>
        <w:t>لاستعانة بما جاء في بعض ا</w:t>
      </w:r>
      <w:r w:rsidR="00E92664">
        <w:rPr>
          <w:rFonts w:hint="cs"/>
          <w:rtl/>
        </w:rPr>
        <w:t>لنصوص من قتل أهل البدع وتصفيتهم؛</w:t>
      </w:r>
      <w:r w:rsidRPr="00822CE9">
        <w:rPr>
          <w:rFonts w:hint="cs"/>
          <w:rtl/>
        </w:rPr>
        <w:t xml:space="preserve"> إذ من الواضح أنّ السلاطين الجائرين يروّجون البدع</w:t>
      </w:r>
      <w:r w:rsidR="00E92664">
        <w:rPr>
          <w:rFonts w:hint="cs"/>
          <w:rtl/>
        </w:rPr>
        <w:t>،</w:t>
      </w:r>
      <w:r w:rsidRPr="00822CE9">
        <w:rPr>
          <w:rFonts w:hint="cs"/>
          <w:rtl/>
        </w:rPr>
        <w:t xml:space="preserve"> فإذا كان يجب قتل مبتدع</w:t>
      </w:r>
      <w:r w:rsidR="00E92664">
        <w:rPr>
          <w:rFonts w:hint="cs"/>
          <w:rtl/>
        </w:rPr>
        <w:t>ٍ،</w:t>
      </w:r>
      <w:r w:rsidRPr="00822CE9">
        <w:rPr>
          <w:rFonts w:hint="cs"/>
          <w:rtl/>
        </w:rPr>
        <w:t xml:space="preserve"> فبطريق</w:t>
      </w:r>
      <w:r w:rsidR="00E92664">
        <w:rPr>
          <w:rFonts w:hint="cs"/>
          <w:rtl/>
        </w:rPr>
        <w:t>ٍ</w:t>
      </w:r>
      <w:r w:rsidRPr="00822CE9">
        <w:rPr>
          <w:rFonts w:hint="cs"/>
          <w:rtl/>
        </w:rPr>
        <w:t xml:space="preserve"> طبيعي أن يكون هذا الحكم شاملاً للحاكم الذي يروّج الانحرافات في المجتمع، ويحي</w:t>
      </w:r>
      <w:r w:rsidR="00E92664">
        <w:rPr>
          <w:rFonts w:hint="cs"/>
          <w:rtl/>
        </w:rPr>
        <w:t>ي</w:t>
      </w:r>
      <w:r w:rsidRPr="00822CE9">
        <w:rPr>
          <w:rFonts w:hint="cs"/>
          <w:rtl/>
        </w:rPr>
        <w:t xml:space="preserve"> البدع، فهو المصداق البارز لإحياء البدع وبث</w:t>
      </w:r>
      <w:r w:rsidR="00E92664">
        <w:rPr>
          <w:rFonts w:hint="cs"/>
          <w:rtl/>
        </w:rPr>
        <w:t>ّ</w:t>
      </w:r>
      <w:r w:rsidRPr="00822CE9">
        <w:rPr>
          <w:rFonts w:hint="cs"/>
          <w:rtl/>
        </w:rPr>
        <w:t>ها في مجتمع المسلمين</w:t>
      </w:r>
      <w:r w:rsidRPr="000A4159">
        <w:rPr>
          <w:rFonts w:cs="Taher"/>
          <w:vertAlign w:val="superscript"/>
          <w:rtl/>
        </w:rPr>
        <w:t>(</w:t>
      </w:r>
      <w:r w:rsidRPr="000A4159">
        <w:rPr>
          <w:rStyle w:val="FootnoteReference"/>
          <w:rFonts w:cs="Taher"/>
          <w:rtl/>
        </w:rPr>
        <w:footnoteReference w:id="37"/>
      </w:r>
      <w:r w:rsidRPr="000A4159">
        <w:rPr>
          <w:rFonts w:cs="Taher"/>
          <w:vertAlign w:val="superscript"/>
          <w:rtl/>
        </w:rPr>
        <w:t>)</w:t>
      </w:r>
      <w:r w:rsidRPr="00822CE9">
        <w:rPr>
          <w:rtl/>
        </w:rPr>
        <w:t>.</w:t>
      </w:r>
    </w:p>
    <w:p w14:paraId="45602866" w14:textId="77777777" w:rsidR="000A4159" w:rsidRPr="00E92664" w:rsidRDefault="000A4159" w:rsidP="00A079D6">
      <w:pPr>
        <w:spacing w:line="214" w:lineRule="auto"/>
        <w:rPr>
          <w:b/>
          <w:bCs/>
          <w:rtl/>
        </w:rPr>
      </w:pPr>
      <w:r w:rsidRPr="00E92664">
        <w:rPr>
          <w:rFonts w:hint="cs"/>
          <w:b/>
          <w:bCs/>
          <w:rtl/>
        </w:rPr>
        <w:t>و</w:t>
      </w:r>
      <w:r w:rsidR="00CF4097">
        <w:rPr>
          <w:rFonts w:hint="cs"/>
          <w:b/>
          <w:bCs/>
          <w:rtl/>
        </w:rPr>
        <w:t xml:space="preserve">لكنّ </w:t>
      </w:r>
      <w:r w:rsidRPr="00E92664">
        <w:rPr>
          <w:rFonts w:hint="cs"/>
          <w:b/>
          <w:bCs/>
          <w:rtl/>
        </w:rPr>
        <w:t>هذا الدليل قابل</w:t>
      </w:r>
      <w:r w:rsidR="00CF4097">
        <w:rPr>
          <w:rFonts w:hint="cs"/>
          <w:b/>
          <w:bCs/>
          <w:rtl/>
        </w:rPr>
        <w:t>ٌ</w:t>
      </w:r>
      <w:r w:rsidRPr="00E92664">
        <w:rPr>
          <w:rFonts w:hint="cs"/>
          <w:b/>
          <w:bCs/>
          <w:rtl/>
        </w:rPr>
        <w:t xml:space="preserve"> للمناقشة</w:t>
      </w:r>
      <w:r w:rsidR="00CF4097">
        <w:rPr>
          <w:rFonts w:hint="cs"/>
          <w:b/>
          <w:bCs/>
          <w:rtl/>
        </w:rPr>
        <w:t>؛</w:t>
      </w:r>
      <w:r w:rsidRPr="00E92664">
        <w:rPr>
          <w:rFonts w:hint="cs"/>
          <w:b/>
          <w:bCs/>
          <w:rtl/>
        </w:rPr>
        <w:t xml:space="preserve"> وذلك:</w:t>
      </w:r>
    </w:p>
    <w:p w14:paraId="14FA9BE9" w14:textId="77777777" w:rsidR="000A4159" w:rsidRPr="00822CE9" w:rsidRDefault="000A4159" w:rsidP="00A079D6">
      <w:pPr>
        <w:spacing w:line="214" w:lineRule="auto"/>
        <w:rPr>
          <w:rtl/>
        </w:rPr>
      </w:pPr>
      <w:r w:rsidRPr="00E92664">
        <w:rPr>
          <w:rFonts w:hint="cs"/>
          <w:b/>
          <w:bCs/>
          <w:rtl/>
        </w:rPr>
        <w:t>أو</w:t>
      </w:r>
      <w:r w:rsidR="00CF4097">
        <w:rPr>
          <w:rFonts w:hint="cs"/>
          <w:b/>
          <w:bCs/>
          <w:rtl/>
        </w:rPr>
        <w:t>ّ</w:t>
      </w:r>
      <w:r w:rsidRPr="00E92664">
        <w:rPr>
          <w:rFonts w:hint="cs"/>
          <w:b/>
          <w:bCs/>
          <w:rtl/>
        </w:rPr>
        <w:t xml:space="preserve">لاً: </w:t>
      </w:r>
      <w:r w:rsidRPr="00822CE9">
        <w:rPr>
          <w:rFonts w:hint="cs"/>
          <w:rtl/>
        </w:rPr>
        <w:t>لم يثبت بدليل</w:t>
      </w:r>
      <w:r w:rsidR="00CF4097">
        <w:rPr>
          <w:rFonts w:hint="cs"/>
          <w:rtl/>
        </w:rPr>
        <w:t>ٍ معتبر وجوب أ</w:t>
      </w:r>
      <w:r w:rsidRPr="00822CE9">
        <w:rPr>
          <w:rFonts w:hint="cs"/>
          <w:rtl/>
        </w:rPr>
        <w:t>و جواز قتل المبتدع أو أهل البدعة في الدين ـ إذا لم يكن ارتداداً كما هو الظاهر ـ ف</w:t>
      </w:r>
      <w:r w:rsidR="00CF4097">
        <w:rPr>
          <w:rFonts w:hint="cs"/>
          <w:rtl/>
        </w:rPr>
        <w:t xml:space="preserve">غاية </w:t>
      </w:r>
      <w:r w:rsidRPr="00822CE9">
        <w:rPr>
          <w:rFonts w:hint="cs"/>
          <w:rtl/>
        </w:rPr>
        <w:t>ما دلّ على ذلك هو:</w:t>
      </w:r>
    </w:p>
    <w:p w14:paraId="6D3BFEBA" w14:textId="77777777" w:rsidR="000A4159" w:rsidRPr="00822CE9" w:rsidRDefault="000A4159" w:rsidP="000427FA">
      <w:pPr>
        <w:rPr>
          <w:rtl/>
        </w:rPr>
      </w:pPr>
      <w:r w:rsidRPr="00CF4097">
        <w:rPr>
          <w:rFonts w:hint="cs"/>
          <w:b/>
          <w:bCs/>
          <w:rtl/>
        </w:rPr>
        <w:t>1 ـ خبر محم</w:t>
      </w:r>
      <w:r w:rsidR="00CF4097">
        <w:rPr>
          <w:rFonts w:hint="cs"/>
          <w:b/>
          <w:bCs/>
          <w:rtl/>
        </w:rPr>
        <w:t>ّ</w:t>
      </w:r>
      <w:r w:rsidRPr="00CF4097">
        <w:rPr>
          <w:rFonts w:hint="cs"/>
          <w:b/>
          <w:bCs/>
          <w:rtl/>
        </w:rPr>
        <w:t>د بن عيسى بن عبيد</w:t>
      </w:r>
      <w:r w:rsidR="00CF4097">
        <w:rPr>
          <w:rFonts w:hint="cs"/>
          <w:b/>
          <w:bCs/>
          <w:rtl/>
        </w:rPr>
        <w:t>،</w:t>
      </w:r>
      <w:r w:rsidRPr="00822CE9">
        <w:rPr>
          <w:rFonts w:hint="cs"/>
          <w:rtl/>
        </w:rPr>
        <w:t xml:space="preserve"> أن</w:t>
      </w:r>
      <w:r w:rsidR="00CF4097">
        <w:rPr>
          <w:rFonts w:hint="cs"/>
          <w:rtl/>
        </w:rPr>
        <w:t>ّ</w:t>
      </w:r>
      <w:r w:rsidRPr="00822CE9">
        <w:rPr>
          <w:rFonts w:hint="cs"/>
          <w:rtl/>
        </w:rPr>
        <w:t xml:space="preserve"> أبا الحسن(العسكري)</w:t>
      </w:r>
      <w:r w:rsidR="009A1626" w:rsidRPr="00822CE9">
        <w:rPr>
          <w:rFonts w:hint="cs"/>
          <w:rtl/>
        </w:rPr>
        <w:t>×</w:t>
      </w:r>
      <w:r w:rsidRPr="00822CE9">
        <w:rPr>
          <w:rFonts w:hint="cs"/>
          <w:rtl/>
        </w:rPr>
        <w:t>، أ</w:t>
      </w:r>
      <w:r w:rsidR="00CF4097">
        <w:rPr>
          <w:rFonts w:hint="cs"/>
          <w:rtl/>
        </w:rPr>
        <w:t>مر ب</w:t>
      </w:r>
      <w:r w:rsidRPr="00822CE9">
        <w:rPr>
          <w:rFonts w:hint="cs"/>
          <w:rtl/>
        </w:rPr>
        <w:t>قتل فارس بن حاتم</w:t>
      </w:r>
      <w:r w:rsidR="00CF4097">
        <w:rPr>
          <w:rFonts w:hint="cs"/>
          <w:rtl/>
        </w:rPr>
        <w:t xml:space="preserve"> القزويني</w:t>
      </w:r>
      <w:r w:rsidRPr="00822CE9">
        <w:rPr>
          <w:rFonts w:hint="cs"/>
          <w:rtl/>
        </w:rPr>
        <w:t>، وضمن لمن قتله الجنّة، فقتله جنيد، وكان فارس فت</w:t>
      </w:r>
      <w:r w:rsidR="00CF4097">
        <w:rPr>
          <w:rFonts w:hint="cs"/>
          <w:rtl/>
        </w:rPr>
        <w:t>ّ</w:t>
      </w:r>
      <w:r w:rsidRPr="00822CE9">
        <w:rPr>
          <w:rFonts w:hint="cs"/>
          <w:rtl/>
        </w:rPr>
        <w:t>اناً يفتن الناس ويدعو</w:t>
      </w:r>
      <w:r w:rsidR="00CF4097">
        <w:rPr>
          <w:rFonts w:hint="cs"/>
          <w:rtl/>
        </w:rPr>
        <w:t xml:space="preserve"> (يدعوهم)</w:t>
      </w:r>
      <w:r w:rsidRPr="00822CE9">
        <w:rPr>
          <w:rFonts w:hint="cs"/>
          <w:rtl/>
        </w:rPr>
        <w:t xml:space="preserve"> إلى البدعة، فخرج من أبي الحسن</w:t>
      </w:r>
      <w:r w:rsidR="009A1626" w:rsidRPr="00822CE9">
        <w:rPr>
          <w:rFonts w:hint="cs"/>
          <w:rtl/>
        </w:rPr>
        <w:t>×</w:t>
      </w:r>
      <w:r w:rsidRPr="00822CE9">
        <w:rPr>
          <w:rFonts w:hint="cs"/>
          <w:rtl/>
        </w:rPr>
        <w:t>: «هذا فارس ـ لعنه الله ـ يعمل من قبلي فت</w:t>
      </w:r>
      <w:r w:rsidR="00CF4097">
        <w:rPr>
          <w:rFonts w:hint="cs"/>
          <w:rtl/>
        </w:rPr>
        <w:t>ّ</w:t>
      </w:r>
      <w:r w:rsidRPr="00822CE9">
        <w:rPr>
          <w:rFonts w:hint="cs"/>
          <w:rtl/>
        </w:rPr>
        <w:t>اناً داعياً إلى البدعة، ودمه هدر لكلّ من قتله، ف</w:t>
      </w:r>
      <w:r w:rsidR="00CF4097">
        <w:rPr>
          <w:rFonts w:hint="cs"/>
          <w:rtl/>
        </w:rPr>
        <w:t>من هو الذي يريحني منه ويقتله، وأ</w:t>
      </w:r>
      <w:r w:rsidRPr="00822CE9">
        <w:rPr>
          <w:rFonts w:hint="cs"/>
          <w:rtl/>
        </w:rPr>
        <w:t>نا ضامن</w:t>
      </w:r>
      <w:r w:rsidR="00CF4097">
        <w:rPr>
          <w:rFonts w:hint="cs"/>
          <w:rtl/>
        </w:rPr>
        <w:t>ٌ</w:t>
      </w:r>
      <w:r w:rsidRPr="00822CE9">
        <w:rPr>
          <w:rFonts w:hint="cs"/>
          <w:rtl/>
        </w:rPr>
        <w:t xml:space="preserve"> له على الله الجنّة»</w:t>
      </w:r>
      <w:r w:rsidRPr="000A4159">
        <w:rPr>
          <w:rFonts w:cs="Taher"/>
          <w:vertAlign w:val="superscript"/>
          <w:rtl/>
        </w:rPr>
        <w:t>(</w:t>
      </w:r>
      <w:r w:rsidRPr="000A4159">
        <w:rPr>
          <w:rStyle w:val="FootnoteReference"/>
          <w:rFonts w:cs="Taher"/>
          <w:rtl/>
        </w:rPr>
        <w:footnoteReference w:id="38"/>
      </w:r>
      <w:r w:rsidRPr="000A4159">
        <w:rPr>
          <w:rFonts w:cs="Taher"/>
          <w:vertAlign w:val="superscript"/>
          <w:rtl/>
        </w:rPr>
        <w:t>)</w:t>
      </w:r>
      <w:r w:rsidRPr="00822CE9">
        <w:rPr>
          <w:rtl/>
        </w:rPr>
        <w:t>.</w:t>
      </w:r>
    </w:p>
    <w:p w14:paraId="31A8118B" w14:textId="77777777" w:rsidR="000A4159" w:rsidRPr="00822CE9" w:rsidRDefault="000A4159" w:rsidP="00A079D6">
      <w:pPr>
        <w:spacing w:line="214" w:lineRule="auto"/>
        <w:rPr>
          <w:rtl/>
        </w:rPr>
      </w:pPr>
      <w:r w:rsidRPr="00822CE9">
        <w:rPr>
          <w:rFonts w:hint="cs"/>
          <w:rtl/>
        </w:rPr>
        <w:t>وظاهر هذه الرواية أنّ قرار قتله كان لكونه داعية</w:t>
      </w:r>
      <w:r w:rsidR="00CF4097">
        <w:rPr>
          <w:rFonts w:hint="cs"/>
          <w:rtl/>
        </w:rPr>
        <w:t>ً</w:t>
      </w:r>
      <w:r w:rsidRPr="00822CE9">
        <w:rPr>
          <w:rFonts w:hint="cs"/>
          <w:rtl/>
        </w:rPr>
        <w:t xml:space="preserve"> إلى البدعة</w:t>
      </w:r>
      <w:r w:rsidR="00CF4097">
        <w:rPr>
          <w:rFonts w:hint="cs"/>
          <w:rtl/>
        </w:rPr>
        <w:t>، كما هو واضح</w:t>
      </w:r>
      <w:r w:rsidRPr="00822CE9">
        <w:rPr>
          <w:rFonts w:hint="cs"/>
          <w:rtl/>
        </w:rPr>
        <w:t>.</w:t>
      </w:r>
    </w:p>
    <w:p w14:paraId="17B5D199" w14:textId="77777777" w:rsidR="000A4159" w:rsidRPr="00CF4097" w:rsidRDefault="000A4159" w:rsidP="00A079D6">
      <w:pPr>
        <w:spacing w:line="214" w:lineRule="auto"/>
        <w:rPr>
          <w:b/>
          <w:bCs/>
          <w:rtl/>
        </w:rPr>
      </w:pPr>
      <w:r w:rsidRPr="00CF4097">
        <w:rPr>
          <w:rFonts w:hint="cs"/>
          <w:b/>
          <w:bCs/>
          <w:rtl/>
        </w:rPr>
        <w:t>إلاّ أن</w:t>
      </w:r>
      <w:r w:rsidR="00473A5B">
        <w:rPr>
          <w:rFonts w:hint="cs"/>
          <w:b/>
          <w:bCs/>
          <w:rtl/>
        </w:rPr>
        <w:t>ّ</w:t>
      </w:r>
      <w:r w:rsidRPr="00CF4097">
        <w:rPr>
          <w:rFonts w:hint="cs"/>
          <w:b/>
          <w:bCs/>
          <w:rtl/>
        </w:rPr>
        <w:t xml:space="preserve"> هذه الرواية:</w:t>
      </w:r>
    </w:p>
    <w:p w14:paraId="353694BA" w14:textId="77777777" w:rsidR="000A4159" w:rsidRPr="00822CE9" w:rsidRDefault="000A4159" w:rsidP="00D17418">
      <w:pPr>
        <w:spacing w:line="214" w:lineRule="auto"/>
        <w:rPr>
          <w:rtl/>
        </w:rPr>
      </w:pPr>
      <w:r w:rsidRPr="00CF4097">
        <w:rPr>
          <w:rFonts w:hint="cs"/>
          <w:b/>
          <w:bCs/>
          <w:rtl/>
        </w:rPr>
        <w:t>أ ـ</w:t>
      </w:r>
      <w:r w:rsidRPr="00822CE9">
        <w:rPr>
          <w:rFonts w:hint="cs"/>
          <w:rtl/>
        </w:rPr>
        <w:t xml:space="preserve"> ضعيفة السند بالحسين بن الحسن بن بندار</w:t>
      </w:r>
      <w:r w:rsidR="00CF4097">
        <w:rPr>
          <w:rFonts w:hint="cs"/>
          <w:rtl/>
        </w:rPr>
        <w:t xml:space="preserve"> القمي</w:t>
      </w:r>
      <w:r w:rsidRPr="00822CE9">
        <w:rPr>
          <w:rFonts w:hint="cs"/>
          <w:rtl/>
        </w:rPr>
        <w:t>، ولم يوثق</w:t>
      </w:r>
      <w:r w:rsidR="00D17418">
        <w:rPr>
          <w:rFonts w:hint="cs"/>
          <w:rtl/>
        </w:rPr>
        <w:t>،</w:t>
      </w:r>
      <w:r w:rsidRPr="00822CE9">
        <w:rPr>
          <w:rFonts w:hint="cs"/>
          <w:rtl/>
        </w:rPr>
        <w:t xml:space="preserve"> فلا يستند إلى هذا الخبر.</w:t>
      </w:r>
    </w:p>
    <w:p w14:paraId="09F47B9D" w14:textId="77777777" w:rsidR="000A4159" w:rsidRPr="00822CE9" w:rsidRDefault="000A4159" w:rsidP="00473A5B">
      <w:pPr>
        <w:spacing w:line="214" w:lineRule="auto"/>
        <w:rPr>
          <w:rtl/>
        </w:rPr>
      </w:pPr>
      <w:r w:rsidRPr="00870E3C">
        <w:rPr>
          <w:rFonts w:hint="cs"/>
          <w:b/>
          <w:bCs/>
          <w:rtl/>
        </w:rPr>
        <w:t>ب ـ</w:t>
      </w:r>
      <w:r w:rsidRPr="00822CE9">
        <w:rPr>
          <w:rFonts w:hint="cs"/>
          <w:rtl/>
        </w:rPr>
        <w:t xml:space="preserve"> لم تحدّد الرواية من هو المب</w:t>
      </w:r>
      <w:r w:rsidR="00473A5B">
        <w:rPr>
          <w:rFonts w:hint="cs"/>
          <w:rtl/>
        </w:rPr>
        <w:t>ت</w:t>
      </w:r>
      <w:r w:rsidRPr="00822CE9">
        <w:rPr>
          <w:rFonts w:hint="cs"/>
          <w:rtl/>
        </w:rPr>
        <w:t>دع، كما أن</w:t>
      </w:r>
      <w:r w:rsidR="00870E3C">
        <w:rPr>
          <w:rFonts w:hint="cs"/>
          <w:rtl/>
        </w:rPr>
        <w:t>ّ</w:t>
      </w:r>
      <w:r w:rsidRPr="00822CE9">
        <w:rPr>
          <w:rFonts w:hint="cs"/>
          <w:rtl/>
        </w:rPr>
        <w:t xml:space="preserve">نا لم نعرف ظروف أمر الإمام بقتله، فمثل هذه </w:t>
      </w:r>
      <w:r w:rsidRPr="00822CE9">
        <w:rPr>
          <w:rFonts w:hint="cs"/>
          <w:rtl/>
        </w:rPr>
        <w:lastRenderedPageBreak/>
        <w:t>الرواية لا تكفي لمعرفة ملا</w:t>
      </w:r>
      <w:r w:rsidR="00870E3C">
        <w:rPr>
          <w:rFonts w:hint="cs"/>
          <w:rtl/>
        </w:rPr>
        <w:t>ب</w:t>
      </w:r>
      <w:r w:rsidRPr="00822CE9">
        <w:rPr>
          <w:rFonts w:hint="cs"/>
          <w:rtl/>
        </w:rPr>
        <w:t>سات الموضوع، فلعلّ الحكم ولائي</w:t>
      </w:r>
      <w:r w:rsidR="00870E3C">
        <w:rPr>
          <w:rFonts w:hint="cs"/>
          <w:rtl/>
        </w:rPr>
        <w:t>ٌّ</w:t>
      </w:r>
      <w:r w:rsidRPr="00822CE9">
        <w:rPr>
          <w:rFonts w:hint="cs"/>
          <w:rtl/>
        </w:rPr>
        <w:t xml:space="preserve"> لا إلهي</w:t>
      </w:r>
      <w:r w:rsidR="00870E3C">
        <w:rPr>
          <w:rFonts w:hint="cs"/>
          <w:rtl/>
        </w:rPr>
        <w:t>ّاً</w:t>
      </w:r>
      <w:r w:rsidRPr="00822CE9">
        <w:rPr>
          <w:rFonts w:hint="cs"/>
          <w:rtl/>
        </w:rPr>
        <w:t>، بقرينة جزئي</w:t>
      </w:r>
      <w:r w:rsidR="00870E3C">
        <w:rPr>
          <w:rFonts w:hint="cs"/>
          <w:rtl/>
        </w:rPr>
        <w:t>ّ</w:t>
      </w:r>
      <w:r w:rsidRPr="00822CE9">
        <w:rPr>
          <w:rFonts w:hint="cs"/>
          <w:rtl/>
        </w:rPr>
        <w:t>ته ووروده في حالة معينّة، فيصعب التعميم.</w:t>
      </w:r>
    </w:p>
    <w:p w14:paraId="0336F9ED" w14:textId="77777777" w:rsidR="000A4159" w:rsidRPr="00822CE9" w:rsidRDefault="000A4159" w:rsidP="00EB0E9A">
      <w:pPr>
        <w:spacing w:line="214" w:lineRule="auto"/>
        <w:rPr>
          <w:rtl/>
        </w:rPr>
      </w:pPr>
      <w:r w:rsidRPr="00870E3C">
        <w:rPr>
          <w:rFonts w:hint="cs"/>
          <w:b/>
          <w:bCs/>
          <w:rtl/>
        </w:rPr>
        <w:t>2 ـ خبر جنيد،</w:t>
      </w:r>
      <w:r w:rsidRPr="00822CE9">
        <w:rPr>
          <w:rFonts w:hint="cs"/>
          <w:rtl/>
        </w:rPr>
        <w:t xml:space="preserve"> عن أبي الحسن</w:t>
      </w:r>
      <w:r w:rsidR="009A1626" w:rsidRPr="00822CE9">
        <w:rPr>
          <w:rFonts w:hint="cs"/>
          <w:rtl/>
        </w:rPr>
        <w:t>×</w:t>
      </w:r>
      <w:r w:rsidRPr="00822CE9">
        <w:rPr>
          <w:rFonts w:hint="cs"/>
          <w:rtl/>
        </w:rPr>
        <w:t xml:space="preserve"> قال</w:t>
      </w:r>
      <w:r w:rsidR="00870E3C">
        <w:rPr>
          <w:rFonts w:hint="cs"/>
          <w:rtl/>
        </w:rPr>
        <w:t xml:space="preserve"> </w:t>
      </w:r>
      <w:r w:rsidR="00870E3C" w:rsidRPr="00870E3C">
        <w:rPr>
          <w:rtl/>
        </w:rPr>
        <w:t>أرسل إلي</w:t>
      </w:r>
      <w:r w:rsidR="00870E3C">
        <w:rPr>
          <w:rFonts w:hint="cs"/>
          <w:rtl/>
        </w:rPr>
        <w:t>ّ</w:t>
      </w:r>
      <w:r w:rsidR="00870E3C" w:rsidRPr="00870E3C">
        <w:rPr>
          <w:rtl/>
        </w:rPr>
        <w:t xml:space="preserve"> أبو الحسن العسكري</w:t>
      </w:r>
      <w:r w:rsidR="00870E3C">
        <w:rPr>
          <w:rFonts w:hint="cs"/>
          <w:rtl/>
        </w:rPr>
        <w:t xml:space="preserve">×، </w:t>
      </w:r>
      <w:r w:rsidR="00870E3C" w:rsidRPr="00870E3C">
        <w:rPr>
          <w:rtl/>
        </w:rPr>
        <w:t>يأمرني بقتل فارس بن حاتم القزويني لعنه الله، فقلت: لا</w:t>
      </w:r>
      <w:r w:rsidR="00870E3C">
        <w:rPr>
          <w:rFonts w:hint="cs"/>
          <w:rtl/>
        </w:rPr>
        <w:t>،</w:t>
      </w:r>
      <w:r w:rsidR="00870E3C" w:rsidRPr="00870E3C">
        <w:rPr>
          <w:rtl/>
        </w:rPr>
        <w:t xml:space="preserve"> حتى أسمعه منه يقول لي</w:t>
      </w:r>
      <w:r w:rsidR="00870E3C">
        <w:rPr>
          <w:rFonts w:hint="cs"/>
          <w:rtl/>
        </w:rPr>
        <w:t xml:space="preserve"> </w:t>
      </w:r>
      <w:r w:rsidR="00870E3C" w:rsidRPr="00870E3C">
        <w:rPr>
          <w:rtl/>
        </w:rPr>
        <w:t>ذلك يشافهني به.</w:t>
      </w:r>
      <w:r w:rsidR="00870E3C">
        <w:rPr>
          <w:rFonts w:hint="cs"/>
          <w:rtl/>
        </w:rPr>
        <w:t xml:space="preserve"> </w:t>
      </w:r>
      <w:r w:rsidR="00870E3C" w:rsidRPr="00870E3C">
        <w:rPr>
          <w:rtl/>
        </w:rPr>
        <w:t>قال: فبعث إلي</w:t>
      </w:r>
      <w:r w:rsidR="00870E3C">
        <w:rPr>
          <w:rFonts w:hint="cs"/>
          <w:rtl/>
        </w:rPr>
        <w:t>ّ</w:t>
      </w:r>
      <w:r w:rsidR="00870E3C" w:rsidRPr="00870E3C">
        <w:rPr>
          <w:rtl/>
        </w:rPr>
        <w:t xml:space="preserve"> فدعاني فصرت إليه</w:t>
      </w:r>
      <w:r w:rsidR="00870E3C">
        <w:rPr>
          <w:rFonts w:hint="cs"/>
          <w:rtl/>
        </w:rPr>
        <w:t>،</w:t>
      </w:r>
      <w:r w:rsidR="00870E3C" w:rsidRPr="00870E3C">
        <w:rPr>
          <w:rtl/>
        </w:rPr>
        <w:t xml:space="preserve"> فقال: </w:t>
      </w:r>
      <w:r w:rsidR="00870E3C">
        <w:rPr>
          <w:rFonts w:hint="cs"/>
          <w:rtl/>
        </w:rPr>
        <w:t>«</w:t>
      </w:r>
      <w:r w:rsidR="00870E3C" w:rsidRPr="00870E3C">
        <w:rPr>
          <w:rtl/>
        </w:rPr>
        <w:t>آمرك بقتل فارس بن حاتم</w:t>
      </w:r>
      <w:r w:rsidR="00870E3C">
        <w:rPr>
          <w:rFonts w:hint="cs"/>
          <w:rtl/>
        </w:rPr>
        <w:t>»،</w:t>
      </w:r>
      <w:r w:rsidR="00870E3C" w:rsidRPr="00870E3C">
        <w:rPr>
          <w:rtl/>
        </w:rPr>
        <w:t xml:space="preserve"> فناولني</w:t>
      </w:r>
      <w:r w:rsidR="00870E3C">
        <w:rPr>
          <w:rFonts w:hint="cs"/>
          <w:rtl/>
        </w:rPr>
        <w:t xml:space="preserve"> </w:t>
      </w:r>
      <w:r w:rsidR="00870E3C" w:rsidRPr="00870E3C">
        <w:rPr>
          <w:rtl/>
        </w:rPr>
        <w:t xml:space="preserve">دراهم من عنده، وقال: </w:t>
      </w:r>
      <w:r w:rsidR="00870E3C">
        <w:rPr>
          <w:rFonts w:hint="cs"/>
          <w:rtl/>
        </w:rPr>
        <w:t>«</w:t>
      </w:r>
      <w:r w:rsidR="00870E3C" w:rsidRPr="00870E3C">
        <w:rPr>
          <w:rtl/>
        </w:rPr>
        <w:t>اشتر بهذه سلاحا</w:t>
      </w:r>
      <w:r w:rsidR="00870E3C">
        <w:rPr>
          <w:rFonts w:hint="cs"/>
          <w:rtl/>
        </w:rPr>
        <w:t>ً</w:t>
      </w:r>
      <w:r w:rsidR="00870E3C" w:rsidRPr="00870E3C">
        <w:rPr>
          <w:rtl/>
        </w:rPr>
        <w:t xml:space="preserve"> فأعرضه علي</w:t>
      </w:r>
      <w:r w:rsidR="00870E3C">
        <w:rPr>
          <w:rFonts w:hint="cs"/>
          <w:rtl/>
        </w:rPr>
        <w:t>ّ</w:t>
      </w:r>
      <w:r w:rsidR="00870E3C">
        <w:rPr>
          <w:rFonts w:hint="eastAsia"/>
          <w:rtl/>
        </w:rPr>
        <w:t>»</w:t>
      </w:r>
      <w:r w:rsidR="00870E3C" w:rsidRPr="00870E3C">
        <w:rPr>
          <w:rtl/>
        </w:rPr>
        <w:t>، فذهبت فاشتريت سيفا</w:t>
      </w:r>
      <w:r w:rsidR="00870E3C">
        <w:rPr>
          <w:rFonts w:hint="cs"/>
          <w:rtl/>
        </w:rPr>
        <w:t xml:space="preserve">ً </w:t>
      </w:r>
      <w:r w:rsidR="00870E3C" w:rsidRPr="00870E3C">
        <w:rPr>
          <w:rtl/>
        </w:rPr>
        <w:t xml:space="preserve">فعرضته عليه، فقال: </w:t>
      </w:r>
      <w:r w:rsidR="00870E3C">
        <w:rPr>
          <w:rFonts w:hint="cs"/>
          <w:rtl/>
        </w:rPr>
        <w:t>«</w:t>
      </w:r>
      <w:r w:rsidR="00870E3C" w:rsidRPr="00870E3C">
        <w:rPr>
          <w:rtl/>
        </w:rPr>
        <w:t>رد</w:t>
      </w:r>
      <w:r w:rsidR="00870E3C">
        <w:rPr>
          <w:rFonts w:hint="cs"/>
          <w:rtl/>
        </w:rPr>
        <w:t>ّ</w:t>
      </w:r>
      <w:r w:rsidR="00870E3C" w:rsidRPr="00870E3C">
        <w:rPr>
          <w:rtl/>
        </w:rPr>
        <w:t xml:space="preserve"> هذا وخذ غيره</w:t>
      </w:r>
      <w:r w:rsidR="00870E3C">
        <w:rPr>
          <w:rFonts w:hint="cs"/>
          <w:rtl/>
        </w:rPr>
        <w:t>»</w:t>
      </w:r>
      <w:r w:rsidR="00870E3C" w:rsidRPr="00870E3C">
        <w:rPr>
          <w:rtl/>
        </w:rPr>
        <w:t>، قال</w:t>
      </w:r>
      <w:r w:rsidR="00870E3C">
        <w:rPr>
          <w:rFonts w:hint="cs"/>
          <w:rtl/>
        </w:rPr>
        <w:t xml:space="preserve">: </w:t>
      </w:r>
      <w:r w:rsidR="00870E3C" w:rsidRPr="00870E3C">
        <w:rPr>
          <w:rtl/>
        </w:rPr>
        <w:t>فرددته وأخذت مكانه ساطورا</w:t>
      </w:r>
      <w:r w:rsidR="00870E3C">
        <w:rPr>
          <w:rFonts w:hint="cs"/>
          <w:rtl/>
        </w:rPr>
        <w:t>ً،</w:t>
      </w:r>
      <w:r w:rsidR="00870E3C" w:rsidRPr="00870E3C">
        <w:rPr>
          <w:rtl/>
        </w:rPr>
        <w:t xml:space="preserve"> فعرضته</w:t>
      </w:r>
      <w:r w:rsidR="00870E3C">
        <w:rPr>
          <w:rFonts w:hint="cs"/>
          <w:rtl/>
        </w:rPr>
        <w:t xml:space="preserve"> </w:t>
      </w:r>
      <w:r w:rsidR="00870E3C" w:rsidRPr="00870E3C">
        <w:rPr>
          <w:rtl/>
        </w:rPr>
        <w:t xml:space="preserve">عليه، فقال: </w:t>
      </w:r>
      <w:r w:rsidR="00870E3C">
        <w:rPr>
          <w:rFonts w:hint="cs"/>
          <w:rtl/>
        </w:rPr>
        <w:t>«</w:t>
      </w:r>
      <w:r w:rsidR="00870E3C" w:rsidRPr="00870E3C">
        <w:rPr>
          <w:rtl/>
        </w:rPr>
        <w:t>هذا نعم</w:t>
      </w:r>
      <w:r w:rsidR="00870E3C">
        <w:rPr>
          <w:rFonts w:hint="cs"/>
          <w:rtl/>
        </w:rPr>
        <w:t>»</w:t>
      </w:r>
      <w:r w:rsidR="00870E3C" w:rsidRPr="00870E3C">
        <w:rPr>
          <w:rtl/>
        </w:rPr>
        <w:t>.</w:t>
      </w:r>
      <w:r w:rsidR="00870E3C">
        <w:rPr>
          <w:rFonts w:hint="cs"/>
          <w:rtl/>
        </w:rPr>
        <w:t xml:space="preserve"> </w:t>
      </w:r>
      <w:r w:rsidR="00870E3C" w:rsidRPr="00870E3C">
        <w:rPr>
          <w:rtl/>
        </w:rPr>
        <w:t>فجئت إلى فارس وقد خرج من المسجد بين الصلاتين المغرب والعشاء</w:t>
      </w:r>
      <w:r w:rsidR="00870E3C">
        <w:rPr>
          <w:rFonts w:hint="cs"/>
          <w:rtl/>
        </w:rPr>
        <w:t>،</w:t>
      </w:r>
      <w:r w:rsidR="00870E3C" w:rsidRPr="00870E3C">
        <w:rPr>
          <w:rtl/>
        </w:rPr>
        <w:t xml:space="preserve"> فضربته</w:t>
      </w:r>
      <w:r w:rsidR="00870E3C">
        <w:rPr>
          <w:rFonts w:hint="cs"/>
          <w:rtl/>
        </w:rPr>
        <w:t xml:space="preserve"> </w:t>
      </w:r>
      <w:r w:rsidR="00870E3C" w:rsidRPr="00870E3C">
        <w:rPr>
          <w:rtl/>
        </w:rPr>
        <w:t>على رأسه</w:t>
      </w:r>
      <w:r w:rsidR="00870E3C">
        <w:rPr>
          <w:rFonts w:hint="cs"/>
          <w:rtl/>
        </w:rPr>
        <w:t>،</w:t>
      </w:r>
      <w:r w:rsidR="00870E3C" w:rsidRPr="00870E3C">
        <w:rPr>
          <w:rtl/>
        </w:rPr>
        <w:t xml:space="preserve"> فصرعته وثن</w:t>
      </w:r>
      <w:r w:rsidR="00870E3C">
        <w:rPr>
          <w:rFonts w:hint="cs"/>
          <w:rtl/>
        </w:rPr>
        <w:t>ّ</w:t>
      </w:r>
      <w:r w:rsidR="00870E3C" w:rsidRPr="00870E3C">
        <w:rPr>
          <w:rtl/>
        </w:rPr>
        <w:t>يت عليه فسقط ميتا</w:t>
      </w:r>
      <w:r w:rsidR="00870E3C">
        <w:rPr>
          <w:rFonts w:hint="cs"/>
          <w:rtl/>
        </w:rPr>
        <w:t>ً</w:t>
      </w:r>
      <w:r w:rsidR="00870E3C" w:rsidRPr="00870E3C">
        <w:rPr>
          <w:rtl/>
        </w:rPr>
        <w:t>، ووقعت الضج</w:t>
      </w:r>
      <w:r w:rsidR="00870E3C">
        <w:rPr>
          <w:rFonts w:hint="cs"/>
          <w:rtl/>
        </w:rPr>
        <w:t>ّ</w:t>
      </w:r>
      <w:r w:rsidR="00870E3C" w:rsidRPr="00870E3C">
        <w:rPr>
          <w:rtl/>
        </w:rPr>
        <w:t>ة</w:t>
      </w:r>
      <w:r w:rsidR="00870E3C">
        <w:rPr>
          <w:rFonts w:hint="cs"/>
          <w:rtl/>
        </w:rPr>
        <w:t>،</w:t>
      </w:r>
      <w:r w:rsidR="00870E3C" w:rsidRPr="00870E3C">
        <w:rPr>
          <w:rtl/>
        </w:rPr>
        <w:t xml:space="preserve"> فرميت الساطور بين يدي</w:t>
      </w:r>
      <w:r w:rsidR="00870E3C">
        <w:rPr>
          <w:rFonts w:hint="cs"/>
          <w:rtl/>
        </w:rPr>
        <w:t xml:space="preserve">، </w:t>
      </w:r>
      <w:r w:rsidR="00870E3C" w:rsidRPr="00870E3C">
        <w:rPr>
          <w:rtl/>
        </w:rPr>
        <w:t>واجتمع الناس وأخذت إذ لم يوجد هناك أحد غيري، فلم يروا معي سلاحا</w:t>
      </w:r>
      <w:r w:rsidR="00EB0E9A">
        <w:rPr>
          <w:rFonts w:hint="cs"/>
          <w:rtl/>
        </w:rPr>
        <w:t>ً</w:t>
      </w:r>
      <w:r w:rsidR="00870E3C" w:rsidRPr="00870E3C">
        <w:rPr>
          <w:rtl/>
        </w:rPr>
        <w:t xml:space="preserve"> ولا سك</w:t>
      </w:r>
      <w:r w:rsidR="00EB0E9A">
        <w:rPr>
          <w:rFonts w:hint="cs"/>
          <w:rtl/>
        </w:rPr>
        <w:t>ّ</w:t>
      </w:r>
      <w:r w:rsidR="00870E3C" w:rsidRPr="00870E3C">
        <w:rPr>
          <w:rtl/>
        </w:rPr>
        <w:t>ينا</w:t>
      </w:r>
      <w:r w:rsidR="00EB0E9A">
        <w:rPr>
          <w:rFonts w:hint="cs"/>
          <w:rtl/>
        </w:rPr>
        <w:t xml:space="preserve">ً، </w:t>
      </w:r>
      <w:r w:rsidR="00870E3C" w:rsidRPr="00870E3C">
        <w:rPr>
          <w:rtl/>
        </w:rPr>
        <w:t>وطلبوا الزقاق والدور فلم يجدوا شيئا</w:t>
      </w:r>
      <w:r w:rsidR="00EB0E9A">
        <w:rPr>
          <w:rFonts w:hint="cs"/>
          <w:rtl/>
        </w:rPr>
        <w:t>ً</w:t>
      </w:r>
      <w:r w:rsidR="00870E3C" w:rsidRPr="00870E3C">
        <w:rPr>
          <w:rtl/>
        </w:rPr>
        <w:t>، ولم ير أثر الساطور بعد ذلك</w:t>
      </w:r>
      <w:r w:rsidRPr="000A4159">
        <w:rPr>
          <w:rFonts w:cs="Taher"/>
          <w:vertAlign w:val="superscript"/>
          <w:rtl/>
        </w:rPr>
        <w:t>(</w:t>
      </w:r>
      <w:r w:rsidRPr="000A4159">
        <w:rPr>
          <w:rStyle w:val="FootnoteReference"/>
          <w:rFonts w:cs="Taher"/>
          <w:rtl/>
        </w:rPr>
        <w:footnoteReference w:id="39"/>
      </w:r>
      <w:r w:rsidRPr="000A4159">
        <w:rPr>
          <w:rFonts w:cs="Taher"/>
          <w:vertAlign w:val="superscript"/>
          <w:rtl/>
        </w:rPr>
        <w:t>)</w:t>
      </w:r>
      <w:r w:rsidRPr="00822CE9">
        <w:rPr>
          <w:rFonts w:hint="cs"/>
          <w:rtl/>
        </w:rPr>
        <w:t>.</w:t>
      </w:r>
    </w:p>
    <w:p w14:paraId="6F1E9BF0" w14:textId="77777777" w:rsidR="000A4159" w:rsidRPr="00822CE9" w:rsidRDefault="000A4159" w:rsidP="000427FA">
      <w:pPr>
        <w:pStyle w:val="normal84"/>
        <w:rPr>
          <w:rtl/>
        </w:rPr>
      </w:pPr>
      <w:r w:rsidRPr="00EB0E9A">
        <w:rPr>
          <w:rFonts w:hint="cs"/>
          <w:b/>
          <w:bCs/>
          <w:rtl/>
        </w:rPr>
        <w:t>ويرد عليه</w:t>
      </w:r>
      <w:r w:rsidRPr="00822CE9">
        <w:rPr>
          <w:rFonts w:hint="cs"/>
          <w:rtl/>
        </w:rPr>
        <w:t xml:space="preserve"> ما أورد </w:t>
      </w:r>
      <w:r w:rsidR="00EB0E9A">
        <w:rPr>
          <w:rFonts w:hint="cs"/>
          <w:rtl/>
        </w:rPr>
        <w:t xml:space="preserve">ـ </w:t>
      </w:r>
      <w:r w:rsidRPr="00822CE9">
        <w:rPr>
          <w:rFonts w:hint="cs"/>
          <w:rtl/>
        </w:rPr>
        <w:t>ثانياً ـ على الخبر الأو</w:t>
      </w:r>
      <w:r w:rsidR="00EB0E9A">
        <w:rPr>
          <w:rFonts w:hint="cs"/>
          <w:rtl/>
        </w:rPr>
        <w:t>ّ</w:t>
      </w:r>
      <w:r w:rsidRPr="00822CE9">
        <w:rPr>
          <w:rFonts w:hint="cs"/>
          <w:rtl/>
        </w:rPr>
        <w:t>ل، مضافاً إلى ضعف سنده بالإرسال</w:t>
      </w:r>
      <w:r w:rsidR="00EB0E9A">
        <w:rPr>
          <w:rFonts w:hint="cs"/>
          <w:rtl/>
        </w:rPr>
        <w:t>؛</w:t>
      </w:r>
      <w:r w:rsidRPr="00822CE9">
        <w:rPr>
          <w:rFonts w:hint="cs"/>
          <w:rtl/>
        </w:rPr>
        <w:t xml:space="preserve"> </w:t>
      </w:r>
      <w:r w:rsidR="00BD6D4C">
        <w:rPr>
          <w:rFonts w:hint="cs"/>
          <w:rtl/>
        </w:rPr>
        <w:t xml:space="preserve">لو </w:t>
      </w:r>
      <w:r w:rsidR="00774579">
        <w:rPr>
          <w:rFonts w:hint="cs"/>
          <w:rtl/>
        </w:rPr>
        <w:t xml:space="preserve">لم نقل </w:t>
      </w:r>
      <w:r w:rsidR="00BD6D4C">
        <w:rPr>
          <w:rFonts w:hint="cs"/>
          <w:rtl/>
        </w:rPr>
        <w:t>بعدم ثبوت وثاقة جنيد نفسه.</w:t>
      </w:r>
      <w:r w:rsidR="00783C9F">
        <w:rPr>
          <w:rFonts w:hint="cs"/>
          <w:rtl/>
        </w:rPr>
        <w:t xml:space="preserve"> هذا كلّه على تقدير افتراض أنّ القزوي</w:t>
      </w:r>
      <w:r w:rsidR="004A3040">
        <w:rPr>
          <w:rFonts w:hint="cs"/>
          <w:rtl/>
        </w:rPr>
        <w:t>ني كان مبتدعاً، ولم يكن مرتدّاً؛</w:t>
      </w:r>
      <w:r w:rsidR="00783C9F">
        <w:rPr>
          <w:rFonts w:hint="cs"/>
          <w:rtl/>
        </w:rPr>
        <w:t xml:space="preserve"> لأنّه من رموز الغلاة وكبارهم في التاريخ.</w:t>
      </w:r>
    </w:p>
    <w:p w14:paraId="045131CA" w14:textId="77777777" w:rsidR="000A4159" w:rsidRPr="00822CE9" w:rsidRDefault="000A4159" w:rsidP="00A079D6">
      <w:pPr>
        <w:spacing w:line="214" w:lineRule="auto"/>
        <w:rPr>
          <w:rtl/>
        </w:rPr>
      </w:pPr>
      <w:r w:rsidRPr="00822CE9">
        <w:rPr>
          <w:rFonts w:hint="cs"/>
          <w:rtl/>
        </w:rPr>
        <w:t>وعليه،</w:t>
      </w:r>
      <w:r w:rsidR="00BD6D4C">
        <w:rPr>
          <w:rFonts w:hint="cs"/>
          <w:rtl/>
        </w:rPr>
        <w:t xml:space="preserve"> </w:t>
      </w:r>
      <w:r w:rsidRPr="00822CE9">
        <w:rPr>
          <w:rFonts w:hint="cs"/>
          <w:rtl/>
        </w:rPr>
        <w:t>فلا دليل على جواز قتل أهل البدعة، حتى يكون منطلقاً لمقاتلة السلطان بحج</w:t>
      </w:r>
      <w:r w:rsidR="00BD6D4C">
        <w:rPr>
          <w:rFonts w:hint="cs"/>
          <w:rtl/>
        </w:rPr>
        <w:t>ّ</w:t>
      </w:r>
      <w:r w:rsidRPr="00822CE9">
        <w:rPr>
          <w:rFonts w:hint="cs"/>
          <w:rtl/>
        </w:rPr>
        <w:t>ة أن</w:t>
      </w:r>
      <w:r w:rsidR="00BD6D4C">
        <w:rPr>
          <w:rFonts w:hint="cs"/>
          <w:rtl/>
        </w:rPr>
        <w:t>ّ</w:t>
      </w:r>
      <w:r w:rsidRPr="00822CE9">
        <w:rPr>
          <w:rFonts w:hint="cs"/>
          <w:rtl/>
        </w:rPr>
        <w:t>ه يحيى البدعة، وأدلّة اليد في باب الأمر بالمعروف والنهي عن المنكر التي قد يستند إليها هنا، تقدّم أنها لا يصحّ الاستناد إليها.</w:t>
      </w:r>
    </w:p>
    <w:p w14:paraId="39EFD6A5" w14:textId="77777777" w:rsidR="000A4159" w:rsidRPr="00822CE9" w:rsidRDefault="000A4159" w:rsidP="000427FA">
      <w:pPr>
        <w:pStyle w:val="normal870"/>
        <w:rPr>
          <w:rtl/>
        </w:rPr>
      </w:pPr>
      <w:r w:rsidRPr="00BD6D4C">
        <w:rPr>
          <w:rFonts w:hint="cs"/>
          <w:b/>
          <w:bCs/>
          <w:rtl/>
        </w:rPr>
        <w:t xml:space="preserve">ثانياً: </w:t>
      </w:r>
      <w:r w:rsidRPr="00822CE9">
        <w:rPr>
          <w:rFonts w:hint="cs"/>
          <w:rtl/>
        </w:rPr>
        <w:t>إذا كان المراد بالم</w:t>
      </w:r>
      <w:r w:rsidR="00783C9F">
        <w:rPr>
          <w:rFonts w:hint="cs"/>
          <w:rtl/>
        </w:rPr>
        <w:t>ب</w:t>
      </w:r>
      <w:r w:rsidRPr="00822CE9">
        <w:rPr>
          <w:rFonts w:hint="cs"/>
          <w:rtl/>
        </w:rPr>
        <w:t>تدع وأهل البدعة المرتدّ الذي دلّت النصوص على</w:t>
      </w:r>
      <w:r w:rsidR="00783C9F">
        <w:rPr>
          <w:rFonts w:hint="cs"/>
          <w:rtl/>
        </w:rPr>
        <w:t xml:space="preserve"> </w:t>
      </w:r>
      <w:r w:rsidRPr="00822CE9">
        <w:rPr>
          <w:rFonts w:hint="cs"/>
          <w:rtl/>
        </w:rPr>
        <w:t>قتله، أشكل الاستناد إلى ذلك هنا؛ لأن</w:t>
      </w:r>
      <w:r w:rsidR="00783C9F">
        <w:rPr>
          <w:rFonts w:hint="cs"/>
          <w:rtl/>
        </w:rPr>
        <w:t>ّ</w:t>
      </w:r>
      <w:r w:rsidRPr="00822CE9">
        <w:rPr>
          <w:rFonts w:hint="cs"/>
          <w:rtl/>
        </w:rPr>
        <w:t>ه إذا صدق على السلطان أن</w:t>
      </w:r>
      <w:r w:rsidR="00783C9F">
        <w:rPr>
          <w:rFonts w:hint="cs"/>
          <w:rtl/>
        </w:rPr>
        <w:t>ّ</w:t>
      </w:r>
      <w:r w:rsidRPr="00822CE9">
        <w:rPr>
          <w:rFonts w:hint="cs"/>
          <w:rtl/>
        </w:rPr>
        <w:t>ه مرتدّ وكافر جازت مقاتلته، وتحسب من مقاتلة الكافرين، وتخرج عن فرض المسألة هنا، كما يجوز قتله طبقاً للرأي الفقهي الذي يحكم بقتل المرتدّ، أم</w:t>
      </w:r>
      <w:r w:rsidR="00783C9F">
        <w:rPr>
          <w:rFonts w:hint="cs"/>
          <w:rtl/>
        </w:rPr>
        <w:t>ّ</w:t>
      </w:r>
      <w:r w:rsidRPr="00822CE9">
        <w:rPr>
          <w:rFonts w:hint="cs"/>
          <w:rtl/>
        </w:rPr>
        <w:t>ا إذا لم يصدق عليه أن</w:t>
      </w:r>
      <w:r w:rsidR="00783C9F">
        <w:rPr>
          <w:rFonts w:hint="cs"/>
          <w:rtl/>
        </w:rPr>
        <w:t>ّ</w:t>
      </w:r>
      <w:r w:rsidRPr="00822CE9">
        <w:rPr>
          <w:rFonts w:hint="cs"/>
          <w:rtl/>
        </w:rPr>
        <w:t>ه كافر، فكيف يحكم بتعدية الحكم من المرتدّ إلى غيره، فإن</w:t>
      </w:r>
      <w:r w:rsidR="00783C9F">
        <w:rPr>
          <w:rFonts w:hint="cs"/>
          <w:rtl/>
        </w:rPr>
        <w:t>ّ</w:t>
      </w:r>
      <w:r w:rsidRPr="00822CE9">
        <w:rPr>
          <w:rFonts w:hint="cs"/>
          <w:rtl/>
        </w:rPr>
        <w:t xml:space="preserve"> قانون الأولوي</w:t>
      </w:r>
      <w:r w:rsidR="00783C9F">
        <w:rPr>
          <w:rFonts w:hint="cs"/>
          <w:rtl/>
        </w:rPr>
        <w:t>ّ</w:t>
      </w:r>
      <w:r w:rsidRPr="00822CE9">
        <w:rPr>
          <w:rFonts w:hint="cs"/>
          <w:rtl/>
        </w:rPr>
        <w:t>ة غير واضح هنا، فإن</w:t>
      </w:r>
      <w:r w:rsidR="00783C9F">
        <w:rPr>
          <w:rFonts w:hint="cs"/>
          <w:rtl/>
        </w:rPr>
        <w:t>ّ</w:t>
      </w:r>
      <w:r w:rsidRPr="00822CE9">
        <w:rPr>
          <w:rFonts w:hint="cs"/>
          <w:rtl/>
        </w:rPr>
        <w:t xml:space="preserve"> من لا يخرج عن الدين يفترض أن يكون عقابه أخف</w:t>
      </w:r>
      <w:r w:rsidR="00783C9F">
        <w:rPr>
          <w:rFonts w:hint="cs"/>
          <w:rtl/>
        </w:rPr>
        <w:t>ّ</w:t>
      </w:r>
      <w:r w:rsidRPr="00822CE9">
        <w:rPr>
          <w:rFonts w:hint="cs"/>
          <w:rtl/>
        </w:rPr>
        <w:t xml:space="preserve"> مم</w:t>
      </w:r>
      <w:r w:rsidR="00783C9F">
        <w:rPr>
          <w:rFonts w:hint="cs"/>
          <w:rtl/>
        </w:rPr>
        <w:t>ّ</w:t>
      </w:r>
      <w:r w:rsidRPr="00822CE9">
        <w:rPr>
          <w:rFonts w:hint="cs"/>
          <w:rtl/>
        </w:rPr>
        <w:t xml:space="preserve">ن </w:t>
      </w:r>
      <w:r w:rsidRPr="00822CE9">
        <w:rPr>
          <w:rFonts w:hint="cs"/>
          <w:rtl/>
        </w:rPr>
        <w:lastRenderedPageBreak/>
        <w:t>خرج، فكيف يستند إلى إطلاقات أدلّة قتل المرتد في الحكم بقتل شخص لم يرتد</w:t>
      </w:r>
      <w:r w:rsidR="00783C9F">
        <w:rPr>
          <w:rFonts w:hint="cs"/>
          <w:rtl/>
        </w:rPr>
        <w:t>ّ بعد؟ وكيف يستند إلى قانون الأ</w:t>
      </w:r>
      <w:r w:rsidRPr="00822CE9">
        <w:rPr>
          <w:rFonts w:hint="cs"/>
          <w:rtl/>
        </w:rPr>
        <w:t>ولوي</w:t>
      </w:r>
      <w:r w:rsidR="00783C9F">
        <w:rPr>
          <w:rFonts w:hint="cs"/>
          <w:rtl/>
        </w:rPr>
        <w:t>ّ</w:t>
      </w:r>
      <w:r w:rsidRPr="00822CE9">
        <w:rPr>
          <w:rFonts w:hint="cs"/>
          <w:rtl/>
        </w:rPr>
        <w:t>ة للوصول إلى النتيجة نفسها؟!</w:t>
      </w:r>
    </w:p>
    <w:p w14:paraId="410A3DA0" w14:textId="77777777" w:rsidR="004A3040" w:rsidRDefault="000A4159" w:rsidP="004A3040">
      <w:pPr>
        <w:spacing w:line="214" w:lineRule="auto"/>
        <w:rPr>
          <w:rtl/>
        </w:rPr>
      </w:pPr>
      <w:r w:rsidRPr="00783C9F">
        <w:rPr>
          <w:rFonts w:hint="cs"/>
          <w:b/>
          <w:bCs/>
          <w:rtl/>
        </w:rPr>
        <w:t>ثالثاً:</w:t>
      </w:r>
      <w:r w:rsidRPr="00822CE9">
        <w:rPr>
          <w:rFonts w:hint="cs"/>
          <w:rtl/>
        </w:rPr>
        <w:t xml:space="preserve"> إنّ لدينا احتمالاً نجده الأرجح في تفسير مقو</w:t>
      </w:r>
      <w:r w:rsidR="00783C9F">
        <w:rPr>
          <w:rFonts w:hint="cs"/>
          <w:rtl/>
        </w:rPr>
        <w:t>لة «المبتدع ـ أهل البدعة»، وهو أن يراد بهم أ</w:t>
      </w:r>
      <w:r w:rsidRPr="00822CE9">
        <w:rPr>
          <w:rFonts w:hint="cs"/>
          <w:rtl/>
        </w:rPr>
        <w:t>ولئك الذين يختلقون الانحرافات الفكرية في مجتمع المسلمين ويأتون بأفكار يتبعهم الناس عليها، وذلك خارج نطاق الاجتهاد المشروع في الشريعة الإسلامي</w:t>
      </w:r>
      <w:r w:rsidR="00783C9F">
        <w:rPr>
          <w:rFonts w:hint="cs"/>
          <w:rtl/>
        </w:rPr>
        <w:t>ّ</w:t>
      </w:r>
      <w:r w:rsidRPr="00822CE9">
        <w:rPr>
          <w:rFonts w:hint="cs"/>
          <w:rtl/>
        </w:rPr>
        <w:t>ة، وهذا معناه أنّ هذا الحكم لا يسري على من يؤمن بهذه البدع أو ينشرها أو يتبعها، فهذا لا يصدق عليه أن</w:t>
      </w:r>
      <w:r w:rsidR="00783C9F">
        <w:rPr>
          <w:rFonts w:hint="cs"/>
          <w:rtl/>
        </w:rPr>
        <w:t>ّ</w:t>
      </w:r>
      <w:r w:rsidRPr="00822CE9">
        <w:rPr>
          <w:rFonts w:hint="cs"/>
          <w:rtl/>
        </w:rPr>
        <w:t>ه مبتدع أو صاحب بدعة، فمثلاً إمام المذهب الفلاني يمكن أن يكون صاحب بدعة، أم</w:t>
      </w:r>
      <w:r w:rsidR="00783C9F">
        <w:rPr>
          <w:rFonts w:hint="cs"/>
          <w:rtl/>
        </w:rPr>
        <w:t>ّ</w:t>
      </w:r>
      <w:r w:rsidRPr="00822CE9">
        <w:rPr>
          <w:rFonts w:hint="cs"/>
          <w:rtl/>
        </w:rPr>
        <w:t xml:space="preserve">ا </w:t>
      </w:r>
      <w:r w:rsidR="00D4530F">
        <w:rPr>
          <w:rFonts w:hint="cs"/>
          <w:rtl/>
        </w:rPr>
        <w:t>أ</w:t>
      </w:r>
      <w:r w:rsidRPr="00822CE9">
        <w:rPr>
          <w:rFonts w:hint="cs"/>
          <w:rtl/>
        </w:rPr>
        <w:t>نصار هذا المذهب على مرّ التاريخ فهؤلاء لا يسمّون ـ عرفاً ـ مبتدعة أو أصحاب بدعة حتى تجري عليهم الأحكام، من هنا فما استند إليه بعض الفقهاء في باب الغيبة، من جواز غيبة أهل السنّة وبهتانهم والوقيعة فيهم؛ تمس</w:t>
      </w:r>
      <w:r w:rsidR="00783C9F">
        <w:rPr>
          <w:rFonts w:hint="cs"/>
          <w:rtl/>
        </w:rPr>
        <w:t xml:space="preserve">ّكاً </w:t>
      </w:r>
      <w:r w:rsidRPr="00822CE9">
        <w:rPr>
          <w:rFonts w:hint="cs"/>
          <w:rtl/>
        </w:rPr>
        <w:t>بما دلّ على ذلك في أهل البدع</w:t>
      </w:r>
      <w:r w:rsidR="00783C9F">
        <w:rPr>
          <w:rFonts w:hint="cs"/>
          <w:rtl/>
        </w:rPr>
        <w:t>،</w:t>
      </w:r>
      <w:r w:rsidRPr="00822CE9">
        <w:rPr>
          <w:rFonts w:hint="cs"/>
          <w:rtl/>
        </w:rPr>
        <w:t xml:space="preserve"> في غير محلّه، وهكذا لا يسمّى السلطان صاحب بدعة لمجرّد سماح</w:t>
      </w:r>
      <w:r w:rsidR="00783C9F">
        <w:rPr>
          <w:rFonts w:hint="cs"/>
          <w:rtl/>
        </w:rPr>
        <w:t>ه</w:t>
      </w:r>
      <w:r w:rsidRPr="00822CE9">
        <w:rPr>
          <w:rFonts w:hint="cs"/>
          <w:rtl/>
        </w:rPr>
        <w:t xml:space="preserve"> لأهل البدع بالترويج لبدعهم، فشمول الحكم له في غاية الصعوبة، إلاّ في فروض قليلة.</w:t>
      </w:r>
    </w:p>
    <w:p w14:paraId="40EAFA1E" w14:textId="77777777" w:rsidR="000A4159" w:rsidRPr="00822CE9" w:rsidRDefault="004A3040" w:rsidP="004A3040">
      <w:pPr>
        <w:spacing w:line="214" w:lineRule="auto"/>
        <w:rPr>
          <w:rtl/>
        </w:rPr>
      </w:pPr>
      <w:r>
        <w:rPr>
          <w:rFonts w:hint="cs"/>
          <w:rtl/>
        </w:rPr>
        <w:t>وقد بحثنا بشيءٍ من التفصيل في هذا الموضوع في محلّه</w:t>
      </w:r>
      <w:r w:rsidRPr="000A4159">
        <w:rPr>
          <w:rFonts w:cs="Taher"/>
          <w:vertAlign w:val="superscript"/>
          <w:rtl/>
        </w:rPr>
        <w:t>(</w:t>
      </w:r>
      <w:r w:rsidRPr="000A4159">
        <w:rPr>
          <w:rStyle w:val="FootnoteReference"/>
          <w:rFonts w:cs="Taher"/>
          <w:rtl/>
        </w:rPr>
        <w:footnoteReference w:id="40"/>
      </w:r>
      <w:r w:rsidRPr="000A4159">
        <w:rPr>
          <w:rFonts w:cs="Taher"/>
          <w:vertAlign w:val="superscript"/>
          <w:rtl/>
        </w:rPr>
        <w:t>)</w:t>
      </w:r>
      <w:r>
        <w:rPr>
          <w:rFonts w:hint="cs"/>
          <w:rtl/>
        </w:rPr>
        <w:t>، فلا نعيد.</w:t>
      </w:r>
    </w:p>
    <w:p w14:paraId="118A2652" w14:textId="77777777" w:rsidR="00783C9F" w:rsidRDefault="000A4159" w:rsidP="00783C9F">
      <w:pPr>
        <w:spacing w:line="214" w:lineRule="auto"/>
        <w:rPr>
          <w:b/>
          <w:bCs/>
          <w:rtl/>
        </w:rPr>
      </w:pPr>
      <w:r w:rsidRPr="00783C9F">
        <w:rPr>
          <w:rFonts w:hint="cs"/>
          <w:b/>
          <w:bCs/>
          <w:rtl/>
        </w:rPr>
        <w:t>وعليه، فهذا الدليل غير تام</w:t>
      </w:r>
      <w:r w:rsidR="00783C9F">
        <w:rPr>
          <w:rFonts w:hint="cs"/>
          <w:b/>
          <w:bCs/>
          <w:rtl/>
        </w:rPr>
        <w:t>ّ</w:t>
      </w:r>
      <w:r w:rsidRPr="00783C9F">
        <w:rPr>
          <w:rFonts w:hint="cs"/>
          <w:b/>
          <w:bCs/>
          <w:rtl/>
        </w:rPr>
        <w:t>.</w:t>
      </w:r>
    </w:p>
    <w:p w14:paraId="7BECCDF5" w14:textId="77777777" w:rsidR="00783C9F" w:rsidRPr="00C10EB2" w:rsidRDefault="00783C9F" w:rsidP="00BF0865">
      <w:pPr>
        <w:pStyle w:val="Heading2"/>
        <w:rPr>
          <w:rtl/>
        </w:rPr>
      </w:pPr>
      <w:bookmarkStart w:id="30" w:name="_Toc143804105"/>
      <w:bookmarkStart w:id="31" w:name="_Toc238123230"/>
      <w:r w:rsidRPr="00C10EB2">
        <w:rPr>
          <w:rFonts w:hint="cs"/>
          <w:rtl/>
        </w:rPr>
        <w:t>9 ـ فلسفة وجود الدولة الإسلاميّة بمثابة تبرير للثورة غير السلميّة، وقفات نقديّة</w:t>
      </w:r>
      <w:bookmarkEnd w:id="30"/>
      <w:bookmarkEnd w:id="31"/>
    </w:p>
    <w:p w14:paraId="46A63CB8" w14:textId="77777777" w:rsidR="000A4159" w:rsidRPr="00822CE9" w:rsidRDefault="000A4159" w:rsidP="00783C9F">
      <w:pPr>
        <w:spacing w:line="214" w:lineRule="auto"/>
        <w:rPr>
          <w:rtl/>
        </w:rPr>
      </w:pPr>
      <w:r w:rsidRPr="00783C9F">
        <w:rPr>
          <w:rFonts w:hint="cs"/>
          <w:b/>
          <w:bCs/>
          <w:rtl/>
        </w:rPr>
        <w:t>تاسع</w:t>
      </w:r>
      <w:r w:rsidR="00783C9F">
        <w:rPr>
          <w:rFonts w:hint="cs"/>
          <w:b/>
          <w:bCs/>
          <w:rtl/>
        </w:rPr>
        <w:t xml:space="preserve"> المحاولات هنا </w:t>
      </w:r>
      <w:r w:rsidR="00783C9F" w:rsidRPr="00783C9F">
        <w:rPr>
          <w:rFonts w:hint="cs"/>
          <w:rtl/>
        </w:rPr>
        <w:t xml:space="preserve">هو </w:t>
      </w:r>
      <w:r w:rsidRPr="00783C9F">
        <w:rPr>
          <w:rFonts w:hint="cs"/>
          <w:rtl/>
        </w:rPr>
        <w:t>ال</w:t>
      </w:r>
      <w:r w:rsidRPr="00822CE9">
        <w:rPr>
          <w:rFonts w:hint="cs"/>
          <w:rtl/>
        </w:rPr>
        <w:t>نصوص الديني</w:t>
      </w:r>
      <w:r w:rsidR="00783C9F">
        <w:rPr>
          <w:rFonts w:hint="cs"/>
          <w:rtl/>
        </w:rPr>
        <w:t>ّ</w:t>
      </w:r>
      <w:r w:rsidRPr="00822CE9">
        <w:rPr>
          <w:rFonts w:hint="cs"/>
          <w:rtl/>
        </w:rPr>
        <w:t>ة والتحليلات العقلاني</w:t>
      </w:r>
      <w:r w:rsidR="00783C9F">
        <w:rPr>
          <w:rFonts w:hint="cs"/>
          <w:rtl/>
        </w:rPr>
        <w:t>ّ</w:t>
      </w:r>
      <w:r w:rsidRPr="00822CE9">
        <w:rPr>
          <w:rFonts w:hint="cs"/>
          <w:rtl/>
        </w:rPr>
        <w:t xml:space="preserve">ة التي تفيد أنّ </w:t>
      </w:r>
      <w:r w:rsidR="00783C9F">
        <w:rPr>
          <w:rFonts w:hint="cs"/>
          <w:rtl/>
        </w:rPr>
        <w:t xml:space="preserve">الدولة </w:t>
      </w:r>
      <w:r w:rsidRPr="00822CE9">
        <w:rPr>
          <w:rFonts w:hint="cs"/>
          <w:rtl/>
        </w:rPr>
        <w:t>في الإسلام إن</w:t>
      </w:r>
      <w:r w:rsidR="00783C9F">
        <w:rPr>
          <w:rFonts w:hint="cs"/>
          <w:rtl/>
        </w:rPr>
        <w:t>ّ</w:t>
      </w:r>
      <w:r w:rsidRPr="00822CE9">
        <w:rPr>
          <w:rFonts w:hint="cs"/>
          <w:rtl/>
        </w:rPr>
        <w:t xml:space="preserve">ما شرّعت لتنفيذ أحكام الدين الحنيف وإقامة العدل في الأمّة، فإذا انحرفت عن هذا المسار كان نقضاً للغرض القول بحفظها والتسليم لها والطاعة، فيجب إسقاطها كي لا </w:t>
      </w:r>
      <w:r w:rsidR="00783C9F">
        <w:rPr>
          <w:rFonts w:hint="cs"/>
          <w:rtl/>
        </w:rPr>
        <w:t>ت</w:t>
      </w:r>
      <w:r w:rsidRPr="00822CE9">
        <w:rPr>
          <w:rFonts w:hint="cs"/>
          <w:rtl/>
        </w:rPr>
        <w:t>تعط</w:t>
      </w:r>
      <w:r w:rsidR="00783C9F">
        <w:rPr>
          <w:rFonts w:hint="cs"/>
          <w:rtl/>
        </w:rPr>
        <w:t>ّ</w:t>
      </w:r>
      <w:r w:rsidRPr="00822CE9">
        <w:rPr>
          <w:rFonts w:hint="cs"/>
          <w:rtl/>
        </w:rPr>
        <w:t>ل حدود الإسلام</w:t>
      </w:r>
      <w:r w:rsidRPr="000A4159">
        <w:rPr>
          <w:rFonts w:cs="Taher"/>
          <w:vertAlign w:val="superscript"/>
          <w:rtl/>
        </w:rPr>
        <w:t>(</w:t>
      </w:r>
      <w:r w:rsidRPr="000A4159">
        <w:rPr>
          <w:rStyle w:val="FootnoteReference"/>
          <w:rFonts w:cs="Taher"/>
          <w:rtl/>
        </w:rPr>
        <w:footnoteReference w:id="41"/>
      </w:r>
      <w:r w:rsidRPr="000A4159">
        <w:rPr>
          <w:rFonts w:cs="Taher"/>
          <w:vertAlign w:val="superscript"/>
          <w:rtl/>
        </w:rPr>
        <w:t>)</w:t>
      </w:r>
      <w:r w:rsidRPr="00822CE9">
        <w:rPr>
          <w:rtl/>
        </w:rPr>
        <w:t>.</w:t>
      </w:r>
    </w:p>
    <w:p w14:paraId="72743D7A" w14:textId="77777777" w:rsidR="000A4159" w:rsidRPr="00822CE9" w:rsidRDefault="000A4159" w:rsidP="00783C9F">
      <w:pPr>
        <w:spacing w:line="214" w:lineRule="auto"/>
        <w:rPr>
          <w:rtl/>
        </w:rPr>
      </w:pPr>
      <w:r w:rsidRPr="00783C9F">
        <w:rPr>
          <w:rFonts w:hint="cs"/>
          <w:b/>
          <w:bCs/>
          <w:rtl/>
        </w:rPr>
        <w:t>وقد ي</w:t>
      </w:r>
      <w:r w:rsidR="00783C9F" w:rsidRPr="00783C9F">
        <w:rPr>
          <w:rFonts w:hint="cs"/>
          <w:b/>
          <w:bCs/>
          <w:rtl/>
        </w:rPr>
        <w:t>ُ</w:t>
      </w:r>
      <w:r w:rsidRPr="00783C9F">
        <w:rPr>
          <w:rFonts w:hint="cs"/>
          <w:b/>
          <w:bCs/>
          <w:rtl/>
        </w:rPr>
        <w:t>قدّم هذا الدليل بشكل</w:t>
      </w:r>
      <w:r w:rsidR="00783C9F" w:rsidRPr="00783C9F">
        <w:rPr>
          <w:rFonts w:hint="cs"/>
          <w:b/>
          <w:bCs/>
          <w:rtl/>
        </w:rPr>
        <w:t>ٍ</w:t>
      </w:r>
      <w:r w:rsidRPr="00783C9F">
        <w:rPr>
          <w:rFonts w:hint="cs"/>
          <w:b/>
          <w:bCs/>
          <w:rtl/>
        </w:rPr>
        <w:t xml:space="preserve"> آخر،</w:t>
      </w:r>
      <w:r w:rsidRPr="00822CE9">
        <w:rPr>
          <w:rFonts w:hint="cs"/>
          <w:rtl/>
        </w:rPr>
        <w:t xml:space="preserve"> وذلك بأن نقول: إننا نطب</w:t>
      </w:r>
      <w:r w:rsidR="00783C9F">
        <w:rPr>
          <w:rFonts w:hint="cs"/>
          <w:rtl/>
        </w:rPr>
        <w:t>ّق</w:t>
      </w:r>
      <w:r w:rsidRPr="00822CE9">
        <w:rPr>
          <w:rFonts w:hint="cs"/>
          <w:rtl/>
        </w:rPr>
        <w:t xml:space="preserve"> قواعد التزاحم في حالة انحراف الحاكم وعدم شرعي</w:t>
      </w:r>
      <w:r w:rsidR="00783C9F">
        <w:rPr>
          <w:rFonts w:hint="cs"/>
          <w:rtl/>
        </w:rPr>
        <w:t>ّ</w:t>
      </w:r>
      <w:r w:rsidRPr="00822CE9">
        <w:rPr>
          <w:rFonts w:hint="cs"/>
          <w:rtl/>
        </w:rPr>
        <w:t>ته، بحيث يكون تطبيق الإسلام الصحيح أهم</w:t>
      </w:r>
      <w:r w:rsidR="00783C9F">
        <w:rPr>
          <w:rFonts w:hint="cs"/>
          <w:rtl/>
        </w:rPr>
        <w:t>ّ</w:t>
      </w:r>
      <w:r w:rsidRPr="00822CE9">
        <w:rPr>
          <w:rFonts w:hint="cs"/>
          <w:rtl/>
        </w:rPr>
        <w:t xml:space="preserve"> من قتل نفوس </w:t>
      </w:r>
      <w:r w:rsidRPr="00822CE9">
        <w:rPr>
          <w:rFonts w:hint="cs"/>
          <w:rtl/>
        </w:rPr>
        <w:lastRenderedPageBreak/>
        <w:t>المسلمين، فأهمي</w:t>
      </w:r>
      <w:r w:rsidR="00783C9F">
        <w:rPr>
          <w:rFonts w:hint="cs"/>
          <w:rtl/>
        </w:rPr>
        <w:t>ّ</w:t>
      </w:r>
      <w:r w:rsidRPr="00822CE9">
        <w:rPr>
          <w:rFonts w:hint="cs"/>
          <w:rtl/>
        </w:rPr>
        <w:t>ة ا</w:t>
      </w:r>
      <w:r w:rsidR="00783C9F">
        <w:rPr>
          <w:rFonts w:hint="cs"/>
          <w:rtl/>
        </w:rPr>
        <w:t>لحكومة تُقدَّم على أ</w:t>
      </w:r>
      <w:r w:rsidRPr="00822CE9">
        <w:rPr>
          <w:rFonts w:hint="cs"/>
          <w:rtl/>
        </w:rPr>
        <w:t>همية الدماء</w:t>
      </w:r>
      <w:r w:rsidR="00783C9F">
        <w:rPr>
          <w:rFonts w:hint="cs"/>
          <w:rtl/>
        </w:rPr>
        <w:t>،</w:t>
      </w:r>
      <w:r w:rsidRPr="00822CE9">
        <w:rPr>
          <w:rFonts w:hint="cs"/>
          <w:rtl/>
        </w:rPr>
        <w:t xml:space="preserve"> فيجب القتال لإسقاط الأنظمة المنحرفة</w:t>
      </w:r>
      <w:r w:rsidRPr="000A4159">
        <w:rPr>
          <w:rFonts w:cs="Taher"/>
          <w:vertAlign w:val="superscript"/>
          <w:rtl/>
        </w:rPr>
        <w:t>(</w:t>
      </w:r>
      <w:r w:rsidRPr="000A4159">
        <w:rPr>
          <w:rStyle w:val="FootnoteReference"/>
          <w:rFonts w:cs="Taher"/>
          <w:rtl/>
        </w:rPr>
        <w:footnoteReference w:id="42"/>
      </w:r>
      <w:r w:rsidRPr="000A4159">
        <w:rPr>
          <w:rFonts w:cs="Taher"/>
          <w:vertAlign w:val="superscript"/>
          <w:rtl/>
        </w:rPr>
        <w:t>)</w:t>
      </w:r>
      <w:r w:rsidR="00783C9F">
        <w:rPr>
          <w:rtl/>
        </w:rPr>
        <w:t>.</w:t>
      </w:r>
    </w:p>
    <w:p w14:paraId="70675AF7" w14:textId="77777777" w:rsidR="000A4159" w:rsidRPr="00783C9F" w:rsidRDefault="000A4159" w:rsidP="00A079D6">
      <w:pPr>
        <w:spacing w:line="214" w:lineRule="auto"/>
        <w:rPr>
          <w:b/>
          <w:bCs/>
          <w:rtl/>
        </w:rPr>
      </w:pPr>
      <w:r w:rsidRPr="00783C9F">
        <w:rPr>
          <w:rFonts w:hint="cs"/>
          <w:b/>
          <w:bCs/>
          <w:rtl/>
        </w:rPr>
        <w:t>وهذا الدليل غير تام</w:t>
      </w:r>
      <w:r w:rsidR="00783C9F">
        <w:rPr>
          <w:rFonts w:hint="cs"/>
          <w:b/>
          <w:bCs/>
          <w:rtl/>
        </w:rPr>
        <w:t>ّ</w:t>
      </w:r>
      <w:r w:rsidRPr="00783C9F">
        <w:rPr>
          <w:rFonts w:hint="cs"/>
          <w:b/>
          <w:bCs/>
          <w:rtl/>
        </w:rPr>
        <w:t>؛ وذلك:</w:t>
      </w:r>
    </w:p>
    <w:p w14:paraId="4819BA6E" w14:textId="77777777" w:rsidR="000A4159" w:rsidRPr="00822CE9" w:rsidRDefault="000A4159" w:rsidP="000427FA">
      <w:pPr>
        <w:rPr>
          <w:rtl/>
        </w:rPr>
      </w:pPr>
      <w:r w:rsidRPr="00783C9F">
        <w:rPr>
          <w:rFonts w:hint="cs"/>
          <w:b/>
          <w:bCs/>
          <w:rtl/>
        </w:rPr>
        <w:t>أ</w:t>
      </w:r>
      <w:r w:rsidR="00783C9F">
        <w:rPr>
          <w:rFonts w:hint="cs"/>
          <w:b/>
          <w:bCs/>
          <w:rtl/>
        </w:rPr>
        <w:t xml:space="preserve"> </w:t>
      </w:r>
      <w:r w:rsidRPr="00783C9F">
        <w:rPr>
          <w:rFonts w:hint="cs"/>
          <w:b/>
          <w:bCs/>
          <w:rtl/>
        </w:rPr>
        <w:t xml:space="preserve">ـ </w:t>
      </w:r>
      <w:r w:rsidRPr="00822CE9">
        <w:rPr>
          <w:rFonts w:hint="cs"/>
          <w:rtl/>
        </w:rPr>
        <w:t>إن</w:t>
      </w:r>
      <w:r w:rsidR="00783C9F">
        <w:rPr>
          <w:rFonts w:hint="cs"/>
          <w:rtl/>
        </w:rPr>
        <w:t>ّ</w:t>
      </w:r>
      <w:r w:rsidRPr="00822CE9">
        <w:rPr>
          <w:rFonts w:hint="cs"/>
          <w:rtl/>
        </w:rPr>
        <w:t xml:space="preserve"> مبدأ تطبيق الإسلام وبسط قيمه على المجتمع لا نناقش فيه، فإن</w:t>
      </w:r>
      <w:r w:rsidR="00783C9F">
        <w:rPr>
          <w:rFonts w:hint="cs"/>
          <w:rtl/>
        </w:rPr>
        <w:t>ّ ذلك من الواضحات التي أ</w:t>
      </w:r>
      <w:r w:rsidRPr="00822CE9">
        <w:rPr>
          <w:rFonts w:hint="cs"/>
          <w:rtl/>
        </w:rPr>
        <w:t>رادتها السماء لبني آدم؛ إلا أن</w:t>
      </w:r>
      <w:r w:rsidR="00783C9F">
        <w:rPr>
          <w:rFonts w:hint="cs"/>
          <w:rtl/>
        </w:rPr>
        <w:t>ّ</w:t>
      </w:r>
      <w:r w:rsidRPr="00822CE9">
        <w:rPr>
          <w:rFonts w:hint="cs"/>
          <w:rtl/>
        </w:rPr>
        <w:t xml:space="preserve"> الكلام في الوسائل، فمحض ذلك لا يبرّر الدخول في سفك دماء المسلمين</w:t>
      </w:r>
      <w:r w:rsidR="00783C9F">
        <w:rPr>
          <w:rFonts w:hint="cs"/>
          <w:rtl/>
        </w:rPr>
        <w:t>،</w:t>
      </w:r>
      <w:r w:rsidRPr="00822CE9">
        <w:rPr>
          <w:rFonts w:hint="cs"/>
          <w:rtl/>
        </w:rPr>
        <w:t xml:space="preserve"> فهذه الأدلّة ساكتة عن الوسائل، و</w:t>
      </w:r>
      <w:r w:rsidR="00783C9F">
        <w:rPr>
          <w:rFonts w:hint="cs"/>
          <w:rtl/>
        </w:rPr>
        <w:t>ت</w:t>
      </w:r>
      <w:r w:rsidRPr="00822CE9">
        <w:rPr>
          <w:rFonts w:hint="cs"/>
          <w:rtl/>
        </w:rPr>
        <w:t>تحدّث عن الغايات</w:t>
      </w:r>
      <w:r w:rsidR="00783C9F">
        <w:rPr>
          <w:rFonts w:hint="cs"/>
          <w:rtl/>
        </w:rPr>
        <w:t xml:space="preserve">. </w:t>
      </w:r>
      <w:r w:rsidRPr="00822CE9">
        <w:rPr>
          <w:rFonts w:hint="cs"/>
          <w:rtl/>
        </w:rPr>
        <w:t>نعم إذا كانت غاية الإسلام ونظامه إقامة العدل وقيم الدين فمن نقض الغرض دعم سلاطين الجور والعمل على حفظ نفوذهم، أم</w:t>
      </w:r>
      <w:r w:rsidR="00783C9F">
        <w:rPr>
          <w:rFonts w:hint="cs"/>
          <w:rtl/>
        </w:rPr>
        <w:t>ّ</w:t>
      </w:r>
      <w:r w:rsidRPr="00822CE9">
        <w:rPr>
          <w:rFonts w:hint="cs"/>
          <w:rtl/>
        </w:rPr>
        <w:t>ا هل لا تكفي المعارضة السلمي</w:t>
      </w:r>
      <w:r w:rsidR="00783C9F">
        <w:rPr>
          <w:rFonts w:hint="cs"/>
          <w:rtl/>
        </w:rPr>
        <w:t>ّ</w:t>
      </w:r>
      <w:r w:rsidRPr="00822CE9">
        <w:rPr>
          <w:rFonts w:hint="cs"/>
          <w:rtl/>
        </w:rPr>
        <w:t>ة له؟ وهل عدم تبن</w:t>
      </w:r>
      <w:r w:rsidR="00783C9F">
        <w:rPr>
          <w:rFonts w:hint="cs"/>
          <w:rtl/>
        </w:rPr>
        <w:t>ّ</w:t>
      </w:r>
      <w:r w:rsidRPr="00822CE9">
        <w:rPr>
          <w:rFonts w:hint="cs"/>
          <w:rtl/>
        </w:rPr>
        <w:t>ي خيار المقاومة العسكري</w:t>
      </w:r>
      <w:r w:rsidR="00783C9F">
        <w:rPr>
          <w:rFonts w:hint="cs"/>
          <w:rtl/>
        </w:rPr>
        <w:t>ّ</w:t>
      </w:r>
      <w:r w:rsidRPr="00822CE9">
        <w:rPr>
          <w:rFonts w:hint="cs"/>
          <w:rtl/>
        </w:rPr>
        <w:t>ة يعني نقضاً لشريعة الإسلام وقيمه</w:t>
      </w:r>
      <w:r w:rsidR="00783C9F">
        <w:rPr>
          <w:rFonts w:hint="cs"/>
          <w:rtl/>
        </w:rPr>
        <w:t>؟!</w:t>
      </w:r>
      <w:r w:rsidRPr="00822CE9">
        <w:rPr>
          <w:rFonts w:hint="cs"/>
          <w:rtl/>
        </w:rPr>
        <w:t xml:space="preserve"> هذا ما لا دليل عليه إطلاقاً، ولو كان هذا صحيحاً لجاز قتل كلّ عاص</w:t>
      </w:r>
      <w:r w:rsidR="00783C9F">
        <w:rPr>
          <w:rFonts w:hint="cs"/>
          <w:rtl/>
        </w:rPr>
        <w:t>ٍ؛</w:t>
      </w:r>
      <w:r w:rsidRPr="00822CE9">
        <w:rPr>
          <w:rFonts w:hint="cs"/>
          <w:rtl/>
        </w:rPr>
        <w:t xml:space="preserve"> لأن</w:t>
      </w:r>
      <w:r w:rsidR="00783C9F">
        <w:rPr>
          <w:rFonts w:hint="cs"/>
          <w:rtl/>
        </w:rPr>
        <w:t>ّ</w:t>
      </w:r>
      <w:r w:rsidRPr="00822CE9">
        <w:rPr>
          <w:rFonts w:hint="cs"/>
          <w:rtl/>
        </w:rPr>
        <w:t xml:space="preserve"> الغرض هو حلول الطاعة في حياة الإنسان محلّ المعصية، وكما دلّ الدليل على عدم شرعي</w:t>
      </w:r>
      <w:r w:rsidR="00783C9F">
        <w:rPr>
          <w:rFonts w:hint="cs"/>
          <w:rtl/>
        </w:rPr>
        <w:t>ّ</w:t>
      </w:r>
      <w:r w:rsidRPr="00822CE9">
        <w:rPr>
          <w:rFonts w:hint="cs"/>
          <w:rtl/>
        </w:rPr>
        <w:t>ة قتل العاصي، كذلك دلّ الدليل القطعي على عدم جواز قتل المسلمين وإيقاع الفتن الداخلي</w:t>
      </w:r>
      <w:r w:rsidR="00783C9F">
        <w:rPr>
          <w:rFonts w:hint="cs"/>
          <w:rtl/>
        </w:rPr>
        <w:t>ّ</w:t>
      </w:r>
      <w:r w:rsidRPr="00822CE9">
        <w:rPr>
          <w:rFonts w:hint="cs"/>
          <w:rtl/>
        </w:rPr>
        <w:t>ة بينهم، فالصيغة الأولى لهذا الدليل غير تام</w:t>
      </w:r>
      <w:r w:rsidR="00783C9F">
        <w:rPr>
          <w:rFonts w:hint="cs"/>
          <w:rtl/>
        </w:rPr>
        <w:t>ّ</w:t>
      </w:r>
      <w:r w:rsidRPr="00822CE9">
        <w:rPr>
          <w:rFonts w:hint="cs"/>
          <w:rtl/>
        </w:rPr>
        <w:t>ة.</w:t>
      </w:r>
    </w:p>
    <w:p w14:paraId="1E11DBD0" w14:textId="77777777" w:rsidR="000A4159" w:rsidRPr="00822CE9" w:rsidRDefault="000A4159" w:rsidP="000427FA">
      <w:pPr>
        <w:pStyle w:val="normal930"/>
        <w:rPr>
          <w:rtl/>
        </w:rPr>
      </w:pPr>
      <w:r w:rsidRPr="00783C9F">
        <w:rPr>
          <w:rFonts w:hint="cs"/>
          <w:b/>
          <w:bCs/>
          <w:rtl/>
        </w:rPr>
        <w:t xml:space="preserve">ب ـ </w:t>
      </w:r>
      <w:r w:rsidRPr="00822CE9">
        <w:rPr>
          <w:rFonts w:hint="cs"/>
          <w:rtl/>
        </w:rPr>
        <w:t>إنّ الاستناد إلى قانون الأهم</w:t>
      </w:r>
      <w:r w:rsidR="00783C9F">
        <w:rPr>
          <w:rFonts w:hint="cs"/>
          <w:rtl/>
        </w:rPr>
        <w:t>ّ</w:t>
      </w:r>
      <w:r w:rsidRPr="00822CE9">
        <w:rPr>
          <w:rFonts w:hint="cs"/>
          <w:rtl/>
        </w:rPr>
        <w:t xml:space="preserve"> والمهم هنا؛ لإثبات حكم شرعي عام</w:t>
      </w:r>
      <w:r w:rsidR="00783C9F">
        <w:rPr>
          <w:rFonts w:hint="cs"/>
          <w:rtl/>
        </w:rPr>
        <w:t>،</w:t>
      </w:r>
      <w:r w:rsidRPr="00822CE9">
        <w:rPr>
          <w:rFonts w:hint="cs"/>
          <w:rtl/>
        </w:rPr>
        <w:t xml:space="preserve"> غير واضح أيضاً، فمن الممكن أن تكون الحرب بين المسلمين بغية إقامة نظام إسلامي مثلاً قد اجتمع فيها الأهم</w:t>
      </w:r>
      <w:r w:rsidR="00783C9F">
        <w:rPr>
          <w:rFonts w:hint="cs"/>
          <w:rtl/>
        </w:rPr>
        <w:t>ّ</w:t>
      </w:r>
      <w:r w:rsidRPr="00822CE9">
        <w:rPr>
          <w:rFonts w:hint="cs"/>
          <w:rtl/>
        </w:rPr>
        <w:t xml:space="preserve"> والمهم فيقدّم الأهم، لكن</w:t>
      </w:r>
      <w:r w:rsidR="00783C9F">
        <w:rPr>
          <w:rFonts w:hint="cs"/>
          <w:rtl/>
        </w:rPr>
        <w:t>ّ</w:t>
      </w:r>
      <w:r w:rsidRPr="00822CE9">
        <w:rPr>
          <w:rFonts w:hint="cs"/>
          <w:rtl/>
        </w:rPr>
        <w:t xml:space="preserve"> هذا لا ينتج قاعدة</w:t>
      </w:r>
      <w:r w:rsidR="00783C9F">
        <w:rPr>
          <w:rFonts w:hint="cs"/>
          <w:rtl/>
        </w:rPr>
        <w:t>ً</w:t>
      </w:r>
      <w:r w:rsidRPr="00822CE9">
        <w:rPr>
          <w:rFonts w:hint="cs"/>
          <w:rtl/>
        </w:rPr>
        <w:t xml:space="preserve"> عامة تقول</w:t>
      </w:r>
      <w:r w:rsidR="00783C9F">
        <w:rPr>
          <w:rFonts w:hint="cs"/>
          <w:rtl/>
        </w:rPr>
        <w:t>:</w:t>
      </w:r>
      <w:r w:rsidRPr="00822CE9">
        <w:rPr>
          <w:rFonts w:hint="cs"/>
          <w:rtl/>
        </w:rPr>
        <w:t xml:space="preserve"> كل</w:t>
      </w:r>
      <w:r w:rsidR="00783C9F">
        <w:rPr>
          <w:rFonts w:hint="cs"/>
          <w:rtl/>
        </w:rPr>
        <w:t>ّ</w:t>
      </w:r>
      <w:r w:rsidRPr="00822CE9">
        <w:rPr>
          <w:rFonts w:hint="cs"/>
          <w:rtl/>
        </w:rPr>
        <w:t xml:space="preserve"> حرب لإقامة نظام إسلامي سيكون حالها كذلك.</w:t>
      </w:r>
    </w:p>
    <w:p w14:paraId="2E2A89D7" w14:textId="77777777" w:rsidR="000A4159" w:rsidRPr="00822CE9" w:rsidRDefault="000A4159" w:rsidP="000427FA">
      <w:pPr>
        <w:pStyle w:val="normal930"/>
        <w:rPr>
          <w:rtl/>
        </w:rPr>
      </w:pPr>
      <w:r w:rsidRPr="00783C9F">
        <w:rPr>
          <w:rFonts w:hint="cs"/>
          <w:b/>
          <w:bCs/>
          <w:rtl/>
        </w:rPr>
        <w:t>وبعبارة أخرى</w:t>
      </w:r>
      <w:r w:rsidR="00783C9F">
        <w:rPr>
          <w:rFonts w:hint="cs"/>
          <w:b/>
          <w:bCs/>
          <w:rtl/>
        </w:rPr>
        <w:t>:</w:t>
      </w:r>
      <w:r w:rsidRPr="00822CE9">
        <w:rPr>
          <w:rFonts w:hint="cs"/>
          <w:rtl/>
        </w:rPr>
        <w:t xml:space="preserve"> نحن نريد هنا إعطاء فتوى كليّة مفادها الحكم بوجوب قتال الحاكم ولو أ</w:t>
      </w:r>
      <w:r w:rsidR="00783C9F">
        <w:rPr>
          <w:rFonts w:hint="cs"/>
          <w:rtl/>
        </w:rPr>
        <w:t>دّ</w:t>
      </w:r>
      <w:r w:rsidRPr="00822CE9">
        <w:rPr>
          <w:rFonts w:hint="cs"/>
          <w:rtl/>
        </w:rPr>
        <w:t>ى ذلك إلى حرب</w:t>
      </w:r>
      <w:r w:rsidR="00783C9F">
        <w:rPr>
          <w:rFonts w:hint="cs"/>
          <w:rtl/>
        </w:rPr>
        <w:t>ٍ</w:t>
      </w:r>
      <w:r w:rsidRPr="00822CE9">
        <w:rPr>
          <w:rFonts w:hint="cs"/>
          <w:rtl/>
        </w:rPr>
        <w:t xml:space="preserve"> داخلي</w:t>
      </w:r>
      <w:r w:rsidR="00783C9F">
        <w:rPr>
          <w:rFonts w:hint="cs"/>
          <w:rtl/>
        </w:rPr>
        <w:t>ّ</w:t>
      </w:r>
      <w:r w:rsidRPr="00822CE9">
        <w:rPr>
          <w:rFonts w:hint="cs"/>
          <w:rtl/>
        </w:rPr>
        <w:t>ة بين المسلمين، بهدف تصحيح حكمه، أو إقامة نظام إسلامي، أو</w:t>
      </w:r>
      <w:r w:rsidR="004F1F00">
        <w:rPr>
          <w:rFonts w:hint="cs"/>
          <w:rtl/>
        </w:rPr>
        <w:t xml:space="preserve"> نحو ذلك.</w:t>
      </w:r>
      <w:r w:rsidRPr="00822CE9">
        <w:rPr>
          <w:rFonts w:hint="cs"/>
          <w:rtl/>
        </w:rPr>
        <w:t xml:space="preserve"> وهذا لا يصحّ فيه دائماً جعل الأهم</w:t>
      </w:r>
      <w:r w:rsidR="00783C9F">
        <w:rPr>
          <w:rFonts w:hint="cs"/>
          <w:rtl/>
        </w:rPr>
        <w:t>ّ</w:t>
      </w:r>
      <w:r w:rsidRPr="00822CE9">
        <w:rPr>
          <w:rFonts w:hint="cs"/>
          <w:rtl/>
        </w:rPr>
        <w:t xml:space="preserve"> في طرف واحد</w:t>
      </w:r>
      <w:r w:rsidR="00783C9F">
        <w:rPr>
          <w:rFonts w:hint="cs"/>
          <w:rtl/>
        </w:rPr>
        <w:t>.</w:t>
      </w:r>
      <w:r w:rsidRPr="00822CE9">
        <w:rPr>
          <w:rFonts w:hint="cs"/>
          <w:rtl/>
        </w:rPr>
        <w:t xml:space="preserve"> وكأن</w:t>
      </w:r>
      <w:r w:rsidR="00783C9F">
        <w:rPr>
          <w:rFonts w:hint="cs"/>
          <w:rtl/>
        </w:rPr>
        <w:t>ّ</w:t>
      </w:r>
      <w:r w:rsidRPr="00822CE9">
        <w:rPr>
          <w:rFonts w:hint="cs"/>
          <w:rtl/>
        </w:rPr>
        <w:t xml:space="preserve"> المستدلّ تصوّر أنّ الحرب الداخلي</w:t>
      </w:r>
      <w:r w:rsidR="00783C9F">
        <w:rPr>
          <w:rFonts w:hint="cs"/>
          <w:rtl/>
        </w:rPr>
        <w:t>ّ</w:t>
      </w:r>
      <w:r w:rsidRPr="00822CE9">
        <w:rPr>
          <w:rFonts w:hint="cs"/>
          <w:rtl/>
        </w:rPr>
        <w:t>ة مضمونة النتائج</w:t>
      </w:r>
      <w:r w:rsidR="00783C9F">
        <w:rPr>
          <w:rFonts w:hint="cs"/>
          <w:rtl/>
        </w:rPr>
        <w:t xml:space="preserve"> لصالح الفريق الإسلامي المؤمن، وأ</w:t>
      </w:r>
      <w:r w:rsidRPr="00822CE9">
        <w:rPr>
          <w:rFonts w:hint="cs"/>
          <w:rtl/>
        </w:rPr>
        <w:t>ن</w:t>
      </w:r>
      <w:r w:rsidR="00783C9F">
        <w:rPr>
          <w:rFonts w:hint="cs"/>
          <w:rtl/>
        </w:rPr>
        <w:t>ّ</w:t>
      </w:r>
      <w:r w:rsidRPr="00822CE9">
        <w:rPr>
          <w:rFonts w:hint="cs"/>
          <w:rtl/>
        </w:rPr>
        <w:t>ها لا تطول و.. مع أن</w:t>
      </w:r>
      <w:r w:rsidR="00783C9F">
        <w:rPr>
          <w:rFonts w:hint="cs"/>
          <w:rtl/>
        </w:rPr>
        <w:t>ّ</w:t>
      </w:r>
      <w:r w:rsidRPr="00822CE9">
        <w:rPr>
          <w:rFonts w:hint="cs"/>
          <w:rtl/>
        </w:rPr>
        <w:t xml:space="preserve"> الأمور تختلف من حالة</w:t>
      </w:r>
      <w:r w:rsidR="00783C9F">
        <w:rPr>
          <w:rFonts w:hint="cs"/>
          <w:rtl/>
        </w:rPr>
        <w:t>ٍ لأ</w:t>
      </w:r>
      <w:r w:rsidRPr="00822CE9">
        <w:rPr>
          <w:rFonts w:hint="cs"/>
          <w:rtl/>
        </w:rPr>
        <w:t>خرى، ومن ظرف</w:t>
      </w:r>
      <w:r w:rsidR="00783C9F">
        <w:rPr>
          <w:rFonts w:hint="cs"/>
          <w:rtl/>
        </w:rPr>
        <w:t>ٍ</w:t>
      </w:r>
      <w:r w:rsidRPr="00822CE9">
        <w:rPr>
          <w:rFonts w:hint="cs"/>
          <w:rtl/>
        </w:rPr>
        <w:t xml:space="preserve"> لآخر، ومن مكان</w:t>
      </w:r>
      <w:r w:rsidR="00783C9F">
        <w:rPr>
          <w:rFonts w:hint="cs"/>
          <w:rtl/>
        </w:rPr>
        <w:t>ٍ</w:t>
      </w:r>
      <w:r w:rsidRPr="00822CE9">
        <w:rPr>
          <w:rFonts w:hint="cs"/>
          <w:rtl/>
        </w:rPr>
        <w:t xml:space="preserve"> لآخر.</w:t>
      </w:r>
    </w:p>
    <w:p w14:paraId="30F6B753" w14:textId="77777777" w:rsidR="000A4159" w:rsidRDefault="000A4159" w:rsidP="004F1F00">
      <w:pPr>
        <w:spacing w:line="214" w:lineRule="auto"/>
        <w:rPr>
          <w:rtl/>
        </w:rPr>
      </w:pPr>
      <w:r w:rsidRPr="00783C9F">
        <w:rPr>
          <w:rFonts w:hint="cs"/>
          <w:b/>
          <w:bCs/>
          <w:rtl/>
        </w:rPr>
        <w:t>وحقّ المسألة أن يقال:</w:t>
      </w:r>
      <w:r w:rsidRPr="00822CE9">
        <w:rPr>
          <w:rFonts w:hint="cs"/>
          <w:rtl/>
        </w:rPr>
        <w:t xml:space="preserve"> إن</w:t>
      </w:r>
      <w:r w:rsidR="00783C9F">
        <w:rPr>
          <w:rFonts w:hint="cs"/>
          <w:rtl/>
        </w:rPr>
        <w:t>ّ</w:t>
      </w:r>
      <w:r w:rsidRPr="00822CE9">
        <w:rPr>
          <w:rFonts w:hint="cs"/>
          <w:rtl/>
        </w:rPr>
        <w:t xml:space="preserve"> حصول قانون التزاحم هنا في بعض الفروض ممكن، ويفتى على أساسه بجواز</w:t>
      </w:r>
      <w:r w:rsidR="00783C9F">
        <w:rPr>
          <w:rFonts w:hint="cs"/>
          <w:rtl/>
        </w:rPr>
        <w:t>،</w:t>
      </w:r>
      <w:r w:rsidRPr="00822CE9">
        <w:rPr>
          <w:rFonts w:hint="cs"/>
          <w:rtl/>
        </w:rPr>
        <w:t xml:space="preserve"> وربما وجوب</w:t>
      </w:r>
      <w:r w:rsidR="00783C9F">
        <w:rPr>
          <w:rFonts w:hint="cs"/>
          <w:rtl/>
        </w:rPr>
        <w:t>،</w:t>
      </w:r>
      <w:r w:rsidRPr="00822CE9">
        <w:rPr>
          <w:rFonts w:hint="cs"/>
          <w:rtl/>
        </w:rPr>
        <w:t xml:space="preserve"> قتال الحاكم، لكن</w:t>
      </w:r>
      <w:r w:rsidR="00783C9F">
        <w:rPr>
          <w:rFonts w:hint="cs"/>
          <w:rtl/>
        </w:rPr>
        <w:t>ّ</w:t>
      </w:r>
      <w:r w:rsidRPr="00822CE9">
        <w:rPr>
          <w:rFonts w:hint="cs"/>
          <w:rtl/>
        </w:rPr>
        <w:t xml:space="preserve"> ذلك بالعنوان الثانوي حينئذ</w:t>
      </w:r>
      <w:r w:rsidR="00783C9F">
        <w:rPr>
          <w:rFonts w:hint="cs"/>
          <w:rtl/>
        </w:rPr>
        <w:t>ٍ،</w:t>
      </w:r>
      <w:r w:rsidRPr="00822CE9">
        <w:rPr>
          <w:rFonts w:hint="cs"/>
          <w:rtl/>
        </w:rPr>
        <w:t xml:space="preserve"> لا بالعنوان </w:t>
      </w:r>
      <w:r w:rsidRPr="00822CE9">
        <w:rPr>
          <w:rFonts w:hint="cs"/>
          <w:rtl/>
        </w:rPr>
        <w:lastRenderedPageBreak/>
        <w:t>الأولي الذي ن</w:t>
      </w:r>
      <w:r w:rsidR="0051223A">
        <w:rPr>
          <w:rFonts w:hint="cs"/>
          <w:rtl/>
        </w:rPr>
        <w:t xml:space="preserve">بحثه </w:t>
      </w:r>
      <w:r w:rsidRPr="00822CE9">
        <w:rPr>
          <w:rFonts w:hint="cs"/>
          <w:rtl/>
        </w:rPr>
        <w:t>هنا، ويكون هناك تابعاً لدراسة وحساب المصالح والمفاسد ج</w:t>
      </w:r>
      <w:r w:rsidR="0051223A">
        <w:rPr>
          <w:rFonts w:hint="cs"/>
          <w:rtl/>
        </w:rPr>
        <w:t>ميعاً، وأين هذا مما نحن فيه؟ ولأ</w:t>
      </w:r>
      <w:r w:rsidRPr="00822CE9">
        <w:rPr>
          <w:rFonts w:hint="cs"/>
          <w:rtl/>
        </w:rPr>
        <w:t>جل نظام المصالح والمفاسد لم يخرج الأئم</w:t>
      </w:r>
      <w:r w:rsidR="0051223A">
        <w:rPr>
          <w:rFonts w:hint="cs"/>
          <w:rtl/>
        </w:rPr>
        <w:t>ّ</w:t>
      </w:r>
      <w:r w:rsidRPr="00822CE9">
        <w:rPr>
          <w:rFonts w:hint="cs"/>
          <w:rtl/>
        </w:rPr>
        <w:t>ة ـ بعد الحسين ـ على حك</w:t>
      </w:r>
      <w:r w:rsidR="0051223A">
        <w:rPr>
          <w:rFonts w:hint="cs"/>
          <w:rtl/>
        </w:rPr>
        <w:t>ّ</w:t>
      </w:r>
      <w:r w:rsidRPr="00822CE9">
        <w:rPr>
          <w:rFonts w:hint="cs"/>
          <w:rtl/>
        </w:rPr>
        <w:t>امهم، وإن</w:t>
      </w:r>
      <w:r w:rsidR="0051223A">
        <w:rPr>
          <w:rFonts w:hint="cs"/>
          <w:rtl/>
        </w:rPr>
        <w:t>ّ</w:t>
      </w:r>
      <w:r w:rsidRPr="00822CE9">
        <w:rPr>
          <w:rFonts w:hint="cs"/>
          <w:rtl/>
        </w:rPr>
        <w:t xml:space="preserve">ما اكتفوا بالمعارضة </w:t>
      </w:r>
      <w:r w:rsidR="0051223A">
        <w:rPr>
          <w:rFonts w:hint="cs"/>
          <w:rtl/>
        </w:rPr>
        <w:t>غير المسلّحة</w:t>
      </w:r>
      <w:r w:rsidRPr="00822CE9">
        <w:rPr>
          <w:rFonts w:hint="cs"/>
          <w:rtl/>
        </w:rPr>
        <w:t>، ب</w:t>
      </w:r>
      <w:r w:rsidR="0051223A">
        <w:rPr>
          <w:rFonts w:hint="cs"/>
          <w:rtl/>
        </w:rPr>
        <w:t>ل لم نجدهم خططوا للخروج المسلّح؛</w:t>
      </w:r>
      <w:r w:rsidRPr="00822CE9">
        <w:rPr>
          <w:rFonts w:hint="cs"/>
          <w:rtl/>
        </w:rPr>
        <w:t xml:space="preserve"> لعدم وجود مصالح في ذلك وخوفاً من إبادتهم.</w:t>
      </w:r>
    </w:p>
    <w:p w14:paraId="03E3CA2A" w14:textId="77777777" w:rsidR="00212713" w:rsidRPr="00212713" w:rsidRDefault="00212713" w:rsidP="00BF0865">
      <w:pPr>
        <w:pStyle w:val="Heading2"/>
        <w:rPr>
          <w:rtl/>
        </w:rPr>
      </w:pPr>
      <w:bookmarkStart w:id="32" w:name="_Toc143804106"/>
      <w:bookmarkStart w:id="33" w:name="_Toc238123231"/>
      <w:r w:rsidRPr="00212713">
        <w:rPr>
          <w:rFonts w:hint="cs"/>
          <w:rtl/>
        </w:rPr>
        <w:t>10 ـ مرجعيّ</w:t>
      </w:r>
      <w:r>
        <w:rPr>
          <w:rFonts w:hint="cs"/>
          <w:rtl/>
        </w:rPr>
        <w:t>ة</w:t>
      </w:r>
      <w:r w:rsidRPr="00212713">
        <w:rPr>
          <w:rFonts w:hint="cs"/>
          <w:rtl/>
        </w:rPr>
        <w:t xml:space="preserve"> حدّ المحارب في مواجهة السلطة غير الشرعيّة، نقد وتفنيد</w:t>
      </w:r>
      <w:bookmarkEnd w:id="32"/>
      <w:bookmarkEnd w:id="33"/>
    </w:p>
    <w:p w14:paraId="54CF6D05" w14:textId="77777777" w:rsidR="000A4159" w:rsidRPr="00822CE9" w:rsidRDefault="00212713" w:rsidP="00212713">
      <w:pPr>
        <w:spacing w:line="214" w:lineRule="auto"/>
        <w:rPr>
          <w:rtl/>
        </w:rPr>
      </w:pPr>
      <w:r w:rsidRPr="00212713">
        <w:rPr>
          <w:rFonts w:hint="cs"/>
          <w:b/>
          <w:bCs/>
          <w:rtl/>
        </w:rPr>
        <w:t>عاشر المنطلقات المطروحة هنا</w:t>
      </w:r>
      <w:r>
        <w:rPr>
          <w:rFonts w:hint="cs"/>
          <w:rtl/>
        </w:rPr>
        <w:t xml:space="preserve"> هو </w:t>
      </w:r>
      <w:r w:rsidR="000A4159" w:rsidRPr="00822CE9">
        <w:rPr>
          <w:rFonts w:hint="cs"/>
          <w:rtl/>
        </w:rPr>
        <w:t>النصوص القرآني</w:t>
      </w:r>
      <w:r w:rsidR="003C06CF">
        <w:rPr>
          <w:rFonts w:hint="cs"/>
          <w:rtl/>
        </w:rPr>
        <w:t>ّ</w:t>
      </w:r>
      <w:r w:rsidR="000A4159" w:rsidRPr="00822CE9">
        <w:rPr>
          <w:rFonts w:hint="cs"/>
          <w:rtl/>
        </w:rPr>
        <w:t>ة والحديثي</w:t>
      </w:r>
      <w:r w:rsidR="003C06CF">
        <w:rPr>
          <w:rFonts w:hint="cs"/>
          <w:rtl/>
        </w:rPr>
        <w:t>ّ</w:t>
      </w:r>
      <w:r w:rsidR="000A4159" w:rsidRPr="00822CE9">
        <w:rPr>
          <w:rFonts w:hint="cs"/>
          <w:rtl/>
        </w:rPr>
        <w:t>ة التي دلّت على جزاء المحاربين</w:t>
      </w:r>
      <w:r w:rsidR="003C06CF">
        <w:rPr>
          <w:rFonts w:hint="cs"/>
          <w:rtl/>
        </w:rPr>
        <w:t>.</w:t>
      </w:r>
      <w:r w:rsidR="000A4159" w:rsidRPr="00822CE9">
        <w:rPr>
          <w:rFonts w:hint="cs"/>
          <w:rtl/>
        </w:rPr>
        <w:t xml:space="preserve"> والعمدة فيها قوله تعالى: </w:t>
      </w:r>
      <w:r w:rsidR="000A4159" w:rsidRPr="00822CE9">
        <w:rPr>
          <w:rtl/>
        </w:rPr>
        <w:t>﴿</w:t>
      </w:r>
      <w:r w:rsidR="000A4159" w:rsidRPr="003C06CF">
        <w:rPr>
          <w:rFonts w:hint="cs"/>
          <w:b/>
          <w:bCs/>
          <w:rtl/>
        </w:rPr>
        <w:t>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w:t>
      </w:r>
      <w:r w:rsidR="000A4159" w:rsidRPr="00822CE9">
        <w:rPr>
          <w:rtl/>
        </w:rPr>
        <w:t>﴾</w:t>
      </w:r>
      <w:r w:rsidR="000A4159" w:rsidRPr="00822CE9">
        <w:rPr>
          <w:rFonts w:hint="cs"/>
          <w:rtl/>
        </w:rPr>
        <w:t xml:space="preserve"> (المائدة: 33).</w:t>
      </w:r>
    </w:p>
    <w:p w14:paraId="349648C3" w14:textId="77777777" w:rsidR="000A4159" w:rsidRPr="00822CE9" w:rsidRDefault="000A4159" w:rsidP="00376547">
      <w:pPr>
        <w:spacing w:line="214" w:lineRule="auto"/>
        <w:rPr>
          <w:rtl/>
        </w:rPr>
      </w:pPr>
      <w:r w:rsidRPr="00822CE9">
        <w:rPr>
          <w:rFonts w:hint="cs"/>
          <w:rtl/>
        </w:rPr>
        <w:t>و</w:t>
      </w:r>
      <w:r w:rsidR="00376547">
        <w:rPr>
          <w:rFonts w:hint="cs"/>
          <w:rtl/>
        </w:rPr>
        <w:t xml:space="preserve">بيان </w:t>
      </w:r>
      <w:r w:rsidRPr="00822CE9">
        <w:rPr>
          <w:rFonts w:hint="cs"/>
          <w:rtl/>
        </w:rPr>
        <w:t>الاستدلال بهذه النصوص أن</w:t>
      </w:r>
      <w:r w:rsidR="003C06CF">
        <w:rPr>
          <w:rFonts w:hint="cs"/>
          <w:rtl/>
        </w:rPr>
        <w:t>ّ</w:t>
      </w:r>
      <w:r w:rsidRPr="00822CE9">
        <w:rPr>
          <w:rFonts w:hint="cs"/>
          <w:rtl/>
        </w:rPr>
        <w:t>ها لا تمي</w:t>
      </w:r>
      <w:r w:rsidR="003C06CF">
        <w:rPr>
          <w:rFonts w:hint="cs"/>
          <w:rtl/>
        </w:rPr>
        <w:t>ّ</w:t>
      </w:r>
      <w:r w:rsidRPr="00822CE9">
        <w:rPr>
          <w:rFonts w:hint="cs"/>
          <w:rtl/>
        </w:rPr>
        <w:t>ز في الذي يسعى في الأرض فساداً بين أن يكون فرداً وشخصاً عادياً وبين أن يكون صاحب سلطة</w:t>
      </w:r>
      <w:r w:rsidR="003C06CF">
        <w:rPr>
          <w:rFonts w:hint="cs"/>
          <w:rtl/>
        </w:rPr>
        <w:t>،</w:t>
      </w:r>
      <w:r w:rsidRPr="00822CE9">
        <w:rPr>
          <w:rFonts w:hint="cs"/>
          <w:rtl/>
        </w:rPr>
        <w:t xml:space="preserve"> بل الفساد في الثاني أوضح وأكثر، وعليه تجب محاربته ومجازاته</w:t>
      </w:r>
      <w:r w:rsidRPr="000A4159">
        <w:rPr>
          <w:rFonts w:cs="Taher"/>
          <w:vertAlign w:val="superscript"/>
          <w:rtl/>
        </w:rPr>
        <w:t>(</w:t>
      </w:r>
      <w:r w:rsidRPr="000A4159">
        <w:rPr>
          <w:rStyle w:val="FootnoteReference"/>
          <w:rFonts w:cs="Taher"/>
          <w:rtl/>
        </w:rPr>
        <w:footnoteReference w:id="43"/>
      </w:r>
      <w:r w:rsidRPr="000A4159">
        <w:rPr>
          <w:rFonts w:cs="Taher"/>
          <w:vertAlign w:val="superscript"/>
          <w:rtl/>
        </w:rPr>
        <w:t>)</w:t>
      </w:r>
      <w:r w:rsidRPr="00822CE9">
        <w:rPr>
          <w:rtl/>
        </w:rPr>
        <w:t>.</w:t>
      </w:r>
    </w:p>
    <w:p w14:paraId="0472228E" w14:textId="77777777" w:rsidR="000A4159" w:rsidRPr="003C06CF" w:rsidRDefault="003C06CF" w:rsidP="003C06CF">
      <w:pPr>
        <w:spacing w:line="214" w:lineRule="auto"/>
        <w:rPr>
          <w:b/>
          <w:bCs/>
          <w:rtl/>
        </w:rPr>
      </w:pPr>
      <w:r w:rsidRPr="003C06CF">
        <w:rPr>
          <w:rFonts w:hint="cs"/>
          <w:b/>
          <w:bCs/>
          <w:rtl/>
        </w:rPr>
        <w:t xml:space="preserve">لكن </w:t>
      </w:r>
      <w:r w:rsidR="000A4159" w:rsidRPr="003C06CF">
        <w:rPr>
          <w:rFonts w:hint="cs"/>
          <w:b/>
          <w:bCs/>
          <w:rtl/>
        </w:rPr>
        <w:t xml:space="preserve">قد </w:t>
      </w:r>
      <w:r w:rsidRPr="003C06CF">
        <w:rPr>
          <w:rFonts w:hint="cs"/>
          <w:b/>
          <w:bCs/>
          <w:rtl/>
        </w:rPr>
        <w:t xml:space="preserve">يلاحظ </w:t>
      </w:r>
      <w:r w:rsidR="000A4159" w:rsidRPr="003C06CF">
        <w:rPr>
          <w:rFonts w:hint="cs"/>
          <w:b/>
          <w:bCs/>
          <w:rtl/>
        </w:rPr>
        <w:t xml:space="preserve">على هذا الاستدلال </w:t>
      </w:r>
      <w:r w:rsidRPr="003C06CF">
        <w:rPr>
          <w:rFonts w:hint="cs"/>
          <w:b/>
          <w:bCs/>
          <w:rtl/>
        </w:rPr>
        <w:t>أ</w:t>
      </w:r>
      <w:r w:rsidR="000A4159" w:rsidRPr="003C06CF">
        <w:rPr>
          <w:rFonts w:hint="cs"/>
          <w:b/>
          <w:bCs/>
          <w:rtl/>
        </w:rPr>
        <w:t>مور:</w:t>
      </w:r>
    </w:p>
    <w:p w14:paraId="29A46087" w14:textId="77777777" w:rsidR="000A4159" w:rsidRPr="00822CE9" w:rsidRDefault="003C06CF" w:rsidP="003C06CF">
      <w:pPr>
        <w:spacing w:line="214" w:lineRule="auto"/>
        <w:rPr>
          <w:rtl/>
        </w:rPr>
      </w:pPr>
      <w:r w:rsidRPr="003C06CF">
        <w:rPr>
          <w:rFonts w:hint="cs"/>
          <w:b/>
          <w:bCs/>
          <w:rtl/>
        </w:rPr>
        <w:t>أوّلاً:</w:t>
      </w:r>
      <w:r>
        <w:rPr>
          <w:rFonts w:hint="cs"/>
          <w:rtl/>
        </w:rPr>
        <w:t xml:space="preserve"> </w:t>
      </w:r>
      <w:r w:rsidR="000A4159" w:rsidRPr="00822CE9">
        <w:rPr>
          <w:rFonts w:hint="cs"/>
          <w:rtl/>
        </w:rPr>
        <w:t xml:space="preserve">بعض الفقهاء </w:t>
      </w:r>
      <w:r>
        <w:rPr>
          <w:rFonts w:hint="cs"/>
          <w:rtl/>
        </w:rPr>
        <w:t xml:space="preserve">ناقش </w:t>
      </w:r>
      <w:r w:rsidR="000A4159" w:rsidRPr="00822CE9">
        <w:rPr>
          <w:rFonts w:hint="cs"/>
          <w:rtl/>
        </w:rPr>
        <w:t>هذا الدليل بأنّ ظاهر الآية كونها خطاباً موج</w:t>
      </w:r>
      <w:r>
        <w:rPr>
          <w:rFonts w:hint="cs"/>
          <w:rtl/>
        </w:rPr>
        <w:t>ّ</w:t>
      </w:r>
      <w:r w:rsidR="000A4159" w:rsidRPr="00822CE9">
        <w:rPr>
          <w:rFonts w:hint="cs"/>
          <w:rtl/>
        </w:rPr>
        <w:t>هاً إلى المجتمع الإسلامي الذي بيده أمر السلطة، فيحاك</w:t>
      </w:r>
      <w:r>
        <w:rPr>
          <w:rFonts w:hint="cs"/>
          <w:rtl/>
        </w:rPr>
        <w:t>ِ</w:t>
      </w:r>
      <w:r w:rsidR="000A4159" w:rsidRPr="00822CE9">
        <w:rPr>
          <w:rFonts w:hint="cs"/>
          <w:rtl/>
        </w:rPr>
        <w:t xml:space="preserve">م هذا الطرف أو ذاك، </w:t>
      </w:r>
      <w:r>
        <w:rPr>
          <w:rFonts w:hint="cs"/>
          <w:rtl/>
        </w:rPr>
        <w:t xml:space="preserve">وليس موجّهاً </w:t>
      </w:r>
      <w:r w:rsidR="000A4159" w:rsidRPr="00822CE9">
        <w:rPr>
          <w:rFonts w:hint="cs"/>
          <w:rtl/>
        </w:rPr>
        <w:t>لأناس</w:t>
      </w:r>
      <w:r>
        <w:rPr>
          <w:rFonts w:hint="cs"/>
          <w:rtl/>
        </w:rPr>
        <w:t>ٍ</w:t>
      </w:r>
      <w:r w:rsidR="000A4159" w:rsidRPr="00822CE9">
        <w:rPr>
          <w:rFonts w:hint="cs"/>
          <w:rtl/>
        </w:rPr>
        <w:t xml:space="preserve"> معارضين يريدون محاكمة السلطان</w:t>
      </w:r>
      <w:r w:rsidR="000A4159" w:rsidRPr="000A4159">
        <w:rPr>
          <w:rFonts w:cs="Taher"/>
          <w:vertAlign w:val="superscript"/>
          <w:rtl/>
        </w:rPr>
        <w:t>(</w:t>
      </w:r>
      <w:r w:rsidR="000A4159" w:rsidRPr="000A4159">
        <w:rPr>
          <w:rStyle w:val="FootnoteReference"/>
          <w:rFonts w:cs="Taher"/>
          <w:rtl/>
        </w:rPr>
        <w:footnoteReference w:id="44"/>
      </w:r>
      <w:r w:rsidR="000A4159" w:rsidRPr="000A4159">
        <w:rPr>
          <w:rFonts w:cs="Taher"/>
          <w:vertAlign w:val="superscript"/>
          <w:rtl/>
        </w:rPr>
        <w:t>)</w:t>
      </w:r>
      <w:r w:rsidR="000A4159" w:rsidRPr="00822CE9">
        <w:rPr>
          <w:rtl/>
        </w:rPr>
        <w:t>.</w:t>
      </w:r>
    </w:p>
    <w:p w14:paraId="2217E4B3" w14:textId="77777777" w:rsidR="000A4159" w:rsidRPr="00822CE9" w:rsidRDefault="000A4159" w:rsidP="000427FA">
      <w:pPr>
        <w:pStyle w:val="normal930"/>
        <w:rPr>
          <w:rtl/>
        </w:rPr>
      </w:pPr>
      <w:r w:rsidRPr="00822CE9">
        <w:rPr>
          <w:rFonts w:hint="cs"/>
          <w:rtl/>
        </w:rPr>
        <w:t xml:space="preserve">ولعلّ القرينة الأبرز التي دفعت إلى ظهور هذا الإشكال </w:t>
      </w:r>
      <w:r w:rsidR="003C06CF">
        <w:rPr>
          <w:rFonts w:hint="cs"/>
          <w:rtl/>
        </w:rPr>
        <w:t xml:space="preserve">هو </w:t>
      </w:r>
      <w:r w:rsidRPr="00822CE9">
        <w:rPr>
          <w:rFonts w:hint="cs"/>
          <w:rtl/>
        </w:rPr>
        <w:t>أنّ الآية حكمت بالنفي من الأرض، وهو واضح في أنّه لا يتسنّى إلا لمن بيده سلطة المجتمع وبلاد المسلمين.</w:t>
      </w:r>
    </w:p>
    <w:p w14:paraId="09AD6FB6" w14:textId="77777777" w:rsidR="000A4159" w:rsidRPr="00822CE9" w:rsidRDefault="000A4159" w:rsidP="003C06CF">
      <w:pPr>
        <w:spacing w:line="214" w:lineRule="auto"/>
        <w:rPr>
          <w:rtl/>
        </w:rPr>
      </w:pPr>
      <w:r w:rsidRPr="003C06CF">
        <w:rPr>
          <w:rFonts w:hint="cs"/>
          <w:b/>
          <w:bCs/>
          <w:rtl/>
        </w:rPr>
        <w:t>وهذا الإشكال غير وارد،</w:t>
      </w:r>
      <w:r w:rsidRPr="00822CE9">
        <w:rPr>
          <w:rFonts w:hint="cs"/>
          <w:rtl/>
        </w:rPr>
        <w:t xml:space="preserve"> لصحّة هذه الآية ب</w:t>
      </w:r>
      <w:r w:rsidR="003C06CF">
        <w:rPr>
          <w:rFonts w:hint="cs"/>
          <w:rtl/>
        </w:rPr>
        <w:t xml:space="preserve">ملاحظة </w:t>
      </w:r>
      <w:r w:rsidRPr="00822CE9">
        <w:rPr>
          <w:rFonts w:hint="cs"/>
          <w:rtl/>
        </w:rPr>
        <w:t>أن يكون المعنى فجاهدوهم فإذا قدرتم عليهم وصاروا في يدكم فانفوهم من الأرض، وأي</w:t>
      </w:r>
      <w:r w:rsidR="003C06CF">
        <w:rPr>
          <w:rFonts w:hint="cs"/>
          <w:rtl/>
        </w:rPr>
        <w:t>ّ</w:t>
      </w:r>
      <w:r w:rsidRPr="00822CE9">
        <w:rPr>
          <w:rFonts w:hint="cs"/>
          <w:rtl/>
        </w:rPr>
        <w:t xml:space="preserve"> </w:t>
      </w:r>
      <w:r w:rsidR="003C06CF">
        <w:rPr>
          <w:rFonts w:hint="cs"/>
          <w:rtl/>
        </w:rPr>
        <w:t>مشكلةٍ</w:t>
      </w:r>
      <w:r w:rsidRPr="00822CE9">
        <w:rPr>
          <w:rFonts w:hint="cs"/>
          <w:rtl/>
        </w:rPr>
        <w:t xml:space="preserve"> في ذلك</w:t>
      </w:r>
      <w:r w:rsidR="003C06CF">
        <w:rPr>
          <w:rFonts w:hint="cs"/>
          <w:rtl/>
        </w:rPr>
        <w:t>؟!</w:t>
      </w:r>
      <w:r w:rsidRPr="00822CE9">
        <w:rPr>
          <w:rFonts w:hint="cs"/>
          <w:rtl/>
        </w:rPr>
        <w:t xml:space="preserve"> </w:t>
      </w:r>
      <w:r w:rsidR="003C06CF">
        <w:rPr>
          <w:rFonts w:hint="cs"/>
          <w:rtl/>
        </w:rPr>
        <w:t xml:space="preserve">ولا </w:t>
      </w:r>
      <w:r w:rsidRPr="00822CE9">
        <w:rPr>
          <w:rFonts w:hint="cs"/>
          <w:rtl/>
        </w:rPr>
        <w:t>سيما أن</w:t>
      </w:r>
      <w:r w:rsidR="003C06CF">
        <w:rPr>
          <w:rFonts w:hint="cs"/>
          <w:rtl/>
        </w:rPr>
        <w:t>ّ</w:t>
      </w:r>
      <w:r w:rsidRPr="00822CE9">
        <w:rPr>
          <w:rFonts w:hint="cs"/>
          <w:rtl/>
        </w:rPr>
        <w:t xml:space="preserve"> من الممكن </w:t>
      </w:r>
      <w:r w:rsidRPr="00822CE9">
        <w:rPr>
          <w:rFonts w:hint="cs"/>
          <w:rtl/>
        </w:rPr>
        <w:lastRenderedPageBreak/>
        <w:t xml:space="preserve">أن </w:t>
      </w:r>
      <w:r w:rsidR="003C06CF">
        <w:rPr>
          <w:rFonts w:hint="cs"/>
          <w:rtl/>
        </w:rPr>
        <w:t>ت</w:t>
      </w:r>
      <w:r w:rsidRPr="00822CE9">
        <w:rPr>
          <w:rFonts w:hint="cs"/>
          <w:rtl/>
        </w:rPr>
        <w:t>كون محاربة السلطان الجائر من جانب المعارضة التي تملك قدرة نفوذ في مكان</w:t>
      </w:r>
      <w:r w:rsidR="003C06CF">
        <w:rPr>
          <w:rFonts w:hint="cs"/>
          <w:rtl/>
        </w:rPr>
        <w:t>ٍ</w:t>
      </w:r>
      <w:r w:rsidRPr="00822CE9">
        <w:rPr>
          <w:rFonts w:hint="cs"/>
          <w:rtl/>
        </w:rPr>
        <w:t xml:space="preserve"> ما في بلاد المسلمين، فالبقاء مع الآية لا ينفي شمولها لما نحن فيه</w:t>
      </w:r>
      <w:r w:rsidR="00DE31C2">
        <w:rPr>
          <w:rFonts w:hint="cs"/>
          <w:rtl/>
        </w:rPr>
        <w:t xml:space="preserve"> ولو في الجملة</w:t>
      </w:r>
      <w:r w:rsidRPr="00822CE9">
        <w:rPr>
          <w:rFonts w:hint="cs"/>
          <w:rtl/>
        </w:rPr>
        <w:t>.</w:t>
      </w:r>
    </w:p>
    <w:p w14:paraId="5DA353EF" w14:textId="77777777" w:rsidR="000A4159" w:rsidRPr="00822CE9" w:rsidRDefault="000A4159" w:rsidP="000427FA">
      <w:pPr>
        <w:pStyle w:val="normal930"/>
        <w:rPr>
          <w:rtl/>
        </w:rPr>
      </w:pPr>
      <w:r w:rsidRPr="003C06CF">
        <w:rPr>
          <w:rFonts w:hint="cs"/>
          <w:b/>
          <w:bCs/>
          <w:rtl/>
        </w:rPr>
        <w:t>ثانياً:</w:t>
      </w:r>
      <w:r w:rsidRPr="00822CE9">
        <w:rPr>
          <w:rFonts w:hint="cs"/>
          <w:rtl/>
        </w:rPr>
        <w:t xml:space="preserve"> إنّ صدق عنوان المحارب على السلطان الذي وصل إلى السلطة ومارسها دون إشها</w:t>
      </w:r>
      <w:r w:rsidR="003C06CF">
        <w:rPr>
          <w:rFonts w:hint="cs"/>
          <w:rtl/>
        </w:rPr>
        <w:t>ر</w:t>
      </w:r>
      <w:r w:rsidRPr="00822CE9">
        <w:rPr>
          <w:rFonts w:hint="cs"/>
          <w:rtl/>
        </w:rPr>
        <w:t xml:space="preserve"> السلاح لإخافة الناس، مشكل</w:t>
      </w:r>
      <w:r w:rsidR="003C06CF">
        <w:rPr>
          <w:rFonts w:hint="cs"/>
          <w:rtl/>
        </w:rPr>
        <w:t>ٌ</w:t>
      </w:r>
      <w:r w:rsidRPr="00822CE9">
        <w:rPr>
          <w:rFonts w:hint="cs"/>
          <w:rtl/>
        </w:rPr>
        <w:t>، فقد دلّت النصوص على الاختصاص بذلك، وهو المستفاد من كلام الفقهاء</w:t>
      </w:r>
      <w:r w:rsidRPr="000A4159">
        <w:rPr>
          <w:rFonts w:cs="Taher"/>
          <w:vertAlign w:val="superscript"/>
          <w:rtl/>
        </w:rPr>
        <w:t>(</w:t>
      </w:r>
      <w:r w:rsidRPr="000A4159">
        <w:rPr>
          <w:rStyle w:val="FootnoteReference"/>
          <w:rFonts w:cs="Taher"/>
          <w:rtl/>
        </w:rPr>
        <w:footnoteReference w:id="45"/>
      </w:r>
      <w:r w:rsidRPr="000A4159">
        <w:rPr>
          <w:rFonts w:cs="Taher"/>
          <w:vertAlign w:val="superscript"/>
          <w:rtl/>
        </w:rPr>
        <w:t>)</w:t>
      </w:r>
      <w:r w:rsidRPr="00822CE9">
        <w:rPr>
          <w:rtl/>
        </w:rPr>
        <w:t>.</w:t>
      </w:r>
    </w:p>
    <w:p w14:paraId="5DD7E837" w14:textId="77777777" w:rsidR="000A4159" w:rsidRPr="00822CE9" w:rsidRDefault="000A4159" w:rsidP="000427FA">
      <w:pPr>
        <w:pStyle w:val="normal930"/>
        <w:rPr>
          <w:rtl/>
        </w:rPr>
      </w:pPr>
      <w:r w:rsidRPr="00822CE9">
        <w:rPr>
          <w:rFonts w:hint="cs"/>
          <w:rtl/>
        </w:rPr>
        <w:t>وهذا الكلام يأخذ بعين الاعتبار النصوص الروائي</w:t>
      </w:r>
      <w:r w:rsidR="003C06CF">
        <w:rPr>
          <w:rFonts w:hint="cs"/>
          <w:rtl/>
        </w:rPr>
        <w:t>ّ</w:t>
      </w:r>
      <w:r w:rsidRPr="00822CE9">
        <w:rPr>
          <w:rFonts w:hint="cs"/>
          <w:rtl/>
        </w:rPr>
        <w:t>ة التي تحدّثت عن هذا الموضوع، وأوضحت المراد من الآية، أم</w:t>
      </w:r>
      <w:r w:rsidR="003C06CF">
        <w:rPr>
          <w:rFonts w:hint="cs"/>
          <w:rtl/>
        </w:rPr>
        <w:t>ّ</w:t>
      </w:r>
      <w:r w:rsidRPr="00822CE9">
        <w:rPr>
          <w:rFonts w:hint="cs"/>
          <w:rtl/>
        </w:rPr>
        <w:t>ا لو تركن</w:t>
      </w:r>
      <w:r w:rsidR="003C06CF">
        <w:rPr>
          <w:rFonts w:hint="cs"/>
          <w:rtl/>
        </w:rPr>
        <w:t>ا</w:t>
      </w:r>
      <w:r w:rsidRPr="00822CE9">
        <w:rPr>
          <w:rFonts w:hint="cs"/>
          <w:rtl/>
        </w:rPr>
        <w:t xml:space="preserve"> الروايات الواردة</w:t>
      </w:r>
      <w:r w:rsidR="003C06CF">
        <w:rPr>
          <w:rFonts w:hint="cs"/>
          <w:rtl/>
        </w:rPr>
        <w:t>،</w:t>
      </w:r>
      <w:r w:rsidRPr="00822CE9">
        <w:rPr>
          <w:rFonts w:hint="cs"/>
          <w:rtl/>
        </w:rPr>
        <w:t xml:space="preserve"> وبقينا </w:t>
      </w:r>
      <w:r w:rsidR="003C06CF">
        <w:rPr>
          <w:rFonts w:hint="cs"/>
          <w:rtl/>
        </w:rPr>
        <w:t xml:space="preserve">نحن </w:t>
      </w:r>
      <w:r w:rsidRPr="00822CE9">
        <w:rPr>
          <w:rFonts w:hint="cs"/>
          <w:rtl/>
        </w:rPr>
        <w:t>والآية</w:t>
      </w:r>
      <w:r w:rsidR="003C06CF">
        <w:rPr>
          <w:rFonts w:hint="cs"/>
          <w:rtl/>
        </w:rPr>
        <w:t>،</w:t>
      </w:r>
      <w:r w:rsidRPr="00822CE9">
        <w:rPr>
          <w:rFonts w:hint="cs"/>
          <w:rtl/>
        </w:rPr>
        <w:t xml:space="preserve"> فقد ي</w:t>
      </w:r>
      <w:r w:rsidR="003C06CF">
        <w:rPr>
          <w:rFonts w:hint="cs"/>
          <w:rtl/>
        </w:rPr>
        <w:t>ُ</w:t>
      </w:r>
      <w:r w:rsidRPr="00822CE9">
        <w:rPr>
          <w:rFonts w:hint="cs"/>
          <w:rtl/>
        </w:rPr>
        <w:t>ستشكل في هذا الاختصا</w:t>
      </w:r>
      <w:r w:rsidR="003C06CF">
        <w:rPr>
          <w:rFonts w:hint="cs"/>
          <w:rtl/>
        </w:rPr>
        <w:t>ص</w:t>
      </w:r>
      <w:r w:rsidRPr="00822CE9">
        <w:rPr>
          <w:rFonts w:hint="cs"/>
          <w:rtl/>
        </w:rPr>
        <w:t>.</w:t>
      </w:r>
    </w:p>
    <w:p w14:paraId="3EF47181" w14:textId="77777777" w:rsidR="000416B0" w:rsidRDefault="003C06CF" w:rsidP="000416B0">
      <w:pPr>
        <w:spacing w:line="214" w:lineRule="auto"/>
        <w:rPr>
          <w:rtl/>
        </w:rPr>
      </w:pPr>
      <w:r w:rsidRPr="000416B0">
        <w:rPr>
          <w:rFonts w:hint="cs"/>
          <w:b/>
          <w:bCs/>
          <w:rtl/>
        </w:rPr>
        <w:t xml:space="preserve">غير أنّ </w:t>
      </w:r>
      <w:r w:rsidR="000A4159" w:rsidRPr="000416B0">
        <w:rPr>
          <w:rFonts w:hint="cs"/>
          <w:b/>
          <w:bCs/>
          <w:rtl/>
        </w:rPr>
        <w:t xml:space="preserve">الذي نراه أنّ باب حدّ المحارب إن أخذ فيه بعين الاعتبار الروايات الواردة أشكل </w:t>
      </w:r>
      <w:r w:rsidRPr="000416B0">
        <w:rPr>
          <w:rFonts w:hint="cs"/>
          <w:b/>
          <w:bCs/>
          <w:rtl/>
        </w:rPr>
        <w:t>تعميمها؛</w:t>
      </w:r>
      <w:r w:rsidR="000A4159" w:rsidRPr="000416B0">
        <w:rPr>
          <w:rFonts w:hint="cs"/>
          <w:b/>
          <w:bCs/>
          <w:rtl/>
        </w:rPr>
        <w:t xml:space="preserve"> لظهورها في الاختصاص طبق</w:t>
      </w:r>
      <w:r w:rsidRPr="000416B0">
        <w:rPr>
          <w:rFonts w:hint="cs"/>
          <w:b/>
          <w:bCs/>
          <w:rtl/>
        </w:rPr>
        <w:t>اً للفهم المشهور بين الفقهاء، وأ</w:t>
      </w:r>
      <w:r w:rsidR="000A4159" w:rsidRPr="000416B0">
        <w:rPr>
          <w:rFonts w:hint="cs"/>
          <w:b/>
          <w:bCs/>
          <w:rtl/>
        </w:rPr>
        <w:t>م</w:t>
      </w:r>
      <w:r w:rsidRPr="000416B0">
        <w:rPr>
          <w:rFonts w:hint="cs"/>
          <w:b/>
          <w:bCs/>
          <w:rtl/>
        </w:rPr>
        <w:t>ّ</w:t>
      </w:r>
      <w:r w:rsidR="000A4159" w:rsidRPr="000416B0">
        <w:rPr>
          <w:rFonts w:hint="cs"/>
          <w:b/>
          <w:bCs/>
          <w:rtl/>
        </w:rPr>
        <w:t>ا إذا بقينا والآية، فقد يمكن إد</w:t>
      </w:r>
      <w:r w:rsidRPr="000416B0">
        <w:rPr>
          <w:rFonts w:hint="cs"/>
          <w:b/>
          <w:bCs/>
          <w:rtl/>
        </w:rPr>
        <w:t>ّعاء أ</w:t>
      </w:r>
      <w:r w:rsidR="000A4159" w:rsidRPr="000416B0">
        <w:rPr>
          <w:rFonts w:hint="cs"/>
          <w:b/>
          <w:bCs/>
          <w:rtl/>
        </w:rPr>
        <w:t>ن</w:t>
      </w:r>
      <w:r w:rsidRPr="000416B0">
        <w:rPr>
          <w:rFonts w:hint="cs"/>
          <w:b/>
          <w:bCs/>
          <w:rtl/>
        </w:rPr>
        <w:t>ّ</w:t>
      </w:r>
      <w:r w:rsidR="000A4159" w:rsidRPr="000416B0">
        <w:rPr>
          <w:rFonts w:hint="cs"/>
          <w:b/>
          <w:bCs/>
          <w:rtl/>
        </w:rPr>
        <w:t xml:space="preserve"> ظاهرها هو الحرب لله والرسول، ومفهوم ذلك وفحواه أنّ المواجهة تكون مع المسلمين والأم</w:t>
      </w:r>
      <w:r w:rsidRPr="000416B0">
        <w:rPr>
          <w:rFonts w:hint="cs"/>
          <w:b/>
          <w:bCs/>
          <w:rtl/>
        </w:rPr>
        <w:t>ّ</w:t>
      </w:r>
      <w:r w:rsidR="000A4159" w:rsidRPr="000416B0">
        <w:rPr>
          <w:rFonts w:hint="cs"/>
          <w:b/>
          <w:bCs/>
          <w:rtl/>
        </w:rPr>
        <w:t>ة الإسلامي</w:t>
      </w:r>
      <w:r w:rsidRPr="000416B0">
        <w:rPr>
          <w:rFonts w:hint="cs"/>
          <w:b/>
          <w:bCs/>
          <w:rtl/>
        </w:rPr>
        <w:t>ّ</w:t>
      </w:r>
      <w:r w:rsidR="000A4159" w:rsidRPr="000416B0">
        <w:rPr>
          <w:rFonts w:hint="cs"/>
          <w:b/>
          <w:bCs/>
          <w:rtl/>
        </w:rPr>
        <w:t>ة،</w:t>
      </w:r>
      <w:r w:rsidR="000A4159" w:rsidRPr="00822CE9">
        <w:rPr>
          <w:rFonts w:hint="cs"/>
          <w:rtl/>
        </w:rPr>
        <w:t xml:space="preserve"> وكلمة «يحاربون» لا يحرز تعدّيها إلى حالة عدم تطبيق الشريعة أو انحراف الحاكم انحرافاً شخصي</w:t>
      </w:r>
      <w:r>
        <w:rPr>
          <w:rFonts w:hint="cs"/>
          <w:rtl/>
        </w:rPr>
        <w:t>ّ</w:t>
      </w:r>
      <w:r w:rsidR="000A4159" w:rsidRPr="00822CE9">
        <w:rPr>
          <w:rFonts w:hint="cs"/>
          <w:rtl/>
        </w:rPr>
        <w:t>اً، فإن</w:t>
      </w:r>
      <w:r>
        <w:rPr>
          <w:rFonts w:hint="cs"/>
          <w:rtl/>
        </w:rPr>
        <w:t>ّ</w:t>
      </w:r>
      <w:r w:rsidR="000A4159" w:rsidRPr="00822CE9">
        <w:rPr>
          <w:rFonts w:hint="cs"/>
          <w:rtl/>
        </w:rPr>
        <w:t xml:space="preserve"> هذه ليست حروباً بالمعنى الحقيقي للكلمة، بل هي حرب</w:t>
      </w:r>
      <w:r>
        <w:rPr>
          <w:rFonts w:hint="cs"/>
          <w:rtl/>
        </w:rPr>
        <w:t>ٌ</w:t>
      </w:r>
      <w:r w:rsidR="000A4159" w:rsidRPr="00822CE9">
        <w:rPr>
          <w:rFonts w:hint="cs"/>
          <w:rtl/>
        </w:rPr>
        <w:t xml:space="preserve"> بالمعنى المجازي، وأم</w:t>
      </w:r>
      <w:r>
        <w:rPr>
          <w:rFonts w:hint="cs"/>
          <w:rtl/>
        </w:rPr>
        <w:t>ّ</w:t>
      </w:r>
      <w:r w:rsidR="000A4159" w:rsidRPr="00822CE9">
        <w:rPr>
          <w:rFonts w:hint="cs"/>
          <w:rtl/>
        </w:rPr>
        <w:t>ا الفساد في الأرض فهو عام، وإن كان استعمال كلمة الفساد في الأرض في بعض الآيات ظاهر في تخريب حياة الناس</w:t>
      </w:r>
      <w:r>
        <w:rPr>
          <w:rFonts w:hint="cs"/>
          <w:rtl/>
        </w:rPr>
        <w:t>.</w:t>
      </w:r>
    </w:p>
    <w:p w14:paraId="42B32E71" w14:textId="77777777" w:rsidR="000A4159" w:rsidRPr="00822CE9" w:rsidRDefault="000A4159" w:rsidP="000427FA">
      <w:pPr>
        <w:pStyle w:val="normal930"/>
        <w:rPr>
          <w:rtl/>
        </w:rPr>
      </w:pPr>
      <w:r w:rsidRPr="00822CE9">
        <w:rPr>
          <w:rFonts w:hint="cs"/>
          <w:rtl/>
        </w:rPr>
        <w:t>وعليه، فالمستفاد من الآية إنزال هذا الحكم بكل</w:t>
      </w:r>
      <w:r w:rsidR="003C06CF">
        <w:rPr>
          <w:rFonts w:hint="cs"/>
          <w:rtl/>
        </w:rPr>
        <w:t>ّ</w:t>
      </w:r>
      <w:r w:rsidRPr="00822CE9">
        <w:rPr>
          <w:rFonts w:hint="cs"/>
          <w:rtl/>
        </w:rPr>
        <w:t xml:space="preserve"> من صدق عليه حرب الله والرسول، أي محاربة الإسلام والسعي لتخريب العباد والبلاد، فتدلّ على ما نحن فيه، على مستوى الموجبة الجزئي</w:t>
      </w:r>
      <w:r w:rsidR="003C06CF">
        <w:rPr>
          <w:rFonts w:hint="cs"/>
          <w:rtl/>
        </w:rPr>
        <w:t>ّ</w:t>
      </w:r>
      <w:r w:rsidRPr="00822CE9">
        <w:rPr>
          <w:rFonts w:hint="cs"/>
          <w:rtl/>
        </w:rPr>
        <w:t>ة وفي بعض المو</w:t>
      </w:r>
      <w:r w:rsidR="003C06CF">
        <w:rPr>
          <w:rFonts w:hint="cs"/>
          <w:rtl/>
        </w:rPr>
        <w:t>ا</w:t>
      </w:r>
      <w:r w:rsidRPr="00822CE9">
        <w:rPr>
          <w:rFonts w:hint="cs"/>
          <w:rtl/>
        </w:rPr>
        <w:t>رد، بمعنى أن</w:t>
      </w:r>
      <w:r w:rsidR="003C06CF">
        <w:rPr>
          <w:rFonts w:hint="cs"/>
          <w:rtl/>
        </w:rPr>
        <w:t>ّ</w:t>
      </w:r>
      <w:r w:rsidRPr="00822CE9">
        <w:rPr>
          <w:rFonts w:hint="cs"/>
          <w:rtl/>
        </w:rPr>
        <w:t>ها لا تشمل حالة عدم اجتماع شروط الإمامة في الحاكم، كما لو كان فاسقاً بالفسق الشخصي، كما لا تشمل حالة سماح</w:t>
      </w:r>
      <w:r w:rsidR="003C06CF">
        <w:rPr>
          <w:rFonts w:hint="cs"/>
          <w:rtl/>
        </w:rPr>
        <w:t>ه</w:t>
      </w:r>
      <w:r w:rsidRPr="00822CE9">
        <w:rPr>
          <w:rFonts w:hint="cs"/>
          <w:rtl/>
        </w:rPr>
        <w:t xml:space="preserve"> للحركات الإسلامية بالحركة ضمن الوسائل السلمي</w:t>
      </w:r>
      <w:r w:rsidR="003C06CF">
        <w:rPr>
          <w:rFonts w:hint="cs"/>
          <w:rtl/>
        </w:rPr>
        <w:t>ّ</w:t>
      </w:r>
      <w:r w:rsidRPr="00822CE9">
        <w:rPr>
          <w:rFonts w:hint="cs"/>
          <w:rtl/>
        </w:rPr>
        <w:t>ة</w:t>
      </w:r>
      <w:r w:rsidR="003C06CF">
        <w:rPr>
          <w:rFonts w:hint="cs"/>
          <w:rtl/>
        </w:rPr>
        <w:t xml:space="preserve">، لكنّها </w:t>
      </w:r>
      <w:r w:rsidRPr="00822CE9">
        <w:rPr>
          <w:rFonts w:hint="cs"/>
          <w:rtl/>
        </w:rPr>
        <w:t>تشمل حالة إعلانه الحرب على الإسلام ومظاهره</w:t>
      </w:r>
      <w:r w:rsidR="00DE31C2">
        <w:rPr>
          <w:rFonts w:hint="cs"/>
          <w:rtl/>
        </w:rPr>
        <w:t xml:space="preserve"> و</w:t>
      </w:r>
      <w:r w:rsidRPr="00822CE9">
        <w:rPr>
          <w:rFonts w:hint="cs"/>
          <w:rtl/>
        </w:rPr>
        <w:t>إعلانه الظلم على الناس وإفساد أمور حياتهم، تماماً كحالة يزيد بن معاوية فقد كان هادفاً ظلم الناس والبطش</w:t>
      </w:r>
      <w:r w:rsidR="003C06CF">
        <w:rPr>
          <w:rFonts w:hint="cs"/>
          <w:rtl/>
        </w:rPr>
        <w:t xml:space="preserve"> بهم، وهدّد بسلطانه شريعة سيّد</w:t>
      </w:r>
      <w:r w:rsidRPr="00822CE9">
        <w:rPr>
          <w:rFonts w:hint="cs"/>
          <w:rtl/>
        </w:rPr>
        <w:t xml:space="preserve"> المرسلين</w:t>
      </w:r>
      <w:r w:rsidR="003C06CF">
        <w:rPr>
          <w:rFonts w:hint="cs"/>
          <w:rtl/>
        </w:rPr>
        <w:t>‘</w:t>
      </w:r>
      <w:r w:rsidRPr="00822CE9">
        <w:rPr>
          <w:rFonts w:hint="cs"/>
          <w:rtl/>
        </w:rPr>
        <w:t>.</w:t>
      </w:r>
    </w:p>
    <w:p w14:paraId="6F0970F3" w14:textId="77777777" w:rsidR="000A4159" w:rsidRDefault="000A4159" w:rsidP="003C06CF">
      <w:pPr>
        <w:spacing w:line="214" w:lineRule="auto"/>
        <w:rPr>
          <w:rtl/>
        </w:rPr>
      </w:pPr>
      <w:r w:rsidRPr="00822CE9">
        <w:rPr>
          <w:rFonts w:hint="cs"/>
          <w:rtl/>
        </w:rPr>
        <w:lastRenderedPageBreak/>
        <w:t>هذا كلام</w:t>
      </w:r>
      <w:r w:rsidR="003C06CF">
        <w:rPr>
          <w:rFonts w:hint="cs"/>
          <w:rtl/>
        </w:rPr>
        <w:t>ٌ</w:t>
      </w:r>
      <w:r w:rsidRPr="00822CE9">
        <w:rPr>
          <w:rFonts w:hint="cs"/>
          <w:rtl/>
        </w:rPr>
        <w:t xml:space="preserve"> موجز، وتفصيل بحث </w:t>
      </w:r>
      <w:r w:rsidR="003C06CF">
        <w:rPr>
          <w:rFonts w:hint="cs"/>
          <w:rtl/>
        </w:rPr>
        <w:t>المحاربة</w:t>
      </w:r>
      <w:r w:rsidRPr="00822CE9">
        <w:rPr>
          <w:rFonts w:hint="cs"/>
          <w:rtl/>
        </w:rPr>
        <w:t xml:space="preserve"> موكول</w:t>
      </w:r>
      <w:r w:rsidR="003C06CF">
        <w:rPr>
          <w:rFonts w:hint="cs"/>
          <w:rtl/>
        </w:rPr>
        <w:t>ٌ</w:t>
      </w:r>
      <w:r w:rsidRPr="00822CE9">
        <w:rPr>
          <w:rFonts w:hint="cs"/>
          <w:rtl/>
        </w:rPr>
        <w:t xml:space="preserve"> إلى محلّه.</w:t>
      </w:r>
    </w:p>
    <w:p w14:paraId="583F1A8E" w14:textId="77777777" w:rsidR="00FE0FE5" w:rsidRPr="00FE0FE5" w:rsidRDefault="00FE0FE5" w:rsidP="00BF0865">
      <w:pPr>
        <w:pStyle w:val="Heading2"/>
        <w:rPr>
          <w:rtl/>
        </w:rPr>
      </w:pPr>
      <w:bookmarkStart w:id="34" w:name="_Toc143804107"/>
      <w:bookmarkStart w:id="35" w:name="_Toc238123232"/>
      <w:r w:rsidRPr="00FE0FE5">
        <w:rPr>
          <w:rFonts w:hint="cs"/>
          <w:rtl/>
        </w:rPr>
        <w:t xml:space="preserve">11 ـ ثورة الإمام زيد </w:t>
      </w:r>
      <w:r>
        <w:rPr>
          <w:rFonts w:hint="cs"/>
          <w:rtl/>
        </w:rPr>
        <w:t xml:space="preserve">بن علي </w:t>
      </w:r>
      <w:r w:rsidRPr="00FE0FE5">
        <w:rPr>
          <w:rFonts w:hint="cs"/>
          <w:rtl/>
        </w:rPr>
        <w:t>بمثابة منطلق محكم ل</w:t>
      </w:r>
      <w:r>
        <w:rPr>
          <w:rFonts w:hint="cs"/>
          <w:rtl/>
        </w:rPr>
        <w:t>ل</w:t>
      </w:r>
      <w:r w:rsidRPr="00FE0FE5">
        <w:rPr>
          <w:rFonts w:hint="cs"/>
          <w:rtl/>
        </w:rPr>
        <w:t>تبرير، دراسة وتحليل</w:t>
      </w:r>
      <w:bookmarkEnd w:id="34"/>
      <w:bookmarkEnd w:id="35"/>
    </w:p>
    <w:p w14:paraId="07EA923B" w14:textId="77777777" w:rsidR="00157BD0" w:rsidRDefault="00FE0FE5" w:rsidP="000427FA">
      <w:pPr>
        <w:rPr>
          <w:rtl/>
        </w:rPr>
      </w:pPr>
      <w:r>
        <w:rPr>
          <w:rFonts w:hint="cs"/>
          <w:rtl/>
        </w:rPr>
        <w:t xml:space="preserve">واحدة من أهمّ المنطلقات التبريريّة للمنطق الثوري هنا هو </w:t>
      </w:r>
      <w:r w:rsidR="000A4159" w:rsidRPr="00822CE9">
        <w:rPr>
          <w:rFonts w:hint="cs"/>
          <w:rtl/>
        </w:rPr>
        <w:t xml:space="preserve">ثورة </w:t>
      </w:r>
      <w:r>
        <w:rPr>
          <w:rFonts w:hint="cs"/>
          <w:rtl/>
        </w:rPr>
        <w:t xml:space="preserve">الإمام </w:t>
      </w:r>
      <w:r w:rsidR="000A4159" w:rsidRPr="00822CE9">
        <w:rPr>
          <w:rFonts w:hint="cs"/>
          <w:rtl/>
        </w:rPr>
        <w:t xml:space="preserve">زيد </w:t>
      </w:r>
      <w:r>
        <w:rPr>
          <w:rFonts w:hint="cs"/>
          <w:rtl/>
        </w:rPr>
        <w:t xml:space="preserve">بن علي </w:t>
      </w:r>
      <w:r w:rsidR="000A4159" w:rsidRPr="00822CE9">
        <w:rPr>
          <w:rFonts w:hint="cs"/>
          <w:rtl/>
        </w:rPr>
        <w:t xml:space="preserve">الشهيد ضدّ السلطان الأموي هشام بن عبد الملك، ووصولها إلى حدّ شهادته عام 121 </w:t>
      </w:r>
      <w:r w:rsidR="00356216">
        <w:rPr>
          <w:rFonts w:hint="cs"/>
          <w:rtl/>
        </w:rPr>
        <w:t>أو</w:t>
      </w:r>
      <w:r w:rsidR="004662A9">
        <w:rPr>
          <w:rFonts w:hint="cs"/>
          <w:rtl/>
        </w:rPr>
        <w:t xml:space="preserve"> </w:t>
      </w:r>
      <w:r w:rsidR="00356216">
        <w:rPr>
          <w:rFonts w:hint="cs"/>
          <w:rtl/>
        </w:rPr>
        <w:t>122</w:t>
      </w:r>
      <w:r w:rsidR="000A4159" w:rsidRPr="00822CE9">
        <w:rPr>
          <w:rFonts w:hint="cs"/>
          <w:rtl/>
        </w:rPr>
        <w:t>هـ</w:t>
      </w:r>
      <w:r>
        <w:rPr>
          <w:rFonts w:hint="cs"/>
          <w:rtl/>
        </w:rPr>
        <w:t>.</w:t>
      </w:r>
    </w:p>
    <w:p w14:paraId="4CF89057" w14:textId="77777777" w:rsidR="000A4159" w:rsidRDefault="000A4159" w:rsidP="000427FA">
      <w:pPr>
        <w:spacing w:line="202" w:lineRule="auto"/>
        <w:rPr>
          <w:rtl/>
        </w:rPr>
      </w:pPr>
      <w:r w:rsidRPr="00721E76">
        <w:rPr>
          <w:rFonts w:hint="cs"/>
          <w:b/>
          <w:bCs/>
          <w:rtl/>
        </w:rPr>
        <w:t>ومن الواضح أن</w:t>
      </w:r>
      <w:r w:rsidR="00356216" w:rsidRPr="00721E76">
        <w:rPr>
          <w:rFonts w:hint="cs"/>
          <w:b/>
          <w:bCs/>
          <w:rtl/>
        </w:rPr>
        <w:t>ّ</w:t>
      </w:r>
      <w:r w:rsidRPr="00721E76">
        <w:rPr>
          <w:rFonts w:hint="cs"/>
          <w:b/>
          <w:bCs/>
          <w:rtl/>
        </w:rPr>
        <w:t xml:space="preserve"> فعل زيد الشهيد وأصحابه لا يصلح لوحده دليلاً وحج</w:t>
      </w:r>
      <w:r w:rsidR="00356216" w:rsidRPr="00721E76">
        <w:rPr>
          <w:rFonts w:hint="cs"/>
          <w:b/>
          <w:bCs/>
          <w:rtl/>
        </w:rPr>
        <w:t>ّ</w:t>
      </w:r>
      <w:r w:rsidRPr="00721E76">
        <w:rPr>
          <w:rFonts w:hint="cs"/>
          <w:b/>
          <w:bCs/>
          <w:rtl/>
        </w:rPr>
        <w:t>ة</w:t>
      </w:r>
      <w:r w:rsidR="00356216" w:rsidRPr="00721E76">
        <w:rPr>
          <w:rFonts w:hint="cs"/>
          <w:b/>
          <w:bCs/>
          <w:rtl/>
        </w:rPr>
        <w:t>؛</w:t>
      </w:r>
      <w:r w:rsidRPr="00721E76">
        <w:rPr>
          <w:rFonts w:hint="cs"/>
          <w:b/>
          <w:bCs/>
          <w:rtl/>
        </w:rPr>
        <w:t xml:space="preserve"> لعدم عصمته، بل هو مجتهد</w:t>
      </w:r>
      <w:r w:rsidR="00356216" w:rsidRPr="00721E76">
        <w:rPr>
          <w:rFonts w:hint="cs"/>
          <w:b/>
          <w:bCs/>
          <w:rtl/>
        </w:rPr>
        <w:t>ٌ،</w:t>
      </w:r>
      <w:r w:rsidRPr="00721E76">
        <w:rPr>
          <w:rFonts w:hint="cs"/>
          <w:b/>
          <w:bCs/>
          <w:rtl/>
        </w:rPr>
        <w:t xml:space="preserve"> إن</w:t>
      </w:r>
      <w:r w:rsidR="00356216" w:rsidRPr="00721E76">
        <w:rPr>
          <w:rFonts w:hint="cs"/>
          <w:b/>
          <w:bCs/>
          <w:rtl/>
        </w:rPr>
        <w:t>ّ</w:t>
      </w:r>
      <w:r w:rsidRPr="00721E76">
        <w:rPr>
          <w:rFonts w:hint="cs"/>
          <w:b/>
          <w:bCs/>
          <w:rtl/>
        </w:rPr>
        <w:t>ما</w:t>
      </w:r>
      <w:r w:rsidR="009A1626" w:rsidRPr="00721E76">
        <w:rPr>
          <w:rFonts w:hint="cs"/>
          <w:b/>
          <w:bCs/>
          <w:rtl/>
        </w:rPr>
        <w:t xml:space="preserve"> الدليل والحج</w:t>
      </w:r>
      <w:r w:rsidR="00356216" w:rsidRPr="00721E76">
        <w:rPr>
          <w:rFonts w:hint="cs"/>
          <w:b/>
          <w:bCs/>
          <w:rtl/>
        </w:rPr>
        <w:t>ّ</w:t>
      </w:r>
      <w:r w:rsidR="009A1626" w:rsidRPr="00721E76">
        <w:rPr>
          <w:rFonts w:hint="cs"/>
          <w:b/>
          <w:bCs/>
          <w:rtl/>
        </w:rPr>
        <w:t xml:space="preserve">ة </w:t>
      </w:r>
      <w:r w:rsidR="00356216" w:rsidRPr="00721E76">
        <w:rPr>
          <w:rFonts w:hint="cs"/>
          <w:b/>
          <w:bCs/>
          <w:rtl/>
        </w:rPr>
        <w:t xml:space="preserve">ـ إماميّاً ـ </w:t>
      </w:r>
      <w:r w:rsidR="009A1626" w:rsidRPr="00721E76">
        <w:rPr>
          <w:rFonts w:hint="cs"/>
          <w:b/>
          <w:bCs/>
          <w:rtl/>
        </w:rPr>
        <w:t xml:space="preserve">هو موقف </w:t>
      </w:r>
      <w:r w:rsidR="00356216" w:rsidRPr="00721E76">
        <w:rPr>
          <w:rFonts w:hint="cs"/>
          <w:b/>
          <w:bCs/>
          <w:rtl/>
        </w:rPr>
        <w:t xml:space="preserve">أئمّة </w:t>
      </w:r>
      <w:r w:rsidR="009A1626" w:rsidRPr="00721E76">
        <w:rPr>
          <w:rFonts w:hint="cs"/>
          <w:b/>
          <w:bCs/>
          <w:rtl/>
        </w:rPr>
        <w:t>أهل البيت</w:t>
      </w:r>
      <w:r w:rsidR="00721E76" w:rsidRPr="00721E76">
        <w:rPr>
          <w:rFonts w:hint="cs"/>
          <w:b/>
          <w:bCs/>
          <w:rtl/>
        </w:rPr>
        <w:t xml:space="preserve">، بالمعنى الأخصّ، </w:t>
      </w:r>
      <w:r w:rsidRPr="00721E76">
        <w:rPr>
          <w:rFonts w:hint="cs"/>
          <w:b/>
          <w:bCs/>
          <w:rtl/>
        </w:rPr>
        <w:t>من ثورته</w:t>
      </w:r>
      <w:r w:rsidR="00721E76" w:rsidRPr="000A4159">
        <w:rPr>
          <w:rFonts w:cs="Taher"/>
          <w:vertAlign w:val="superscript"/>
          <w:rtl/>
        </w:rPr>
        <w:t>(</w:t>
      </w:r>
      <w:r w:rsidR="00721E76" w:rsidRPr="000A4159">
        <w:rPr>
          <w:rStyle w:val="FootnoteReference"/>
          <w:rFonts w:cs="Taher"/>
          <w:rtl/>
        </w:rPr>
        <w:footnoteReference w:id="46"/>
      </w:r>
      <w:r w:rsidR="00721E76" w:rsidRPr="000A4159">
        <w:rPr>
          <w:rFonts w:cs="Taher"/>
          <w:vertAlign w:val="superscript"/>
          <w:rtl/>
        </w:rPr>
        <w:t>)</w:t>
      </w:r>
      <w:r w:rsidRPr="00721E76">
        <w:rPr>
          <w:rFonts w:hint="cs"/>
          <w:b/>
          <w:bCs/>
          <w:rtl/>
        </w:rPr>
        <w:t>،</w:t>
      </w:r>
      <w:r w:rsidRPr="00822CE9">
        <w:rPr>
          <w:rFonts w:hint="cs"/>
          <w:rtl/>
        </w:rPr>
        <w:t xml:space="preserve"> فإن</w:t>
      </w:r>
      <w:r w:rsidR="00356216">
        <w:rPr>
          <w:rFonts w:hint="cs"/>
          <w:rtl/>
        </w:rPr>
        <w:t>ّ</w:t>
      </w:r>
      <w:r w:rsidRPr="00822CE9">
        <w:rPr>
          <w:rFonts w:hint="cs"/>
          <w:rtl/>
        </w:rPr>
        <w:t xml:space="preserve"> الظاهر من تلك النصوص الواردة عنهم ـ وتبلغ حدّ الاستفاضة</w:t>
      </w:r>
      <w:r w:rsidR="00356216">
        <w:rPr>
          <w:rFonts w:hint="cs"/>
          <w:rtl/>
        </w:rPr>
        <w:t>، بل التواتر ـ أ</w:t>
      </w:r>
      <w:r w:rsidRPr="00822CE9">
        <w:rPr>
          <w:rFonts w:hint="cs"/>
          <w:rtl/>
        </w:rPr>
        <w:t>ن</w:t>
      </w:r>
      <w:r w:rsidR="00356216">
        <w:rPr>
          <w:rFonts w:hint="cs"/>
          <w:rtl/>
        </w:rPr>
        <w:t>ّ</w:t>
      </w:r>
      <w:r w:rsidRPr="00822CE9">
        <w:rPr>
          <w:rFonts w:hint="cs"/>
          <w:rtl/>
        </w:rPr>
        <w:t>هم كانوا مؤي</w:t>
      </w:r>
      <w:r w:rsidR="00356216">
        <w:rPr>
          <w:rFonts w:hint="cs"/>
          <w:rtl/>
        </w:rPr>
        <w:t>ّ</w:t>
      </w:r>
      <w:r w:rsidRPr="00822CE9">
        <w:rPr>
          <w:rFonts w:hint="cs"/>
          <w:rtl/>
        </w:rPr>
        <w:t>دين لها راضين عنها، وهذا دليل</w:t>
      </w:r>
      <w:r w:rsidR="00356216">
        <w:rPr>
          <w:rFonts w:hint="cs"/>
          <w:rtl/>
        </w:rPr>
        <w:t>ٌ</w:t>
      </w:r>
      <w:r w:rsidRPr="00822CE9">
        <w:rPr>
          <w:rFonts w:hint="cs"/>
          <w:rtl/>
        </w:rPr>
        <w:t xml:space="preserve"> قاطع على شرعي</w:t>
      </w:r>
      <w:r w:rsidR="00356216">
        <w:rPr>
          <w:rFonts w:hint="cs"/>
          <w:rtl/>
        </w:rPr>
        <w:t>ّ</w:t>
      </w:r>
      <w:r w:rsidRPr="00822CE9">
        <w:rPr>
          <w:rFonts w:hint="cs"/>
          <w:rtl/>
        </w:rPr>
        <w:t>ة الثورة المسلّحة ضدّ أنظمة الحكم الفاسدة</w:t>
      </w:r>
      <w:r w:rsidRPr="000A4159">
        <w:rPr>
          <w:rFonts w:cs="Taher"/>
          <w:vertAlign w:val="superscript"/>
          <w:rtl/>
        </w:rPr>
        <w:t>(</w:t>
      </w:r>
      <w:r w:rsidRPr="000A4159">
        <w:rPr>
          <w:rStyle w:val="FootnoteReference"/>
          <w:rFonts w:cs="Taher"/>
          <w:rtl/>
        </w:rPr>
        <w:footnoteReference w:id="47"/>
      </w:r>
      <w:r w:rsidRPr="000A4159">
        <w:rPr>
          <w:rFonts w:cs="Taher"/>
          <w:vertAlign w:val="superscript"/>
          <w:rtl/>
        </w:rPr>
        <w:t>)</w:t>
      </w:r>
      <w:r w:rsidR="004F41C8">
        <w:rPr>
          <w:rtl/>
        </w:rPr>
        <w:t>.</w:t>
      </w:r>
    </w:p>
    <w:p w14:paraId="76C62834" w14:textId="77777777" w:rsidR="00F927C1" w:rsidRPr="00F927C1" w:rsidRDefault="00F927C1" w:rsidP="00BF0865">
      <w:pPr>
        <w:pStyle w:val="Heading2"/>
        <w:rPr>
          <w:rtl/>
        </w:rPr>
      </w:pPr>
      <w:bookmarkStart w:id="36" w:name="_Toc143804108"/>
      <w:bookmarkStart w:id="37" w:name="_Toc238123233"/>
      <w:r w:rsidRPr="00F927C1">
        <w:rPr>
          <w:rFonts w:hint="cs"/>
          <w:rtl/>
        </w:rPr>
        <w:t xml:space="preserve">إشكاليّات </w:t>
      </w:r>
      <w:r>
        <w:rPr>
          <w:rFonts w:hint="cs"/>
          <w:rtl/>
        </w:rPr>
        <w:t xml:space="preserve">وعوائق </w:t>
      </w:r>
      <w:r w:rsidRPr="00F927C1">
        <w:rPr>
          <w:rFonts w:hint="cs"/>
          <w:rtl/>
        </w:rPr>
        <w:t xml:space="preserve">أمام توظيف </w:t>
      </w:r>
      <w:r>
        <w:rPr>
          <w:rFonts w:hint="cs"/>
          <w:rtl/>
        </w:rPr>
        <w:t xml:space="preserve">قيام </w:t>
      </w:r>
      <w:r w:rsidRPr="00F927C1">
        <w:rPr>
          <w:rFonts w:hint="cs"/>
          <w:rtl/>
        </w:rPr>
        <w:t>زيد في التبرير الفقهي الثوري، رصد وتأمّل</w:t>
      </w:r>
      <w:bookmarkEnd w:id="36"/>
      <w:bookmarkEnd w:id="37"/>
    </w:p>
    <w:p w14:paraId="2B01417D" w14:textId="77777777" w:rsidR="004F41C8" w:rsidRDefault="004F41C8" w:rsidP="004F41C8">
      <w:pPr>
        <w:spacing w:line="214" w:lineRule="auto"/>
        <w:rPr>
          <w:b/>
          <w:bCs/>
          <w:rtl/>
        </w:rPr>
      </w:pPr>
      <w:r w:rsidRPr="004F41C8">
        <w:rPr>
          <w:rFonts w:hint="cs"/>
          <w:b/>
          <w:bCs/>
          <w:rtl/>
        </w:rPr>
        <w:t>يعتبر هذا الاستدلال في غاية الأهميّ</w:t>
      </w:r>
      <w:r>
        <w:rPr>
          <w:rFonts w:hint="cs"/>
          <w:b/>
          <w:bCs/>
          <w:rtl/>
        </w:rPr>
        <w:t>ة</w:t>
      </w:r>
      <w:r w:rsidRPr="004F41C8">
        <w:rPr>
          <w:rFonts w:hint="cs"/>
          <w:b/>
          <w:bCs/>
          <w:rtl/>
        </w:rPr>
        <w:t>، لكنّه ربما تسجّل عليه م</w:t>
      </w:r>
      <w:r>
        <w:rPr>
          <w:rFonts w:hint="cs"/>
          <w:b/>
          <w:bCs/>
          <w:rtl/>
        </w:rPr>
        <w:t>ناقشات</w:t>
      </w:r>
      <w:r w:rsidRPr="004F41C8">
        <w:rPr>
          <w:rFonts w:hint="cs"/>
          <w:b/>
          <w:bCs/>
          <w:rtl/>
        </w:rPr>
        <w:t xml:space="preserve"> جوهريّة</w:t>
      </w:r>
      <w:r>
        <w:rPr>
          <w:rFonts w:hint="cs"/>
          <w:b/>
          <w:bCs/>
          <w:rtl/>
        </w:rPr>
        <w:t>،</w:t>
      </w:r>
      <w:r w:rsidRPr="004F41C8">
        <w:rPr>
          <w:rFonts w:hint="cs"/>
          <w:b/>
          <w:bCs/>
          <w:rtl/>
        </w:rPr>
        <w:t xml:space="preserve"> وأبرزها:</w:t>
      </w:r>
    </w:p>
    <w:p w14:paraId="6A3A0FC8" w14:textId="77777777" w:rsidR="00F927C1" w:rsidRPr="00FC27FF" w:rsidRDefault="00503DDA" w:rsidP="00BF0865">
      <w:pPr>
        <w:pStyle w:val="Heading3"/>
        <w:rPr>
          <w:rtl/>
        </w:rPr>
      </w:pPr>
      <w:bookmarkStart w:id="38" w:name="_Toc143804109"/>
      <w:bookmarkStart w:id="39" w:name="_Toc238123234"/>
      <w:r>
        <w:rPr>
          <w:rFonts w:hint="cs"/>
          <w:rtl/>
        </w:rPr>
        <w:t xml:space="preserve">11 ـ 1 ـ </w:t>
      </w:r>
      <w:r w:rsidR="00FC27FF" w:rsidRPr="00FC27FF">
        <w:rPr>
          <w:rFonts w:hint="cs"/>
          <w:rtl/>
        </w:rPr>
        <w:t>معضلة تعارض المعطيات في الموقف من ثورة زيد</w:t>
      </w:r>
      <w:bookmarkEnd w:id="38"/>
      <w:bookmarkEnd w:id="39"/>
    </w:p>
    <w:p w14:paraId="507C4E69" w14:textId="77777777" w:rsidR="000A4159" w:rsidRDefault="00FC27FF" w:rsidP="000427FA">
      <w:pPr>
        <w:pStyle w:val="normal84"/>
        <w:rPr>
          <w:rtl/>
        </w:rPr>
      </w:pPr>
      <w:r>
        <w:rPr>
          <w:rFonts w:hint="cs"/>
          <w:b/>
          <w:bCs/>
          <w:rtl/>
        </w:rPr>
        <w:t xml:space="preserve">أوّل </w:t>
      </w:r>
      <w:r w:rsidR="000A4159" w:rsidRPr="004F41C8">
        <w:rPr>
          <w:rFonts w:hint="cs"/>
          <w:b/>
          <w:bCs/>
          <w:rtl/>
        </w:rPr>
        <w:t>المناقش</w:t>
      </w:r>
      <w:r>
        <w:rPr>
          <w:rFonts w:hint="cs"/>
          <w:b/>
          <w:bCs/>
          <w:rtl/>
        </w:rPr>
        <w:t xml:space="preserve">ات هنا هو </w:t>
      </w:r>
      <w:r>
        <w:rPr>
          <w:rFonts w:hint="cs"/>
          <w:rtl/>
        </w:rPr>
        <w:t>أ</w:t>
      </w:r>
      <w:r w:rsidR="004F41C8">
        <w:rPr>
          <w:rFonts w:hint="cs"/>
          <w:rtl/>
        </w:rPr>
        <w:t xml:space="preserve">نّ هذا الاستدلال يعاني من نصوص وروايات تعارض معطياته، حيث لدينا روايات </w:t>
      </w:r>
      <w:r w:rsidR="000A4159" w:rsidRPr="00822CE9">
        <w:rPr>
          <w:rFonts w:hint="cs"/>
          <w:rtl/>
        </w:rPr>
        <w:t>ذام</w:t>
      </w:r>
      <w:r w:rsidR="004F41C8">
        <w:rPr>
          <w:rFonts w:hint="cs"/>
          <w:rtl/>
        </w:rPr>
        <w:t>ّ</w:t>
      </w:r>
      <w:r w:rsidR="000A4159" w:rsidRPr="00822CE9">
        <w:rPr>
          <w:rFonts w:hint="cs"/>
          <w:rtl/>
        </w:rPr>
        <w:t>ة لزيد</w:t>
      </w:r>
      <w:r w:rsidR="004F41C8">
        <w:rPr>
          <w:rFonts w:hint="cs"/>
          <w:rtl/>
        </w:rPr>
        <w:t>،</w:t>
      </w:r>
      <w:r w:rsidR="000A4159" w:rsidRPr="00822CE9">
        <w:rPr>
          <w:rFonts w:hint="cs"/>
          <w:rtl/>
        </w:rPr>
        <w:t xml:space="preserve"> وأن</w:t>
      </w:r>
      <w:r w:rsidR="004F41C8">
        <w:rPr>
          <w:rFonts w:hint="cs"/>
          <w:rtl/>
        </w:rPr>
        <w:t>ّ</w:t>
      </w:r>
      <w:r w:rsidR="000A4159" w:rsidRPr="00822CE9">
        <w:rPr>
          <w:rFonts w:hint="cs"/>
          <w:rtl/>
        </w:rPr>
        <w:t>ه ما كان خارجاً</w:t>
      </w:r>
      <w:r w:rsidR="004F41C8">
        <w:rPr>
          <w:rFonts w:hint="cs"/>
          <w:rtl/>
        </w:rPr>
        <w:t xml:space="preserve"> إلا</w:t>
      </w:r>
      <w:r w:rsidR="000A4159" w:rsidRPr="00822CE9">
        <w:rPr>
          <w:rFonts w:hint="cs"/>
          <w:rtl/>
        </w:rPr>
        <w:t xml:space="preserve"> لنفسه، فكيف نأخذ بالروايات المادحة ونترك الروايات الذام</w:t>
      </w:r>
      <w:r w:rsidR="004F41C8">
        <w:rPr>
          <w:rFonts w:hint="cs"/>
          <w:rtl/>
        </w:rPr>
        <w:t>ّ</w:t>
      </w:r>
      <w:r w:rsidR="000A4159" w:rsidRPr="00822CE9">
        <w:rPr>
          <w:rFonts w:hint="cs"/>
          <w:rtl/>
        </w:rPr>
        <w:t>ة. ونحن لا نريد هنا البحث عن زيد ونصوصه، وإن</w:t>
      </w:r>
      <w:r w:rsidR="004F41C8">
        <w:rPr>
          <w:rFonts w:hint="cs"/>
          <w:rtl/>
        </w:rPr>
        <w:t>ّ</w:t>
      </w:r>
      <w:r w:rsidR="000A4159" w:rsidRPr="00822CE9">
        <w:rPr>
          <w:rFonts w:hint="cs"/>
          <w:rtl/>
        </w:rPr>
        <w:t>ما يعنينا موقف الأئم</w:t>
      </w:r>
      <w:r w:rsidR="004F41C8">
        <w:rPr>
          <w:rFonts w:hint="cs"/>
          <w:rtl/>
        </w:rPr>
        <w:t>ّ</w:t>
      </w:r>
      <w:r w:rsidR="000A4159" w:rsidRPr="00822CE9">
        <w:rPr>
          <w:rFonts w:hint="cs"/>
          <w:rtl/>
        </w:rPr>
        <w:t>ة من ثورته، لا من شخصه، فقد يترح</w:t>
      </w:r>
      <w:r w:rsidR="004F41C8">
        <w:rPr>
          <w:rFonts w:hint="cs"/>
          <w:rtl/>
        </w:rPr>
        <w:t>ّ</w:t>
      </w:r>
      <w:r w:rsidR="000A4159" w:rsidRPr="00822CE9">
        <w:rPr>
          <w:rFonts w:hint="cs"/>
          <w:rtl/>
        </w:rPr>
        <w:t>مون عليه ويرونه عالماً.. لكن</w:t>
      </w:r>
      <w:r w:rsidR="004F41C8">
        <w:rPr>
          <w:rFonts w:hint="cs"/>
          <w:rtl/>
        </w:rPr>
        <w:t>ّ</w:t>
      </w:r>
      <w:r w:rsidR="000A4159" w:rsidRPr="00822CE9">
        <w:rPr>
          <w:rFonts w:hint="cs"/>
          <w:rtl/>
        </w:rPr>
        <w:t>هم لا يؤي</w:t>
      </w:r>
      <w:r w:rsidR="004F41C8">
        <w:rPr>
          <w:rFonts w:hint="cs"/>
          <w:rtl/>
        </w:rPr>
        <w:t>ّ</w:t>
      </w:r>
      <w:r w:rsidR="000A4159" w:rsidRPr="00822CE9">
        <w:rPr>
          <w:rFonts w:hint="cs"/>
          <w:rtl/>
        </w:rPr>
        <w:t xml:space="preserve">دون اجتهاده في </w:t>
      </w:r>
      <w:r w:rsidR="000A4159" w:rsidRPr="00822CE9">
        <w:rPr>
          <w:rFonts w:hint="cs"/>
          <w:rtl/>
        </w:rPr>
        <w:lastRenderedPageBreak/>
        <w:t>خروجه</w:t>
      </w:r>
      <w:r w:rsidR="004F41C8">
        <w:rPr>
          <w:rFonts w:hint="cs"/>
          <w:rtl/>
        </w:rPr>
        <w:t>.</w:t>
      </w:r>
      <w:r w:rsidR="000A4159" w:rsidRPr="00822CE9">
        <w:rPr>
          <w:rFonts w:hint="cs"/>
          <w:rtl/>
        </w:rPr>
        <w:t xml:space="preserve"> من هنا لا يعنينا سوى ما ذكرنا.</w:t>
      </w:r>
    </w:p>
    <w:p w14:paraId="4BD8FB6B" w14:textId="77777777" w:rsidR="00FC27FF" w:rsidRPr="00FC27FF" w:rsidRDefault="00FC27FF" w:rsidP="00FC27FF">
      <w:pPr>
        <w:spacing w:line="214" w:lineRule="auto"/>
        <w:rPr>
          <w:b/>
          <w:bCs/>
          <w:rtl/>
        </w:rPr>
      </w:pPr>
      <w:r w:rsidRPr="00FC27FF">
        <w:rPr>
          <w:rFonts w:hint="cs"/>
          <w:b/>
          <w:bCs/>
          <w:rtl/>
        </w:rPr>
        <w:t>ولكي ندرس هذا الموضوع علينا تحليل مختلف النصوص</w:t>
      </w:r>
      <w:r>
        <w:rPr>
          <w:rFonts w:hint="cs"/>
          <w:b/>
          <w:bCs/>
          <w:rtl/>
        </w:rPr>
        <w:t>،</w:t>
      </w:r>
      <w:r w:rsidRPr="00FC27FF">
        <w:rPr>
          <w:rFonts w:hint="cs"/>
          <w:b/>
          <w:bCs/>
          <w:rtl/>
        </w:rPr>
        <w:t xml:space="preserve"> لنرى ماذا يمكن أن تكون النتيجة؟ والنصوص هنا على مجموعتين:</w:t>
      </w:r>
    </w:p>
    <w:p w14:paraId="5E321993" w14:textId="77777777" w:rsidR="00FC27FF" w:rsidRPr="00FC27FF" w:rsidRDefault="00FC27FF" w:rsidP="00BF0865">
      <w:pPr>
        <w:pStyle w:val="Heading3"/>
        <w:rPr>
          <w:rtl/>
        </w:rPr>
      </w:pPr>
      <w:bookmarkStart w:id="40" w:name="_Toc143804110"/>
      <w:bookmarkStart w:id="41" w:name="_Toc238123235"/>
      <w:r w:rsidRPr="00FC27FF">
        <w:rPr>
          <w:rFonts w:hint="cs"/>
          <w:rtl/>
        </w:rPr>
        <w:t>المجموعة الأولى: النصوص المؤيّدة لثورة زيد</w:t>
      </w:r>
      <w:r>
        <w:rPr>
          <w:rFonts w:hint="cs"/>
          <w:rtl/>
        </w:rPr>
        <w:t xml:space="preserve"> الشهيد</w:t>
      </w:r>
      <w:bookmarkEnd w:id="40"/>
      <w:bookmarkEnd w:id="41"/>
    </w:p>
    <w:p w14:paraId="430C1736" w14:textId="77777777" w:rsidR="000A4159" w:rsidRPr="004F41C8" w:rsidRDefault="00FC27FF" w:rsidP="00FC27FF">
      <w:pPr>
        <w:spacing w:line="214" w:lineRule="auto"/>
        <w:rPr>
          <w:b/>
          <w:bCs/>
          <w:rtl/>
        </w:rPr>
      </w:pPr>
      <w:r>
        <w:rPr>
          <w:rFonts w:hint="cs"/>
          <w:b/>
          <w:bCs/>
          <w:rtl/>
        </w:rPr>
        <w:t xml:space="preserve">أهمّ </w:t>
      </w:r>
      <w:r w:rsidR="000A4159" w:rsidRPr="004F41C8">
        <w:rPr>
          <w:rFonts w:hint="cs"/>
          <w:b/>
          <w:bCs/>
          <w:rtl/>
        </w:rPr>
        <w:t xml:space="preserve">الروايات </w:t>
      </w:r>
      <w:r>
        <w:rPr>
          <w:rFonts w:hint="cs"/>
          <w:b/>
          <w:bCs/>
          <w:rtl/>
        </w:rPr>
        <w:t>والنصوص هنا يمكن عرضه على الشكل الآتي</w:t>
      </w:r>
      <w:r w:rsidR="000A4159" w:rsidRPr="004F41C8">
        <w:rPr>
          <w:rFonts w:hint="cs"/>
          <w:b/>
          <w:bCs/>
          <w:rtl/>
        </w:rPr>
        <w:t>:</w:t>
      </w:r>
    </w:p>
    <w:p w14:paraId="41E3414B" w14:textId="77777777" w:rsidR="000A4159" w:rsidRPr="00822CE9" w:rsidRDefault="00CA156E" w:rsidP="000427FA">
      <w:pPr>
        <w:pStyle w:val="normal930"/>
        <w:rPr>
          <w:rtl/>
        </w:rPr>
      </w:pPr>
      <w:r>
        <w:rPr>
          <w:rFonts w:hint="cs"/>
          <w:b/>
          <w:bCs/>
          <w:rtl/>
        </w:rPr>
        <w:t xml:space="preserve">الرواية الأولى: خبر </w:t>
      </w:r>
      <w:r w:rsidR="000A4159" w:rsidRPr="004F41C8">
        <w:rPr>
          <w:rFonts w:hint="cs"/>
          <w:b/>
          <w:bCs/>
          <w:rtl/>
        </w:rPr>
        <w:t>ع</w:t>
      </w:r>
      <w:r>
        <w:rPr>
          <w:rFonts w:hint="cs"/>
          <w:b/>
          <w:bCs/>
          <w:rtl/>
        </w:rPr>
        <w:t>ِ</w:t>
      </w:r>
      <w:r w:rsidR="000A4159" w:rsidRPr="004F41C8">
        <w:rPr>
          <w:rFonts w:hint="cs"/>
          <w:b/>
          <w:bCs/>
          <w:rtl/>
        </w:rPr>
        <w:t>يص بن القاسم</w:t>
      </w:r>
      <w:r w:rsidR="004F41C8">
        <w:rPr>
          <w:rFonts w:hint="cs"/>
          <w:b/>
          <w:bCs/>
          <w:rtl/>
        </w:rPr>
        <w:t>،</w:t>
      </w:r>
      <w:r w:rsidR="000A4159" w:rsidRPr="00822CE9">
        <w:rPr>
          <w:rFonts w:hint="cs"/>
          <w:rtl/>
        </w:rPr>
        <w:t xml:space="preserve"> قال: سمعت أبا عبد الله</w:t>
      </w:r>
      <w:r w:rsidR="009A1626" w:rsidRPr="00822CE9">
        <w:rPr>
          <w:rFonts w:hint="cs"/>
          <w:rtl/>
        </w:rPr>
        <w:t>×</w:t>
      </w:r>
      <w:r w:rsidR="000A4159" w:rsidRPr="00822CE9">
        <w:rPr>
          <w:rFonts w:hint="cs"/>
          <w:rtl/>
        </w:rPr>
        <w:t xml:space="preserve"> يقول: «علي</w:t>
      </w:r>
      <w:r w:rsidR="004F41C8">
        <w:rPr>
          <w:rFonts w:hint="cs"/>
          <w:rtl/>
        </w:rPr>
        <w:t>ك</w:t>
      </w:r>
      <w:r w:rsidR="000A4159" w:rsidRPr="00822CE9">
        <w:rPr>
          <w:rFonts w:hint="cs"/>
          <w:rtl/>
        </w:rPr>
        <w:t>م بتقوى الله.. فانظروا على أيّ شيء تخرجون، ولا تقو</w:t>
      </w:r>
      <w:r w:rsidR="004F41C8">
        <w:rPr>
          <w:rFonts w:hint="cs"/>
          <w:rtl/>
        </w:rPr>
        <w:t>ل</w:t>
      </w:r>
      <w:r w:rsidR="000A4159" w:rsidRPr="00822CE9">
        <w:rPr>
          <w:rFonts w:hint="cs"/>
          <w:rtl/>
        </w:rPr>
        <w:t>وا خرج زيد، فإن</w:t>
      </w:r>
      <w:r w:rsidR="004F41C8">
        <w:rPr>
          <w:rFonts w:hint="cs"/>
          <w:rtl/>
        </w:rPr>
        <w:t>ّ</w:t>
      </w:r>
      <w:r w:rsidR="000A4159" w:rsidRPr="00822CE9">
        <w:rPr>
          <w:rFonts w:hint="cs"/>
          <w:rtl/>
        </w:rPr>
        <w:t xml:space="preserve"> زيداً كان عالماً، وكان صدوقاً، ولم يدعكم إلى نفسه</w:t>
      </w:r>
      <w:r w:rsidR="004F41C8">
        <w:rPr>
          <w:rFonts w:hint="cs"/>
          <w:rtl/>
        </w:rPr>
        <w:t>،</w:t>
      </w:r>
      <w:r w:rsidR="000A4159" w:rsidRPr="00822CE9">
        <w:rPr>
          <w:rFonts w:hint="cs"/>
          <w:rtl/>
        </w:rPr>
        <w:t xml:space="preserve"> إن</w:t>
      </w:r>
      <w:r w:rsidR="004F41C8">
        <w:rPr>
          <w:rFonts w:hint="cs"/>
          <w:rtl/>
        </w:rPr>
        <w:t>ّ</w:t>
      </w:r>
      <w:r w:rsidR="000A4159" w:rsidRPr="00822CE9">
        <w:rPr>
          <w:rFonts w:hint="cs"/>
          <w:rtl/>
        </w:rPr>
        <w:t>ما دعاكم إلى الرضا من آل محم</w:t>
      </w:r>
      <w:r w:rsidR="004F41C8">
        <w:rPr>
          <w:rFonts w:hint="cs"/>
          <w:rtl/>
        </w:rPr>
        <w:t>ّ</w:t>
      </w:r>
      <w:r w:rsidR="000A4159" w:rsidRPr="00822CE9">
        <w:rPr>
          <w:rFonts w:hint="cs"/>
          <w:rtl/>
        </w:rPr>
        <w:t>د، ولو ظهر لوفى بما دعاكم إليه، إن</w:t>
      </w:r>
      <w:r w:rsidR="004F41C8">
        <w:rPr>
          <w:rFonts w:hint="cs"/>
          <w:rtl/>
        </w:rPr>
        <w:t>ّ</w:t>
      </w:r>
      <w:r w:rsidR="000A4159" w:rsidRPr="00822CE9">
        <w:rPr>
          <w:rFonts w:hint="cs"/>
          <w:rtl/>
        </w:rPr>
        <w:t>ما خرج إلى سلطان</w:t>
      </w:r>
      <w:r w:rsidR="007B33DF">
        <w:rPr>
          <w:rFonts w:hint="cs"/>
          <w:rtl/>
        </w:rPr>
        <w:t>ٍ</w:t>
      </w:r>
      <w:r w:rsidR="000A4159" w:rsidRPr="00822CE9">
        <w:rPr>
          <w:rFonts w:hint="cs"/>
          <w:rtl/>
        </w:rPr>
        <w:t xml:space="preserve"> م</w:t>
      </w:r>
      <w:r w:rsidR="007B33DF">
        <w:rPr>
          <w:rFonts w:hint="cs"/>
          <w:rtl/>
        </w:rPr>
        <w:t>ُ</w:t>
      </w:r>
      <w:r w:rsidR="000A4159" w:rsidRPr="00822CE9">
        <w:rPr>
          <w:rFonts w:hint="cs"/>
          <w:rtl/>
        </w:rPr>
        <w:t>ج</w:t>
      </w:r>
      <w:r w:rsidR="007B33DF">
        <w:rPr>
          <w:rFonts w:hint="cs"/>
          <w:rtl/>
        </w:rPr>
        <w:t>ْ</w:t>
      </w:r>
      <w:r w:rsidR="000A4159" w:rsidRPr="00822CE9">
        <w:rPr>
          <w:rFonts w:hint="cs"/>
          <w:rtl/>
        </w:rPr>
        <w:t>ت</w:t>
      </w:r>
      <w:r w:rsidR="007B33DF">
        <w:rPr>
          <w:rFonts w:hint="cs"/>
          <w:rtl/>
        </w:rPr>
        <w:t>َ</w:t>
      </w:r>
      <w:r w:rsidR="000A4159" w:rsidRPr="00822CE9">
        <w:rPr>
          <w:rFonts w:hint="cs"/>
          <w:rtl/>
        </w:rPr>
        <w:t>م</w:t>
      </w:r>
      <w:r w:rsidR="007B33DF">
        <w:rPr>
          <w:rFonts w:hint="cs"/>
          <w:rtl/>
        </w:rPr>
        <w:t>ِ</w:t>
      </w:r>
      <w:r w:rsidR="000A4159" w:rsidRPr="00822CE9">
        <w:rPr>
          <w:rFonts w:hint="cs"/>
          <w:rtl/>
        </w:rPr>
        <w:t>ع</w:t>
      </w:r>
      <w:r w:rsidR="007B33DF">
        <w:rPr>
          <w:rFonts w:hint="cs"/>
          <w:rtl/>
        </w:rPr>
        <w:t>ٍ</w:t>
      </w:r>
      <w:r w:rsidR="000A4159" w:rsidRPr="00822CE9">
        <w:rPr>
          <w:rFonts w:hint="cs"/>
          <w:rtl/>
        </w:rPr>
        <w:t xml:space="preserve"> ل</w:t>
      </w:r>
      <w:r w:rsidR="007B33DF">
        <w:rPr>
          <w:rFonts w:hint="cs"/>
          <w:rtl/>
        </w:rPr>
        <w:t>ِ</w:t>
      </w:r>
      <w:r w:rsidR="000A4159" w:rsidRPr="00822CE9">
        <w:rPr>
          <w:rFonts w:hint="cs"/>
          <w:rtl/>
        </w:rPr>
        <w:t>ي</w:t>
      </w:r>
      <w:r w:rsidR="007B33DF">
        <w:rPr>
          <w:rFonts w:hint="cs"/>
          <w:rtl/>
        </w:rPr>
        <w:t>َ</w:t>
      </w:r>
      <w:r w:rsidR="000A4159" w:rsidRPr="00822CE9">
        <w:rPr>
          <w:rFonts w:hint="cs"/>
          <w:rtl/>
        </w:rPr>
        <w:t>ن</w:t>
      </w:r>
      <w:r w:rsidR="007B33DF">
        <w:rPr>
          <w:rFonts w:hint="cs"/>
          <w:rtl/>
        </w:rPr>
        <w:t>ْ</w:t>
      </w:r>
      <w:r w:rsidR="000A4159" w:rsidRPr="00822CE9">
        <w:rPr>
          <w:rFonts w:hint="cs"/>
          <w:rtl/>
        </w:rPr>
        <w:t>ق</w:t>
      </w:r>
      <w:r w:rsidR="007B33DF">
        <w:rPr>
          <w:rFonts w:hint="cs"/>
          <w:rtl/>
        </w:rPr>
        <w:t>ُ</w:t>
      </w:r>
      <w:r w:rsidR="000A4159" w:rsidRPr="00822CE9">
        <w:rPr>
          <w:rFonts w:hint="cs"/>
          <w:rtl/>
        </w:rPr>
        <w:t>ض</w:t>
      </w:r>
      <w:r w:rsidR="007B33DF">
        <w:rPr>
          <w:rFonts w:hint="cs"/>
          <w:rtl/>
        </w:rPr>
        <w:t>َ</w:t>
      </w:r>
      <w:r w:rsidR="000A4159" w:rsidRPr="00822CE9">
        <w:rPr>
          <w:rFonts w:hint="cs"/>
          <w:rtl/>
        </w:rPr>
        <w:t>ه</w:t>
      </w:r>
      <w:r w:rsidR="007B33DF">
        <w:rPr>
          <w:rFonts w:hint="cs"/>
          <w:rtl/>
        </w:rPr>
        <w:t>ُ</w:t>
      </w:r>
      <w:r w:rsidR="000A4159" w:rsidRPr="00822CE9">
        <w:rPr>
          <w:rFonts w:hint="cs"/>
          <w:rtl/>
        </w:rPr>
        <w:t>..»</w:t>
      </w:r>
      <w:r w:rsidR="000A4159" w:rsidRPr="000A4159">
        <w:rPr>
          <w:rFonts w:cs="Taher"/>
          <w:vertAlign w:val="superscript"/>
          <w:rtl/>
        </w:rPr>
        <w:t>(</w:t>
      </w:r>
      <w:r w:rsidR="000A4159" w:rsidRPr="000A4159">
        <w:rPr>
          <w:rStyle w:val="FootnoteReference"/>
          <w:rFonts w:cs="Taher"/>
          <w:rtl/>
        </w:rPr>
        <w:footnoteReference w:id="48"/>
      </w:r>
      <w:r w:rsidR="000A4159" w:rsidRPr="000A4159">
        <w:rPr>
          <w:rFonts w:cs="Taher"/>
          <w:vertAlign w:val="superscript"/>
          <w:rtl/>
        </w:rPr>
        <w:t>)</w:t>
      </w:r>
      <w:r w:rsidR="000A4159" w:rsidRPr="00822CE9">
        <w:rPr>
          <w:rtl/>
        </w:rPr>
        <w:t>.</w:t>
      </w:r>
    </w:p>
    <w:p w14:paraId="464CA972" w14:textId="77777777" w:rsidR="00DE31C2" w:rsidRDefault="000A4159" w:rsidP="00157BD0">
      <w:pPr>
        <w:spacing w:line="214" w:lineRule="auto"/>
        <w:rPr>
          <w:rtl/>
        </w:rPr>
      </w:pPr>
      <w:r w:rsidRPr="00822CE9">
        <w:rPr>
          <w:rFonts w:hint="cs"/>
          <w:rtl/>
        </w:rPr>
        <w:t>والظاهر من هذه الرواية رضا الإمام</w:t>
      </w:r>
      <w:r w:rsidR="00157BD0">
        <w:rPr>
          <w:rFonts w:hint="cs"/>
          <w:rtl/>
        </w:rPr>
        <w:t xml:space="preserve"> الصادق</w:t>
      </w:r>
      <w:r w:rsidRPr="00822CE9">
        <w:rPr>
          <w:rFonts w:hint="cs"/>
          <w:rtl/>
        </w:rPr>
        <w:t xml:space="preserve"> عن ثورة زيد، فهذا اللسان ليس لساناً رافضاً لهذه الثورة، بل مادحاً لها ولأهدافها، وأن</w:t>
      </w:r>
      <w:r w:rsidR="004F41C8">
        <w:rPr>
          <w:rFonts w:hint="cs"/>
          <w:rtl/>
        </w:rPr>
        <w:t>ّ</w:t>
      </w:r>
      <w:r w:rsidRPr="00822CE9">
        <w:rPr>
          <w:rFonts w:hint="cs"/>
          <w:rtl/>
        </w:rPr>
        <w:t xml:space="preserve">ه لم يخرج لنفسه ولا طالباً سلطاناً لذاته، </w:t>
      </w:r>
      <w:r w:rsidR="00DE31C2" w:rsidRPr="00157BD0">
        <w:rPr>
          <w:rFonts w:hint="cs"/>
          <w:b/>
          <w:bCs/>
          <w:rtl/>
        </w:rPr>
        <w:t>بل كأنّ هناك حركات خروج كانت قائمة بعد ثورة زيد بين الشيعة وكانت تأخذ حجّة وجودها من ثورة زيد، فأراد الإمام أن يقارن بين الثورات ليؤكّد أنّ رفضه لهذه الثورات لا يعني أنّه يرفض ثورة زيد،</w:t>
      </w:r>
      <w:r w:rsidR="00DE31C2">
        <w:rPr>
          <w:rFonts w:hint="cs"/>
          <w:rtl/>
        </w:rPr>
        <w:t xml:space="preserve"> بل هو يريد أن يميّز بين ثورة زيد وهذه الثورات من حيث شخصيّة الرمز الخارج فيها، وعلمه وصدقه، وكذلك من حيث الأهداف والغايات، فالرواية ليس فقط تمدح ثورة زيد في رمزها وهدفها، بل أيضاً تشير ـ بنحوٍ ما ـ إلى أنّه لو تحقّق مثل ذلك، فإنّني لا أمانع الخروج.</w:t>
      </w:r>
    </w:p>
    <w:p w14:paraId="060D5408" w14:textId="77777777" w:rsidR="000A4159" w:rsidRPr="00822CE9" w:rsidRDefault="00DE31C2" w:rsidP="00DE31C2">
      <w:pPr>
        <w:spacing w:line="214" w:lineRule="auto"/>
        <w:rPr>
          <w:rtl/>
        </w:rPr>
      </w:pPr>
      <w:r>
        <w:rPr>
          <w:rFonts w:hint="cs"/>
          <w:rtl/>
        </w:rPr>
        <w:t>هذا، و</w:t>
      </w:r>
      <w:r w:rsidR="000A4159" w:rsidRPr="00822CE9">
        <w:rPr>
          <w:rFonts w:hint="cs"/>
          <w:rtl/>
        </w:rPr>
        <w:t>الرواية صحيحة السند</w:t>
      </w:r>
      <w:r w:rsidR="004F41C8">
        <w:rPr>
          <w:rFonts w:hint="cs"/>
          <w:rtl/>
        </w:rPr>
        <w:t xml:space="preserve"> على المشهور</w:t>
      </w:r>
      <w:r w:rsidR="000A4159" w:rsidRPr="00822CE9">
        <w:rPr>
          <w:rFonts w:hint="cs"/>
          <w:rtl/>
        </w:rPr>
        <w:t>.</w:t>
      </w:r>
    </w:p>
    <w:p w14:paraId="485D73AC" w14:textId="77777777" w:rsidR="004A3B81" w:rsidRDefault="000A4159" w:rsidP="000427FA">
      <w:pPr>
        <w:rPr>
          <w:rtl/>
        </w:rPr>
      </w:pPr>
      <w:r w:rsidRPr="004F41C8">
        <w:rPr>
          <w:rFonts w:hint="cs"/>
          <w:b/>
          <w:bCs/>
          <w:rtl/>
        </w:rPr>
        <w:t>الرواية الثانية: خبر عبد الرحمن بن سي</w:t>
      </w:r>
      <w:r w:rsidR="004F41C8">
        <w:rPr>
          <w:rFonts w:hint="cs"/>
          <w:b/>
          <w:bCs/>
          <w:rtl/>
        </w:rPr>
        <w:t>ّ</w:t>
      </w:r>
      <w:r w:rsidRPr="004F41C8">
        <w:rPr>
          <w:rFonts w:hint="cs"/>
          <w:b/>
          <w:bCs/>
          <w:rtl/>
        </w:rPr>
        <w:t>ابة،</w:t>
      </w:r>
      <w:r w:rsidRPr="00822CE9">
        <w:rPr>
          <w:rFonts w:hint="cs"/>
          <w:rtl/>
        </w:rPr>
        <w:t xml:space="preserve"> قال</w:t>
      </w:r>
      <w:r w:rsidR="004F41C8">
        <w:rPr>
          <w:rFonts w:hint="cs"/>
          <w:rtl/>
        </w:rPr>
        <w:t>:</w:t>
      </w:r>
      <w:r w:rsidRPr="00822CE9">
        <w:rPr>
          <w:rFonts w:hint="cs"/>
          <w:rtl/>
        </w:rPr>
        <w:t xml:space="preserve"> دفع إليّ أبو عبد الله الصادق جعفر بن محم</w:t>
      </w:r>
      <w:r w:rsidR="004F41C8">
        <w:rPr>
          <w:rFonts w:hint="cs"/>
          <w:rtl/>
        </w:rPr>
        <w:t>ّ</w:t>
      </w:r>
      <w:r w:rsidRPr="00822CE9">
        <w:rPr>
          <w:rFonts w:hint="cs"/>
          <w:rtl/>
        </w:rPr>
        <w:t>د ألف</w:t>
      </w:r>
      <w:r w:rsidR="004F41C8">
        <w:rPr>
          <w:rFonts w:hint="cs"/>
          <w:rtl/>
        </w:rPr>
        <w:t>َ</w:t>
      </w:r>
      <w:r w:rsidRPr="00822CE9">
        <w:rPr>
          <w:rFonts w:hint="cs"/>
          <w:rtl/>
        </w:rPr>
        <w:t xml:space="preserve"> دينار، وأمرني أن أقسّمها في عيال من أصيب مع زيد بن علي</w:t>
      </w:r>
      <w:r w:rsidR="004F41C8">
        <w:rPr>
          <w:rFonts w:hint="cs"/>
          <w:rtl/>
        </w:rPr>
        <w:t>ّ</w:t>
      </w:r>
      <w:r w:rsidRPr="00822CE9">
        <w:rPr>
          <w:rFonts w:hint="cs"/>
          <w:rtl/>
        </w:rPr>
        <w:t xml:space="preserve">، فقسّمتها، فأصاب </w:t>
      </w:r>
      <w:r w:rsidR="004A3B81">
        <w:rPr>
          <w:rFonts w:hint="cs"/>
          <w:rtl/>
        </w:rPr>
        <w:t xml:space="preserve">(عيال) </w:t>
      </w:r>
      <w:r w:rsidRPr="00822CE9">
        <w:rPr>
          <w:rFonts w:hint="cs"/>
          <w:rtl/>
        </w:rPr>
        <w:t>عبد الله بن الزبير أخا الفضيل الرسان أربعة دنانير»</w:t>
      </w:r>
      <w:r w:rsidRPr="000A4159">
        <w:rPr>
          <w:rFonts w:cs="Taher"/>
          <w:vertAlign w:val="superscript"/>
          <w:rtl/>
        </w:rPr>
        <w:t>(</w:t>
      </w:r>
      <w:r w:rsidRPr="000A4159">
        <w:rPr>
          <w:rStyle w:val="FootnoteReference"/>
          <w:rFonts w:cs="Taher"/>
          <w:rtl/>
        </w:rPr>
        <w:footnoteReference w:id="49"/>
      </w:r>
      <w:r w:rsidRPr="000A4159">
        <w:rPr>
          <w:rFonts w:cs="Taher"/>
          <w:vertAlign w:val="superscript"/>
          <w:rtl/>
        </w:rPr>
        <w:t>)</w:t>
      </w:r>
      <w:r w:rsidRPr="00822CE9">
        <w:rPr>
          <w:rtl/>
        </w:rPr>
        <w:t>.</w:t>
      </w:r>
      <w:r w:rsidR="004A3B81">
        <w:rPr>
          <w:rFonts w:hint="cs"/>
          <w:rtl/>
        </w:rPr>
        <w:t xml:space="preserve"> </w:t>
      </w:r>
      <w:r w:rsidRPr="00822CE9">
        <w:rPr>
          <w:rFonts w:hint="cs"/>
          <w:rtl/>
        </w:rPr>
        <w:t>فهذا الدعم الماد</w:t>
      </w:r>
      <w:r w:rsidR="004A3B81">
        <w:rPr>
          <w:rFonts w:hint="cs"/>
          <w:rtl/>
        </w:rPr>
        <w:t>ّ</w:t>
      </w:r>
      <w:r w:rsidRPr="00822CE9">
        <w:rPr>
          <w:rFonts w:hint="cs"/>
          <w:rtl/>
        </w:rPr>
        <w:t xml:space="preserve">ي الكبير لعوائل شهداء </w:t>
      </w:r>
      <w:r w:rsidRPr="00822CE9">
        <w:rPr>
          <w:rFonts w:hint="cs"/>
          <w:rtl/>
        </w:rPr>
        <w:lastRenderedPageBreak/>
        <w:t>الثورة دليل</w:t>
      </w:r>
      <w:r w:rsidR="004A3B81">
        <w:rPr>
          <w:rFonts w:hint="cs"/>
          <w:rtl/>
        </w:rPr>
        <w:t>ٌ</w:t>
      </w:r>
      <w:r w:rsidRPr="00822CE9">
        <w:rPr>
          <w:rFonts w:hint="cs"/>
          <w:rtl/>
        </w:rPr>
        <w:t xml:space="preserve"> على رضاه</w:t>
      </w:r>
      <w:r w:rsidR="009A1626" w:rsidRPr="00822CE9">
        <w:rPr>
          <w:rFonts w:hint="cs"/>
          <w:rtl/>
        </w:rPr>
        <w:t>×</w:t>
      </w:r>
      <w:r w:rsidRPr="00822CE9">
        <w:rPr>
          <w:rFonts w:hint="cs"/>
          <w:rtl/>
        </w:rPr>
        <w:t xml:space="preserve"> بها.</w:t>
      </w:r>
    </w:p>
    <w:p w14:paraId="442B733D" w14:textId="77777777" w:rsidR="00A129A9" w:rsidRDefault="004A3B81" w:rsidP="00A129A9">
      <w:pPr>
        <w:spacing w:line="214" w:lineRule="auto"/>
        <w:rPr>
          <w:rtl/>
        </w:rPr>
      </w:pPr>
      <w:r w:rsidRPr="004A3B81">
        <w:rPr>
          <w:rFonts w:hint="cs"/>
          <w:b/>
          <w:bCs/>
          <w:rtl/>
        </w:rPr>
        <w:t>إلا أ</w:t>
      </w:r>
      <w:r w:rsidR="000A4159" w:rsidRPr="004A3B81">
        <w:rPr>
          <w:rFonts w:hint="cs"/>
          <w:b/>
          <w:bCs/>
          <w:rtl/>
        </w:rPr>
        <w:t>ن</w:t>
      </w:r>
      <w:r w:rsidRPr="004A3B81">
        <w:rPr>
          <w:rFonts w:hint="cs"/>
          <w:b/>
          <w:bCs/>
          <w:rtl/>
        </w:rPr>
        <w:t>ّ</w:t>
      </w:r>
      <w:r w:rsidR="000A4159" w:rsidRPr="004A3B81">
        <w:rPr>
          <w:rFonts w:hint="cs"/>
          <w:b/>
          <w:bCs/>
          <w:rtl/>
        </w:rPr>
        <w:t xml:space="preserve"> الاستناد إلى هذه الرواية مشكل؛</w:t>
      </w:r>
      <w:r w:rsidR="000A4159" w:rsidRPr="00822CE9">
        <w:rPr>
          <w:rFonts w:hint="cs"/>
          <w:rtl/>
        </w:rPr>
        <w:t xml:space="preserve"> فإن مجرّد دعم هذه العوائل لا يدلّ على أنّ الإمام كان راضياً عنها، فلعلّه كان </w:t>
      </w:r>
      <w:r>
        <w:rPr>
          <w:rFonts w:hint="cs"/>
          <w:rtl/>
        </w:rPr>
        <w:t xml:space="preserve">يرى خطأ </w:t>
      </w:r>
      <w:r w:rsidR="000A4159" w:rsidRPr="00822CE9">
        <w:rPr>
          <w:rFonts w:hint="cs"/>
          <w:rtl/>
        </w:rPr>
        <w:t>زيد في حركته، لكن</w:t>
      </w:r>
      <w:r>
        <w:rPr>
          <w:rFonts w:hint="cs"/>
          <w:rtl/>
        </w:rPr>
        <w:t>ّ</w:t>
      </w:r>
      <w:r w:rsidR="00A129A9">
        <w:rPr>
          <w:rFonts w:hint="cs"/>
          <w:rtl/>
        </w:rPr>
        <w:t>ه يراه صادقاً مخلصاً.</w:t>
      </w:r>
      <w:r w:rsidR="000A4159" w:rsidRPr="00822CE9">
        <w:rPr>
          <w:rFonts w:hint="cs"/>
          <w:rtl/>
        </w:rPr>
        <w:t xml:space="preserve"> ودعم هذه العوائل التي قد لا يدعمها أحد</w:t>
      </w:r>
      <w:r>
        <w:rPr>
          <w:rFonts w:hint="cs"/>
          <w:rtl/>
        </w:rPr>
        <w:t>ٌ</w:t>
      </w:r>
      <w:r w:rsidR="000A4159" w:rsidRPr="00822CE9">
        <w:rPr>
          <w:rFonts w:hint="cs"/>
          <w:rtl/>
        </w:rPr>
        <w:t>، لعلّه من باب مساعدة الفقراء والمساكين، ولا شيء يؤك</w:t>
      </w:r>
      <w:r>
        <w:rPr>
          <w:rFonts w:hint="cs"/>
          <w:rtl/>
        </w:rPr>
        <w:t>ّ</w:t>
      </w:r>
      <w:r w:rsidR="000A4159" w:rsidRPr="00822CE9">
        <w:rPr>
          <w:rFonts w:hint="cs"/>
          <w:rtl/>
        </w:rPr>
        <w:t>د أن</w:t>
      </w:r>
      <w:r>
        <w:rPr>
          <w:rFonts w:hint="cs"/>
          <w:rtl/>
        </w:rPr>
        <w:t xml:space="preserve">ّ ذلك هو </w:t>
      </w:r>
      <w:r w:rsidR="000A4159" w:rsidRPr="00822CE9">
        <w:rPr>
          <w:rFonts w:hint="cs"/>
          <w:rtl/>
        </w:rPr>
        <w:t>بسبب الرضا عن الثورة.</w:t>
      </w:r>
    </w:p>
    <w:p w14:paraId="51F0B843" w14:textId="77777777" w:rsidR="000A4159" w:rsidRPr="00822CE9" w:rsidRDefault="00DE31C2" w:rsidP="00A129A9">
      <w:pPr>
        <w:spacing w:line="214" w:lineRule="auto"/>
        <w:rPr>
          <w:rtl/>
        </w:rPr>
      </w:pPr>
      <w:r>
        <w:rPr>
          <w:rFonts w:hint="cs"/>
          <w:rtl/>
        </w:rPr>
        <w:t>وبعبارة أخرى: يجب أن ننظر لسلوك الإمام جعفر الصادق هنا ضمن سياق أبويّته للأمّة الشيعيّة، وأنّ هذه الأسر والعوائل سوف تعاني من إهمال الدولة وفقدان الراعي والمورد المالي بمقتل رجالها، فمثل هذا السلوك يحمل دلالةً أخلاقيّة وروحيّة وتشريعية بعيداً عن اتخاذ موقفٍ سياسي من الثورة نفسها، فلا ينبغي تحميل مثل هذه الوقائع أكثر مما تتحمّل في مداليلها السياسيّة.</w:t>
      </w:r>
    </w:p>
    <w:p w14:paraId="1AD9B8A9" w14:textId="77777777" w:rsidR="000A4159" w:rsidRPr="004A3B81" w:rsidRDefault="000A4159" w:rsidP="004A3B81">
      <w:pPr>
        <w:spacing w:line="214" w:lineRule="auto"/>
        <w:rPr>
          <w:b/>
          <w:bCs/>
          <w:rtl/>
        </w:rPr>
      </w:pPr>
      <w:r w:rsidRPr="004A3B81">
        <w:rPr>
          <w:rFonts w:hint="cs"/>
          <w:b/>
          <w:bCs/>
          <w:rtl/>
        </w:rPr>
        <w:t xml:space="preserve">أضف إلى ذلك، فالرواية ضعيفة السند بعبد </w:t>
      </w:r>
      <w:r w:rsidR="004A3B81" w:rsidRPr="004A3B81">
        <w:rPr>
          <w:rFonts w:hint="cs"/>
          <w:b/>
          <w:bCs/>
          <w:rtl/>
        </w:rPr>
        <w:t xml:space="preserve">الرحمن </w:t>
      </w:r>
      <w:r w:rsidRPr="004A3B81">
        <w:rPr>
          <w:rFonts w:hint="cs"/>
          <w:b/>
          <w:bCs/>
          <w:rtl/>
        </w:rPr>
        <w:t>بن سيابة، فإن</w:t>
      </w:r>
      <w:r w:rsidR="004A3B81" w:rsidRPr="004A3B81">
        <w:rPr>
          <w:rFonts w:hint="cs"/>
          <w:b/>
          <w:bCs/>
          <w:rtl/>
        </w:rPr>
        <w:t>ّ</w:t>
      </w:r>
      <w:r w:rsidRPr="004A3B81">
        <w:rPr>
          <w:rFonts w:hint="cs"/>
          <w:b/>
          <w:bCs/>
          <w:rtl/>
        </w:rPr>
        <w:t xml:space="preserve"> توثيقه مبني</w:t>
      </w:r>
      <w:r w:rsidR="004A3B81" w:rsidRPr="004A3B81">
        <w:rPr>
          <w:rFonts w:hint="cs"/>
          <w:b/>
          <w:bCs/>
          <w:rtl/>
        </w:rPr>
        <w:t>ٌّ</w:t>
      </w:r>
      <w:r w:rsidRPr="004A3B81">
        <w:rPr>
          <w:rFonts w:hint="cs"/>
          <w:b/>
          <w:bCs/>
          <w:rtl/>
        </w:rPr>
        <w:t xml:space="preserve"> عل</w:t>
      </w:r>
      <w:r w:rsidR="004A3B81" w:rsidRPr="004A3B81">
        <w:rPr>
          <w:rFonts w:hint="cs"/>
          <w:b/>
          <w:bCs/>
          <w:rtl/>
        </w:rPr>
        <w:t>ى</w:t>
      </w:r>
      <w:r w:rsidRPr="004A3B81">
        <w:rPr>
          <w:rFonts w:hint="cs"/>
          <w:b/>
          <w:bCs/>
          <w:rtl/>
        </w:rPr>
        <w:t>:</w:t>
      </w:r>
    </w:p>
    <w:p w14:paraId="2D8DE876" w14:textId="77777777" w:rsidR="004A3B81" w:rsidRDefault="000A4159" w:rsidP="00A129A9">
      <w:pPr>
        <w:spacing w:line="214" w:lineRule="auto"/>
        <w:rPr>
          <w:rtl/>
        </w:rPr>
      </w:pPr>
      <w:r w:rsidRPr="004A3B81">
        <w:rPr>
          <w:rFonts w:hint="cs"/>
          <w:b/>
          <w:bCs/>
          <w:rtl/>
        </w:rPr>
        <w:t>1 ـ</w:t>
      </w:r>
      <w:r w:rsidRPr="00822CE9">
        <w:rPr>
          <w:rFonts w:hint="cs"/>
          <w:rtl/>
        </w:rPr>
        <w:t xml:space="preserve"> عين هذه الرواية، من أن</w:t>
      </w:r>
      <w:r w:rsidR="004A3B81">
        <w:rPr>
          <w:rFonts w:hint="cs"/>
          <w:rtl/>
        </w:rPr>
        <w:t>ّها تدلّ على أ</w:t>
      </w:r>
      <w:r w:rsidRPr="00822CE9">
        <w:rPr>
          <w:rFonts w:hint="cs"/>
          <w:rtl/>
        </w:rPr>
        <w:t>ن</w:t>
      </w:r>
      <w:r w:rsidR="004A3B81">
        <w:rPr>
          <w:rFonts w:hint="cs"/>
          <w:rtl/>
        </w:rPr>
        <w:t>ّ</w:t>
      </w:r>
      <w:r w:rsidR="00A129A9">
        <w:rPr>
          <w:rFonts w:hint="cs"/>
          <w:rtl/>
        </w:rPr>
        <w:t xml:space="preserve"> الإ</w:t>
      </w:r>
      <w:r w:rsidRPr="00822CE9">
        <w:rPr>
          <w:rFonts w:hint="cs"/>
          <w:rtl/>
        </w:rPr>
        <w:t>مام اعتبره أميناً.</w:t>
      </w:r>
    </w:p>
    <w:p w14:paraId="381BD221" w14:textId="77777777" w:rsidR="00947D38" w:rsidRDefault="000A4159" w:rsidP="004A3B81">
      <w:pPr>
        <w:spacing w:line="214" w:lineRule="auto"/>
        <w:rPr>
          <w:rtl/>
        </w:rPr>
      </w:pPr>
      <w:r w:rsidRPr="00822CE9">
        <w:rPr>
          <w:rFonts w:hint="cs"/>
          <w:rtl/>
        </w:rPr>
        <w:t>لكن</w:t>
      </w:r>
      <w:r w:rsidR="004A3B81">
        <w:rPr>
          <w:rFonts w:hint="cs"/>
          <w:rtl/>
        </w:rPr>
        <w:t>ّ هذا ليس بدليل؛</w:t>
      </w:r>
      <w:r w:rsidRPr="00822CE9">
        <w:rPr>
          <w:rFonts w:hint="cs"/>
          <w:rtl/>
        </w:rPr>
        <w:t xml:space="preserve"> لعدم الملازمة بين أمانته في المال ووثاقته، </w:t>
      </w:r>
      <w:r w:rsidR="004A3B81">
        <w:rPr>
          <w:rFonts w:hint="cs"/>
          <w:rtl/>
        </w:rPr>
        <w:t xml:space="preserve">ولا </w:t>
      </w:r>
      <w:r w:rsidRPr="00822CE9">
        <w:rPr>
          <w:rFonts w:hint="cs"/>
          <w:rtl/>
        </w:rPr>
        <w:t>سيما أن</w:t>
      </w:r>
      <w:r w:rsidR="004A3B81">
        <w:rPr>
          <w:rFonts w:hint="cs"/>
          <w:rtl/>
        </w:rPr>
        <w:t>ّ</w:t>
      </w:r>
      <w:r w:rsidRPr="00822CE9">
        <w:rPr>
          <w:rFonts w:hint="cs"/>
          <w:rtl/>
        </w:rPr>
        <w:t xml:space="preserve"> الراوي للرواية هو نفسه، فلعلّه لم يعطه الإمام شيئاً. ومثله</w:t>
      </w:r>
      <w:r w:rsidR="00947D38">
        <w:rPr>
          <w:rFonts w:hint="cs"/>
          <w:rtl/>
        </w:rPr>
        <w:t>ا رواية أخرى عنه توحي باهتمامه بأمور الشريعة.</w:t>
      </w:r>
    </w:p>
    <w:p w14:paraId="1E591EF9" w14:textId="77777777" w:rsidR="000A4159" w:rsidRPr="00822CE9" w:rsidRDefault="00947D38" w:rsidP="00557331">
      <w:pPr>
        <w:spacing w:line="214" w:lineRule="auto"/>
        <w:rPr>
          <w:rtl/>
        </w:rPr>
      </w:pPr>
      <w:r w:rsidRPr="00947D38">
        <w:rPr>
          <w:rFonts w:hint="cs"/>
          <w:b/>
          <w:bCs/>
          <w:rtl/>
        </w:rPr>
        <w:t>2 ـ</w:t>
      </w:r>
      <w:r>
        <w:rPr>
          <w:rFonts w:hint="cs"/>
          <w:rtl/>
        </w:rPr>
        <w:t xml:space="preserve"> وقوع اسمه</w:t>
      </w:r>
      <w:r w:rsidR="000A4159" w:rsidRPr="00822CE9">
        <w:rPr>
          <w:rFonts w:hint="cs"/>
          <w:rtl/>
        </w:rPr>
        <w:t xml:space="preserve"> في أسانيد كامل الزيار</w:t>
      </w:r>
      <w:r w:rsidR="00557331">
        <w:rPr>
          <w:rFonts w:hint="cs"/>
          <w:rtl/>
        </w:rPr>
        <w:t>ات</w:t>
      </w:r>
      <w:r w:rsidR="000A4159" w:rsidRPr="00822CE9">
        <w:rPr>
          <w:rFonts w:hint="cs"/>
          <w:rtl/>
        </w:rPr>
        <w:t>، فيكون ثقة</w:t>
      </w:r>
      <w:r>
        <w:rPr>
          <w:rFonts w:hint="cs"/>
          <w:rtl/>
        </w:rPr>
        <w:t>ً</w:t>
      </w:r>
      <w:r w:rsidR="000A4159" w:rsidRPr="00822CE9">
        <w:rPr>
          <w:rFonts w:hint="cs"/>
          <w:rtl/>
        </w:rPr>
        <w:t xml:space="preserve"> لذلك.</w:t>
      </w:r>
    </w:p>
    <w:p w14:paraId="5C05E7E9" w14:textId="77777777" w:rsidR="000A4159" w:rsidRPr="00822CE9" w:rsidRDefault="000A4159" w:rsidP="00A129A9">
      <w:pPr>
        <w:spacing w:line="214" w:lineRule="auto"/>
        <w:rPr>
          <w:rtl/>
        </w:rPr>
      </w:pPr>
      <w:r w:rsidRPr="00822CE9">
        <w:rPr>
          <w:rFonts w:hint="cs"/>
          <w:rtl/>
        </w:rPr>
        <w:t>والجواب بعدم صحّة المبنى</w:t>
      </w:r>
      <w:r w:rsidR="00A129A9">
        <w:rPr>
          <w:rFonts w:hint="cs"/>
          <w:rtl/>
        </w:rPr>
        <w:t>، كما قلنا مراراً.</w:t>
      </w:r>
    </w:p>
    <w:p w14:paraId="699EAAFC" w14:textId="77777777" w:rsidR="000A4159" w:rsidRPr="00822CE9" w:rsidRDefault="000A4159" w:rsidP="00947D38">
      <w:pPr>
        <w:spacing w:line="214" w:lineRule="auto"/>
        <w:rPr>
          <w:rtl/>
        </w:rPr>
      </w:pPr>
      <w:r w:rsidRPr="00947D38">
        <w:rPr>
          <w:rFonts w:hint="cs"/>
          <w:b/>
          <w:bCs/>
          <w:rtl/>
        </w:rPr>
        <w:t>3 ـ</w:t>
      </w:r>
      <w:r w:rsidR="00947D38">
        <w:rPr>
          <w:rFonts w:hint="cs"/>
          <w:rtl/>
        </w:rPr>
        <w:t xml:space="preserve"> رواية الأج</w:t>
      </w:r>
      <w:r w:rsidRPr="00822CE9">
        <w:rPr>
          <w:rFonts w:hint="cs"/>
          <w:rtl/>
        </w:rPr>
        <w:t xml:space="preserve">لاء </w:t>
      </w:r>
      <w:r w:rsidR="00947D38">
        <w:rPr>
          <w:rFonts w:hint="cs"/>
          <w:rtl/>
        </w:rPr>
        <w:t xml:space="preserve">عنه، </w:t>
      </w:r>
      <w:r w:rsidRPr="00822CE9">
        <w:rPr>
          <w:rFonts w:hint="cs"/>
          <w:rtl/>
        </w:rPr>
        <w:t>ومنهم ابن أبي عمير عنه، فيكون دليلاً على توثيقه.</w:t>
      </w:r>
    </w:p>
    <w:p w14:paraId="0712817B" w14:textId="77777777" w:rsidR="000A4159" w:rsidRPr="00822CE9" w:rsidRDefault="000A4159" w:rsidP="00947D38">
      <w:pPr>
        <w:spacing w:line="214" w:lineRule="auto"/>
        <w:rPr>
          <w:rtl/>
        </w:rPr>
      </w:pPr>
      <w:r w:rsidRPr="00822CE9">
        <w:rPr>
          <w:rFonts w:hint="cs"/>
          <w:rtl/>
        </w:rPr>
        <w:t xml:space="preserve">ويجاب بعدم صحّة المبنى، </w:t>
      </w:r>
      <w:r w:rsidR="00A129A9">
        <w:rPr>
          <w:rFonts w:hint="cs"/>
          <w:rtl/>
        </w:rPr>
        <w:t xml:space="preserve">كما ذكرنا مراراً، </w:t>
      </w:r>
      <w:r w:rsidRPr="00822CE9">
        <w:rPr>
          <w:rFonts w:hint="cs"/>
          <w:rtl/>
        </w:rPr>
        <w:t>فإن</w:t>
      </w:r>
      <w:r w:rsidR="00947D38">
        <w:rPr>
          <w:rFonts w:hint="cs"/>
          <w:rtl/>
        </w:rPr>
        <w:t>ّ</w:t>
      </w:r>
      <w:r w:rsidRPr="00822CE9">
        <w:rPr>
          <w:rFonts w:hint="cs"/>
          <w:rtl/>
        </w:rPr>
        <w:t xml:space="preserve"> روايتهم ليست دليلاً لا على وثاقته ولا على توثيقهم له.</w:t>
      </w:r>
    </w:p>
    <w:p w14:paraId="6BFE0FCB" w14:textId="77777777" w:rsidR="000A4159" w:rsidRDefault="000A4159" w:rsidP="00947D38">
      <w:pPr>
        <w:spacing w:line="214" w:lineRule="auto"/>
        <w:rPr>
          <w:rtl/>
        </w:rPr>
      </w:pPr>
      <w:r w:rsidRPr="00822CE9">
        <w:rPr>
          <w:rFonts w:hint="cs"/>
          <w:rtl/>
        </w:rPr>
        <w:t xml:space="preserve">فالرجل لم تثبت وثاقته، </w:t>
      </w:r>
      <w:r w:rsidR="00947D38">
        <w:rPr>
          <w:rFonts w:hint="cs"/>
          <w:rtl/>
        </w:rPr>
        <w:t xml:space="preserve">ولا </w:t>
      </w:r>
      <w:r w:rsidRPr="00822CE9">
        <w:rPr>
          <w:rFonts w:hint="cs"/>
          <w:rtl/>
        </w:rPr>
        <w:t>سيما أن</w:t>
      </w:r>
      <w:r w:rsidR="00947D38">
        <w:rPr>
          <w:rFonts w:hint="cs"/>
          <w:rtl/>
        </w:rPr>
        <w:t>ّ</w:t>
      </w:r>
      <w:r w:rsidRPr="00822CE9">
        <w:rPr>
          <w:rFonts w:hint="cs"/>
          <w:rtl/>
        </w:rPr>
        <w:t xml:space="preserve"> النجاشي والطوسي في الفهرست لم يذكرا</w:t>
      </w:r>
      <w:r w:rsidR="00947D38">
        <w:rPr>
          <w:rFonts w:hint="cs"/>
          <w:rtl/>
        </w:rPr>
        <w:t>ه</w:t>
      </w:r>
      <w:r w:rsidRPr="00822CE9">
        <w:rPr>
          <w:rFonts w:hint="cs"/>
          <w:rtl/>
        </w:rPr>
        <w:t xml:space="preserve"> أساساً، والظاهر لأن</w:t>
      </w:r>
      <w:r w:rsidR="00947D38">
        <w:rPr>
          <w:rFonts w:hint="cs"/>
          <w:rtl/>
        </w:rPr>
        <w:t>ّ</w:t>
      </w:r>
      <w:r w:rsidRPr="00822CE9">
        <w:rPr>
          <w:rFonts w:hint="cs"/>
          <w:rtl/>
        </w:rPr>
        <w:t>ه ليس له كتاب، فالرواية ضعيفة السند.</w:t>
      </w:r>
    </w:p>
    <w:p w14:paraId="0CB0BCDC" w14:textId="77777777" w:rsidR="00947D38" w:rsidRPr="00822CE9" w:rsidRDefault="00947D38" w:rsidP="007E79D2">
      <w:pPr>
        <w:pStyle w:val="normal84"/>
        <w:rPr>
          <w:rtl/>
        </w:rPr>
      </w:pPr>
      <w:r>
        <w:rPr>
          <w:rFonts w:hint="cs"/>
          <w:rtl/>
        </w:rPr>
        <w:t>بل قد وردت الرواية عينها في بعض المصادر عن أبي خالد الواسطي</w:t>
      </w:r>
      <w:r w:rsidR="00A129A9">
        <w:rPr>
          <w:rFonts w:hint="cs"/>
          <w:rtl/>
        </w:rPr>
        <w:t>،</w:t>
      </w:r>
      <w:r>
        <w:rPr>
          <w:rFonts w:hint="cs"/>
          <w:rtl/>
        </w:rPr>
        <w:t xml:space="preserve"> مما يثير الاضطراب في من هو الذي كلّفه الإمام بذلك</w:t>
      </w:r>
      <w:r w:rsidR="00A129A9">
        <w:rPr>
          <w:rFonts w:hint="cs"/>
          <w:rtl/>
        </w:rPr>
        <w:t>؟!</w:t>
      </w:r>
    </w:p>
    <w:p w14:paraId="7349FCCA" w14:textId="77777777" w:rsidR="000A4159" w:rsidRPr="00822CE9" w:rsidRDefault="000A4159" w:rsidP="007E79D2">
      <w:pPr>
        <w:pStyle w:val="normal84"/>
        <w:spacing w:line="216" w:lineRule="auto"/>
        <w:rPr>
          <w:rtl/>
        </w:rPr>
      </w:pPr>
      <w:r w:rsidRPr="00947D38">
        <w:rPr>
          <w:rFonts w:hint="cs"/>
          <w:b/>
          <w:bCs/>
          <w:rtl/>
        </w:rPr>
        <w:t>الرواية الثالثة: خبر الفضيل الرسان،</w:t>
      </w:r>
      <w:r w:rsidRPr="00822CE9">
        <w:rPr>
          <w:rFonts w:hint="cs"/>
          <w:rtl/>
        </w:rPr>
        <w:t xml:space="preserve"> قال: دخلت على أبي عبد الله</w:t>
      </w:r>
      <w:r w:rsidR="009A1626" w:rsidRPr="00822CE9">
        <w:rPr>
          <w:rFonts w:hint="cs"/>
          <w:rtl/>
        </w:rPr>
        <w:t>×</w:t>
      </w:r>
      <w:r w:rsidRPr="00822CE9">
        <w:rPr>
          <w:rFonts w:hint="cs"/>
          <w:rtl/>
        </w:rPr>
        <w:t xml:space="preserve"> بعد ما قتل زيد بن </w:t>
      </w:r>
      <w:r w:rsidRPr="00822CE9">
        <w:rPr>
          <w:rFonts w:hint="cs"/>
          <w:rtl/>
        </w:rPr>
        <w:lastRenderedPageBreak/>
        <w:t>علي، قال</w:t>
      </w:r>
      <w:r w:rsidR="009A1626" w:rsidRPr="00822CE9">
        <w:rPr>
          <w:rFonts w:hint="cs"/>
          <w:rtl/>
        </w:rPr>
        <w:t>×</w:t>
      </w:r>
      <w:r w:rsidRPr="00822CE9">
        <w:rPr>
          <w:rFonts w:hint="cs"/>
          <w:rtl/>
        </w:rPr>
        <w:t>: «رحمه الله، أما إن</w:t>
      </w:r>
      <w:r w:rsidR="00947D38">
        <w:rPr>
          <w:rFonts w:hint="cs"/>
          <w:rtl/>
        </w:rPr>
        <w:t>ّ</w:t>
      </w:r>
      <w:r w:rsidRPr="00822CE9">
        <w:rPr>
          <w:rFonts w:hint="cs"/>
          <w:rtl/>
        </w:rPr>
        <w:t>ه كان مؤمناً، وكان عارفاً، وكان عالماً، وكان صدوقاً، أما إن</w:t>
      </w:r>
      <w:r w:rsidR="00947D38">
        <w:rPr>
          <w:rFonts w:hint="cs"/>
          <w:rtl/>
        </w:rPr>
        <w:t>ّ</w:t>
      </w:r>
      <w:r w:rsidRPr="00822CE9">
        <w:rPr>
          <w:rFonts w:hint="cs"/>
          <w:rtl/>
        </w:rPr>
        <w:t>ه لو ظفر لوفى، أما إن</w:t>
      </w:r>
      <w:r w:rsidR="00947D38">
        <w:rPr>
          <w:rFonts w:hint="cs"/>
          <w:rtl/>
        </w:rPr>
        <w:t>ّ</w:t>
      </w:r>
      <w:r w:rsidRPr="00822CE9">
        <w:rPr>
          <w:rFonts w:hint="cs"/>
          <w:rtl/>
        </w:rPr>
        <w:t>ه لو ملك لعرف كيف يضعها..»</w:t>
      </w:r>
      <w:r w:rsidRPr="000A4159">
        <w:rPr>
          <w:rFonts w:cs="Taher"/>
          <w:vertAlign w:val="superscript"/>
          <w:rtl/>
        </w:rPr>
        <w:t>(</w:t>
      </w:r>
      <w:r w:rsidRPr="000A4159">
        <w:rPr>
          <w:rStyle w:val="FootnoteReference"/>
          <w:rFonts w:cs="Taher"/>
          <w:rtl/>
        </w:rPr>
        <w:footnoteReference w:id="50"/>
      </w:r>
      <w:r w:rsidRPr="000A4159">
        <w:rPr>
          <w:rFonts w:cs="Taher"/>
          <w:vertAlign w:val="superscript"/>
          <w:rtl/>
        </w:rPr>
        <w:t>)</w:t>
      </w:r>
      <w:r w:rsidRPr="00822CE9">
        <w:rPr>
          <w:rFonts w:hint="cs"/>
          <w:rtl/>
        </w:rPr>
        <w:t>.</w:t>
      </w:r>
      <w:r w:rsidR="00947D38">
        <w:rPr>
          <w:rFonts w:hint="cs"/>
          <w:rtl/>
        </w:rPr>
        <w:t xml:space="preserve"> </w:t>
      </w:r>
      <w:r w:rsidRPr="00822CE9">
        <w:rPr>
          <w:rFonts w:hint="cs"/>
          <w:rtl/>
        </w:rPr>
        <w:t>ثم تتحدّث الرواية عن إنشا</w:t>
      </w:r>
      <w:r w:rsidR="00947D38">
        <w:rPr>
          <w:rFonts w:hint="cs"/>
          <w:rtl/>
        </w:rPr>
        <w:t>د</w:t>
      </w:r>
      <w:r w:rsidRPr="00822CE9">
        <w:rPr>
          <w:rFonts w:hint="cs"/>
          <w:rtl/>
        </w:rPr>
        <w:t xml:space="preserve"> الفضيل الرس</w:t>
      </w:r>
      <w:r w:rsidR="00947D38">
        <w:rPr>
          <w:rFonts w:hint="cs"/>
          <w:rtl/>
        </w:rPr>
        <w:t>ّ</w:t>
      </w:r>
      <w:r w:rsidRPr="00822CE9">
        <w:rPr>
          <w:rFonts w:hint="cs"/>
          <w:rtl/>
        </w:rPr>
        <w:t>ان للشعر، وسماعه نحيباً من خلف الستور..</w:t>
      </w:r>
    </w:p>
    <w:p w14:paraId="7873CC69" w14:textId="77777777" w:rsidR="000A4159" w:rsidRPr="00822CE9" w:rsidRDefault="000A4159" w:rsidP="007E79D2">
      <w:pPr>
        <w:pStyle w:val="normal930"/>
        <w:rPr>
          <w:rtl/>
        </w:rPr>
      </w:pPr>
      <w:r w:rsidRPr="00822CE9">
        <w:rPr>
          <w:rFonts w:hint="cs"/>
          <w:rtl/>
        </w:rPr>
        <w:t>ومن الواضح من هذه الرواية أن</w:t>
      </w:r>
      <w:r w:rsidR="00947D38">
        <w:rPr>
          <w:rFonts w:hint="cs"/>
          <w:rtl/>
        </w:rPr>
        <w:t>ّ</w:t>
      </w:r>
      <w:r w:rsidRPr="00822CE9">
        <w:rPr>
          <w:rFonts w:hint="cs"/>
          <w:rtl/>
        </w:rPr>
        <w:t>ها بصدد مدح الرجل في حركته التي قام بها، فلو كان الإمام الصادق غير راض</w:t>
      </w:r>
      <w:r w:rsidR="00947D38">
        <w:rPr>
          <w:rFonts w:hint="cs"/>
          <w:rtl/>
        </w:rPr>
        <w:t>ٍ</w:t>
      </w:r>
      <w:r w:rsidRPr="00822CE9">
        <w:rPr>
          <w:rFonts w:hint="cs"/>
          <w:rtl/>
        </w:rPr>
        <w:t xml:space="preserve"> عن ثورته لما قال فيه وفي قيا</w:t>
      </w:r>
      <w:r w:rsidR="00947D38">
        <w:rPr>
          <w:rFonts w:hint="cs"/>
          <w:rtl/>
        </w:rPr>
        <w:t>م</w:t>
      </w:r>
      <w:r w:rsidRPr="00822CE9">
        <w:rPr>
          <w:rFonts w:hint="cs"/>
          <w:rtl/>
        </w:rPr>
        <w:t>ه مثل هذا المدح والثناء.</w:t>
      </w:r>
    </w:p>
    <w:p w14:paraId="0D75E23E" w14:textId="77777777" w:rsidR="000A4159" w:rsidRPr="00822CE9" w:rsidRDefault="000A4159" w:rsidP="007E79D2">
      <w:pPr>
        <w:pStyle w:val="normal930"/>
        <w:rPr>
          <w:rtl/>
        </w:rPr>
      </w:pPr>
      <w:r w:rsidRPr="00A129A9">
        <w:rPr>
          <w:rFonts w:hint="cs"/>
          <w:b/>
          <w:bCs/>
          <w:rtl/>
        </w:rPr>
        <w:t>لكن</w:t>
      </w:r>
      <w:r w:rsidR="00947D38" w:rsidRPr="00A129A9">
        <w:rPr>
          <w:rFonts w:hint="cs"/>
          <w:b/>
          <w:bCs/>
          <w:rtl/>
        </w:rPr>
        <w:t>ّ</w:t>
      </w:r>
      <w:r w:rsidRPr="00A129A9">
        <w:rPr>
          <w:rFonts w:hint="cs"/>
          <w:b/>
          <w:bCs/>
          <w:rtl/>
        </w:rPr>
        <w:t xml:space="preserve"> مشكلة الرواية من ناحية تأكيد ص</w:t>
      </w:r>
      <w:r w:rsidR="00947D38" w:rsidRPr="00A129A9">
        <w:rPr>
          <w:rFonts w:hint="cs"/>
          <w:b/>
          <w:bCs/>
          <w:rtl/>
        </w:rPr>
        <w:t>دورها وصدور هذا الموقف الذي فيها</w:t>
      </w:r>
      <w:r w:rsidRPr="00A129A9">
        <w:rPr>
          <w:rFonts w:hint="cs"/>
          <w:b/>
          <w:bCs/>
          <w:rtl/>
        </w:rPr>
        <w:t xml:space="preserve"> عن الإمام جعفر الصادق،</w:t>
      </w:r>
      <w:r w:rsidRPr="00822CE9">
        <w:rPr>
          <w:rFonts w:hint="cs"/>
          <w:rtl/>
        </w:rPr>
        <w:t xml:space="preserve"> فقد رواها فضيل بن الزبير الرسان وهو مجهول، </w:t>
      </w:r>
      <w:r w:rsidR="00947D38">
        <w:rPr>
          <w:rFonts w:hint="cs"/>
          <w:rtl/>
        </w:rPr>
        <w:t>ليس له توثيق إلا على</w:t>
      </w:r>
      <w:r w:rsidRPr="00822CE9">
        <w:rPr>
          <w:rFonts w:hint="cs"/>
          <w:rtl/>
        </w:rPr>
        <w:t xml:space="preserve"> تفسيرالقمي وكامل الزيار</w:t>
      </w:r>
      <w:r w:rsidR="00947D38">
        <w:rPr>
          <w:rFonts w:hint="cs"/>
          <w:rtl/>
        </w:rPr>
        <w:t>ات</w:t>
      </w:r>
      <w:r w:rsidRPr="000A4159">
        <w:rPr>
          <w:rFonts w:cs="Taher"/>
          <w:vertAlign w:val="superscript"/>
          <w:rtl/>
        </w:rPr>
        <w:t>(</w:t>
      </w:r>
      <w:r w:rsidRPr="000A4159">
        <w:rPr>
          <w:rStyle w:val="FootnoteReference"/>
          <w:rFonts w:cs="Taher"/>
          <w:rtl/>
        </w:rPr>
        <w:footnoteReference w:id="51"/>
      </w:r>
      <w:r w:rsidRPr="000A4159">
        <w:rPr>
          <w:rFonts w:cs="Taher"/>
          <w:vertAlign w:val="superscript"/>
          <w:rtl/>
        </w:rPr>
        <w:t>)</w:t>
      </w:r>
      <w:r w:rsidRPr="00822CE9">
        <w:rPr>
          <w:rtl/>
        </w:rPr>
        <w:t xml:space="preserve">، </w:t>
      </w:r>
      <w:r w:rsidRPr="00822CE9">
        <w:rPr>
          <w:rFonts w:hint="cs"/>
          <w:rtl/>
        </w:rPr>
        <w:t>كما أن</w:t>
      </w:r>
      <w:r w:rsidR="00947D38">
        <w:rPr>
          <w:rFonts w:hint="cs"/>
          <w:rtl/>
        </w:rPr>
        <w:t>ّ</w:t>
      </w:r>
      <w:r w:rsidRPr="00822CE9">
        <w:rPr>
          <w:rFonts w:hint="cs"/>
          <w:rtl/>
        </w:rPr>
        <w:t xml:space="preserve"> الرواية نقلها إسحاق بن محم</w:t>
      </w:r>
      <w:r w:rsidR="00947D38">
        <w:rPr>
          <w:rFonts w:hint="cs"/>
          <w:rtl/>
        </w:rPr>
        <w:t>ّ</w:t>
      </w:r>
      <w:r w:rsidRPr="00822CE9">
        <w:rPr>
          <w:rFonts w:hint="cs"/>
          <w:rtl/>
        </w:rPr>
        <w:t>د البصري غير الموثق، بل والمتهم بالغلو</w:t>
      </w:r>
      <w:r w:rsidR="00947D38">
        <w:rPr>
          <w:rFonts w:hint="cs"/>
          <w:rtl/>
        </w:rPr>
        <w:t>ّ، وإذا كان هو إ</w:t>
      </w:r>
      <w:r w:rsidRPr="00822CE9">
        <w:rPr>
          <w:rFonts w:hint="cs"/>
          <w:rtl/>
        </w:rPr>
        <w:t>سحاق بن محم</w:t>
      </w:r>
      <w:r w:rsidR="00947D38">
        <w:rPr>
          <w:rFonts w:hint="cs"/>
          <w:rtl/>
        </w:rPr>
        <w:t>ّ</w:t>
      </w:r>
      <w:r w:rsidRPr="00822CE9">
        <w:rPr>
          <w:rFonts w:hint="cs"/>
          <w:rtl/>
        </w:rPr>
        <w:t>د بن أحمد، ف</w:t>
      </w:r>
      <w:r w:rsidR="009C274C">
        <w:rPr>
          <w:rFonts w:hint="cs"/>
          <w:rtl/>
        </w:rPr>
        <w:t xml:space="preserve">قد وصف </w:t>
      </w:r>
      <w:r w:rsidRPr="00822CE9">
        <w:rPr>
          <w:rFonts w:hint="cs"/>
          <w:rtl/>
        </w:rPr>
        <w:t>النجاشي</w:t>
      </w:r>
      <w:r w:rsidR="009C274C">
        <w:rPr>
          <w:rFonts w:hint="cs"/>
          <w:rtl/>
        </w:rPr>
        <w:t>ّ</w:t>
      </w:r>
      <w:r w:rsidRPr="00822CE9">
        <w:rPr>
          <w:rFonts w:hint="cs"/>
          <w:rtl/>
        </w:rPr>
        <w:t xml:space="preserve"> كتبه بالتخليط</w:t>
      </w:r>
      <w:r w:rsidR="006705C3">
        <w:rPr>
          <w:rFonts w:hint="cs"/>
          <w:rtl/>
        </w:rPr>
        <w:t xml:space="preserve"> بل وصفه بانّه معدن التخليط</w:t>
      </w:r>
      <w:r w:rsidRPr="00822CE9">
        <w:rPr>
          <w:rFonts w:hint="cs"/>
          <w:rtl/>
        </w:rPr>
        <w:t xml:space="preserve">، </w:t>
      </w:r>
      <w:r w:rsidR="009C274C">
        <w:rPr>
          <w:rFonts w:hint="cs"/>
          <w:rtl/>
        </w:rPr>
        <w:t>و</w:t>
      </w:r>
      <w:r w:rsidRPr="00822CE9">
        <w:rPr>
          <w:rFonts w:hint="cs"/>
          <w:rtl/>
        </w:rPr>
        <w:t>ضع</w:t>
      </w:r>
      <w:r w:rsidR="00A129A9">
        <w:rPr>
          <w:rFonts w:hint="cs"/>
          <w:rtl/>
        </w:rPr>
        <w:t>ّف</w:t>
      </w:r>
      <w:r w:rsidRPr="00822CE9">
        <w:rPr>
          <w:rFonts w:hint="cs"/>
          <w:rtl/>
        </w:rPr>
        <w:t>ه الحلي على كل</w:t>
      </w:r>
      <w:r w:rsidR="00947D38">
        <w:rPr>
          <w:rFonts w:hint="cs"/>
          <w:rtl/>
        </w:rPr>
        <w:t>ّ</w:t>
      </w:r>
      <w:r w:rsidRPr="00822CE9">
        <w:rPr>
          <w:rFonts w:hint="cs"/>
          <w:rtl/>
        </w:rPr>
        <w:t xml:space="preserve"> تقدير</w:t>
      </w:r>
      <w:r w:rsidRPr="000A4159">
        <w:rPr>
          <w:rFonts w:cs="Taher"/>
          <w:vertAlign w:val="superscript"/>
          <w:rtl/>
        </w:rPr>
        <w:t>(</w:t>
      </w:r>
      <w:r w:rsidRPr="000A4159">
        <w:rPr>
          <w:rStyle w:val="FootnoteReference"/>
          <w:rFonts w:cs="Taher"/>
          <w:rtl/>
        </w:rPr>
        <w:footnoteReference w:id="52"/>
      </w:r>
      <w:r w:rsidRPr="000A4159">
        <w:rPr>
          <w:rFonts w:cs="Taher"/>
          <w:vertAlign w:val="superscript"/>
          <w:rtl/>
        </w:rPr>
        <w:t>)</w:t>
      </w:r>
      <w:r w:rsidRPr="00822CE9">
        <w:rPr>
          <w:rtl/>
        </w:rPr>
        <w:t>.</w:t>
      </w:r>
    </w:p>
    <w:p w14:paraId="7E750F01" w14:textId="77777777" w:rsidR="000A4159" w:rsidRPr="00822CE9" w:rsidRDefault="000A4159" w:rsidP="007E79D2">
      <w:pPr>
        <w:pStyle w:val="normal930"/>
        <w:rPr>
          <w:rtl/>
        </w:rPr>
      </w:pPr>
      <w:r w:rsidRPr="00947D38">
        <w:rPr>
          <w:rFonts w:hint="cs"/>
          <w:b/>
          <w:bCs/>
          <w:rtl/>
        </w:rPr>
        <w:t xml:space="preserve">الرواية الرابعة: خبر سليمان بن خالد، </w:t>
      </w:r>
      <w:r w:rsidRPr="00822CE9">
        <w:rPr>
          <w:rFonts w:hint="cs"/>
          <w:rtl/>
        </w:rPr>
        <w:t>قال: قال لي أبو عبد الله</w:t>
      </w:r>
      <w:r w:rsidR="009A1626" w:rsidRPr="00822CE9">
        <w:rPr>
          <w:rFonts w:hint="cs"/>
          <w:rtl/>
        </w:rPr>
        <w:t>×</w:t>
      </w:r>
      <w:r w:rsidRPr="00822CE9">
        <w:rPr>
          <w:rFonts w:hint="cs"/>
          <w:rtl/>
        </w:rPr>
        <w:t>: «رحم الله عمّي زيداً، ما قدر أن يسير بكتاب الله ساعة</w:t>
      </w:r>
      <w:r w:rsidR="00947D38">
        <w:rPr>
          <w:rFonts w:hint="cs"/>
          <w:rtl/>
        </w:rPr>
        <w:t>ً</w:t>
      </w:r>
      <w:r w:rsidRPr="00822CE9">
        <w:rPr>
          <w:rFonts w:hint="cs"/>
          <w:rtl/>
        </w:rPr>
        <w:t xml:space="preserve"> من نهار..»</w:t>
      </w:r>
      <w:r w:rsidRPr="000A4159">
        <w:rPr>
          <w:rFonts w:cs="Taher"/>
          <w:vertAlign w:val="superscript"/>
          <w:rtl/>
        </w:rPr>
        <w:t>(</w:t>
      </w:r>
      <w:r w:rsidRPr="000A4159">
        <w:rPr>
          <w:rStyle w:val="FootnoteReference"/>
          <w:rFonts w:cs="Taher"/>
          <w:rtl/>
        </w:rPr>
        <w:footnoteReference w:id="53"/>
      </w:r>
      <w:r w:rsidRPr="000A4159">
        <w:rPr>
          <w:rFonts w:cs="Taher"/>
          <w:vertAlign w:val="superscript"/>
          <w:rtl/>
        </w:rPr>
        <w:t>)</w:t>
      </w:r>
      <w:r w:rsidRPr="00822CE9">
        <w:rPr>
          <w:rtl/>
        </w:rPr>
        <w:t>.</w:t>
      </w:r>
    </w:p>
    <w:p w14:paraId="6BCD9930" w14:textId="77777777" w:rsidR="000A4159" w:rsidRPr="00822CE9" w:rsidRDefault="009C274C" w:rsidP="007E79D2">
      <w:pPr>
        <w:pStyle w:val="normal930"/>
        <w:rPr>
          <w:rtl/>
        </w:rPr>
      </w:pPr>
      <w:r>
        <w:rPr>
          <w:rFonts w:hint="cs"/>
          <w:rtl/>
        </w:rPr>
        <w:t>فهذه الرواية عندما تتر</w:t>
      </w:r>
      <w:r w:rsidR="000A4159" w:rsidRPr="00822CE9">
        <w:rPr>
          <w:rFonts w:hint="cs"/>
          <w:rtl/>
        </w:rPr>
        <w:t>ح</w:t>
      </w:r>
      <w:r>
        <w:rPr>
          <w:rFonts w:hint="cs"/>
          <w:rtl/>
        </w:rPr>
        <w:t>ّ</w:t>
      </w:r>
      <w:r w:rsidR="000A4159" w:rsidRPr="00822CE9">
        <w:rPr>
          <w:rFonts w:hint="cs"/>
          <w:rtl/>
        </w:rPr>
        <w:t xml:space="preserve">م على زيد، وتشير فوراً إلى عدم قدرته على إقامة كتاب الله ولو ساعة، </w:t>
      </w:r>
      <w:r w:rsidR="00041595">
        <w:rPr>
          <w:rFonts w:hint="cs"/>
          <w:rtl/>
        </w:rPr>
        <w:t xml:space="preserve">فهي </w:t>
      </w:r>
      <w:r w:rsidR="000A4159" w:rsidRPr="00822CE9">
        <w:rPr>
          <w:rFonts w:hint="cs"/>
          <w:rtl/>
        </w:rPr>
        <w:t>تشي بالرضا عن حركته الثوري</w:t>
      </w:r>
      <w:r w:rsidR="00041595">
        <w:rPr>
          <w:rFonts w:hint="cs"/>
          <w:rtl/>
        </w:rPr>
        <w:t>ّ</w:t>
      </w:r>
      <w:r w:rsidR="000A4159" w:rsidRPr="00822CE9">
        <w:rPr>
          <w:rFonts w:hint="cs"/>
          <w:rtl/>
        </w:rPr>
        <w:t>ة، فالإنسان الذي لا يرضى بهذه الحركة لا يصدر منه مثل هذا اللحن من الثناء والتق</w:t>
      </w:r>
      <w:r w:rsidR="00041595">
        <w:rPr>
          <w:rFonts w:hint="cs"/>
          <w:rtl/>
        </w:rPr>
        <w:t>و</w:t>
      </w:r>
      <w:r w:rsidR="000A4159" w:rsidRPr="00822CE9">
        <w:rPr>
          <w:rFonts w:hint="cs"/>
          <w:rtl/>
        </w:rPr>
        <w:t>يم.</w:t>
      </w:r>
    </w:p>
    <w:p w14:paraId="497AC225" w14:textId="77777777" w:rsidR="000A4159" w:rsidRPr="00822CE9" w:rsidRDefault="000A4159" w:rsidP="00A1571F">
      <w:pPr>
        <w:spacing w:line="214" w:lineRule="auto"/>
        <w:rPr>
          <w:rtl/>
        </w:rPr>
      </w:pPr>
      <w:r w:rsidRPr="00A1571F">
        <w:rPr>
          <w:rFonts w:hint="cs"/>
          <w:b/>
          <w:bCs/>
          <w:rtl/>
        </w:rPr>
        <w:t>لكنّ الذين روى لنا هذه الرواية هو سليمان بن خالد، وهو الذي يعد</w:t>
      </w:r>
      <w:r w:rsidR="00041595" w:rsidRPr="00A1571F">
        <w:rPr>
          <w:rFonts w:hint="cs"/>
          <w:b/>
          <w:bCs/>
          <w:rtl/>
        </w:rPr>
        <w:t>ّ</w:t>
      </w:r>
      <w:r w:rsidRPr="00A1571F">
        <w:rPr>
          <w:rFonts w:hint="cs"/>
          <w:b/>
          <w:bCs/>
          <w:rtl/>
        </w:rPr>
        <w:t xml:space="preserve"> ـ كما يصرّح النجاشي </w:t>
      </w:r>
      <w:r w:rsidR="004305C1">
        <w:rPr>
          <w:rFonts w:hint="cs"/>
          <w:b/>
          <w:bCs/>
          <w:rtl/>
        </w:rPr>
        <w:t xml:space="preserve">والطوسي </w:t>
      </w:r>
      <w:r w:rsidRPr="00A1571F">
        <w:rPr>
          <w:rFonts w:hint="cs"/>
          <w:b/>
          <w:bCs/>
          <w:rtl/>
        </w:rPr>
        <w:t xml:space="preserve">ـ الشخص الوحيد من أصحاب </w:t>
      </w:r>
      <w:r w:rsidR="00A1571F">
        <w:rPr>
          <w:rFonts w:hint="cs"/>
          <w:b/>
          <w:bCs/>
          <w:rtl/>
        </w:rPr>
        <w:t xml:space="preserve">الإمام </w:t>
      </w:r>
      <w:r w:rsidRPr="00A1571F">
        <w:rPr>
          <w:rFonts w:hint="cs"/>
          <w:b/>
          <w:bCs/>
          <w:rtl/>
        </w:rPr>
        <w:t>الباقر ممّن خرج مع زيد، لكن</w:t>
      </w:r>
      <w:r w:rsidR="00041595" w:rsidRPr="00A1571F">
        <w:rPr>
          <w:rFonts w:hint="cs"/>
          <w:b/>
          <w:bCs/>
          <w:rtl/>
        </w:rPr>
        <w:t>ّ</w:t>
      </w:r>
      <w:r w:rsidRPr="00A1571F">
        <w:rPr>
          <w:rFonts w:hint="cs"/>
          <w:b/>
          <w:bCs/>
          <w:rtl/>
        </w:rPr>
        <w:t>ه أفلت من الحرب</w:t>
      </w:r>
      <w:r w:rsidR="00041595" w:rsidRPr="00A1571F">
        <w:rPr>
          <w:rFonts w:hint="cs"/>
          <w:b/>
          <w:bCs/>
          <w:rtl/>
        </w:rPr>
        <w:t>.</w:t>
      </w:r>
      <w:r w:rsidRPr="00A1571F">
        <w:rPr>
          <w:rFonts w:hint="cs"/>
          <w:b/>
          <w:bCs/>
          <w:rtl/>
        </w:rPr>
        <w:t xml:space="preserve"> وقد وقع نقاش</w:t>
      </w:r>
      <w:r w:rsidR="00041595" w:rsidRPr="00A1571F">
        <w:rPr>
          <w:rFonts w:hint="cs"/>
          <w:b/>
          <w:bCs/>
          <w:rtl/>
        </w:rPr>
        <w:t>ٌ</w:t>
      </w:r>
      <w:r w:rsidRPr="00A1571F">
        <w:rPr>
          <w:rFonts w:hint="cs"/>
          <w:b/>
          <w:bCs/>
          <w:rtl/>
        </w:rPr>
        <w:t xml:space="preserve"> في أن</w:t>
      </w:r>
      <w:r w:rsidR="00041595" w:rsidRPr="00A1571F">
        <w:rPr>
          <w:rFonts w:hint="cs"/>
          <w:b/>
          <w:bCs/>
          <w:rtl/>
        </w:rPr>
        <w:t>ّ</w:t>
      </w:r>
      <w:r w:rsidRPr="00A1571F">
        <w:rPr>
          <w:rFonts w:hint="cs"/>
          <w:b/>
          <w:bCs/>
          <w:rtl/>
        </w:rPr>
        <w:t>ه كان إمامي</w:t>
      </w:r>
      <w:r w:rsidR="00041595" w:rsidRPr="00A1571F">
        <w:rPr>
          <w:rFonts w:hint="cs"/>
          <w:b/>
          <w:bCs/>
          <w:rtl/>
        </w:rPr>
        <w:t>ّ</w:t>
      </w:r>
      <w:r w:rsidRPr="00A1571F">
        <w:rPr>
          <w:rFonts w:hint="cs"/>
          <w:b/>
          <w:bCs/>
          <w:rtl/>
        </w:rPr>
        <w:t>اً من الأو</w:t>
      </w:r>
      <w:r w:rsidR="00041595" w:rsidRPr="00A1571F">
        <w:rPr>
          <w:rFonts w:hint="cs"/>
          <w:b/>
          <w:bCs/>
          <w:rtl/>
        </w:rPr>
        <w:t>ّ</w:t>
      </w:r>
      <w:r w:rsidRPr="00A1571F">
        <w:rPr>
          <w:rFonts w:hint="cs"/>
          <w:b/>
          <w:bCs/>
          <w:rtl/>
        </w:rPr>
        <w:t>ل أو أن</w:t>
      </w:r>
      <w:r w:rsidR="00041595" w:rsidRPr="00A1571F">
        <w:rPr>
          <w:rFonts w:hint="cs"/>
          <w:b/>
          <w:bCs/>
          <w:rtl/>
        </w:rPr>
        <w:t>ّ</w:t>
      </w:r>
      <w:r w:rsidRPr="00A1571F">
        <w:rPr>
          <w:rFonts w:hint="cs"/>
          <w:b/>
          <w:bCs/>
          <w:rtl/>
        </w:rPr>
        <w:t>ه كان زيدي</w:t>
      </w:r>
      <w:r w:rsidR="00041595" w:rsidRPr="00A1571F">
        <w:rPr>
          <w:rFonts w:hint="cs"/>
          <w:b/>
          <w:bCs/>
          <w:rtl/>
        </w:rPr>
        <w:t>ّ</w:t>
      </w:r>
      <w:r w:rsidRPr="00A1571F">
        <w:rPr>
          <w:rFonts w:hint="cs"/>
          <w:b/>
          <w:bCs/>
          <w:rtl/>
        </w:rPr>
        <w:t xml:space="preserve">اً </w:t>
      </w:r>
      <w:r w:rsidR="00041595" w:rsidRPr="00A1571F">
        <w:rPr>
          <w:rFonts w:hint="cs"/>
          <w:b/>
          <w:bCs/>
          <w:rtl/>
        </w:rPr>
        <w:t>ث</w:t>
      </w:r>
      <w:r w:rsidRPr="00A1571F">
        <w:rPr>
          <w:rFonts w:hint="cs"/>
          <w:b/>
          <w:bCs/>
          <w:rtl/>
        </w:rPr>
        <w:t>م</w:t>
      </w:r>
      <w:r w:rsidR="00041595" w:rsidRPr="00A1571F">
        <w:rPr>
          <w:rFonts w:hint="cs"/>
          <w:b/>
          <w:bCs/>
          <w:rtl/>
        </w:rPr>
        <w:t>ّ</w:t>
      </w:r>
      <w:r w:rsidRPr="00A1571F">
        <w:rPr>
          <w:rFonts w:hint="cs"/>
          <w:b/>
          <w:bCs/>
          <w:rtl/>
        </w:rPr>
        <w:t xml:space="preserve"> رجع إلى المذهب </w:t>
      </w:r>
      <w:r w:rsidRPr="00A1571F">
        <w:rPr>
          <w:rFonts w:hint="cs"/>
          <w:b/>
          <w:bCs/>
          <w:rtl/>
        </w:rPr>
        <w:lastRenderedPageBreak/>
        <w:t>الإمامي</w:t>
      </w:r>
      <w:r w:rsidRPr="00A1571F">
        <w:rPr>
          <w:rFonts w:cs="Taher"/>
          <w:b/>
          <w:bCs/>
          <w:vertAlign w:val="superscript"/>
          <w:rtl/>
        </w:rPr>
        <w:t>(</w:t>
      </w:r>
      <w:r w:rsidRPr="00A1571F">
        <w:rPr>
          <w:rStyle w:val="FootnoteReference"/>
          <w:rFonts w:cs="Taher"/>
          <w:b/>
          <w:bCs/>
          <w:rtl/>
        </w:rPr>
        <w:footnoteReference w:id="54"/>
      </w:r>
      <w:r w:rsidRPr="00A1571F">
        <w:rPr>
          <w:rFonts w:cs="Taher"/>
          <w:b/>
          <w:bCs/>
          <w:vertAlign w:val="superscript"/>
          <w:rtl/>
        </w:rPr>
        <w:t>)</w:t>
      </w:r>
      <w:r w:rsidRPr="00A1571F">
        <w:rPr>
          <w:b/>
          <w:bCs/>
          <w:rtl/>
        </w:rPr>
        <w:t>،</w:t>
      </w:r>
      <w:r w:rsidRPr="00822CE9">
        <w:rPr>
          <w:rtl/>
        </w:rPr>
        <w:t xml:space="preserve"> </w:t>
      </w:r>
      <w:r w:rsidRPr="00822CE9">
        <w:rPr>
          <w:rFonts w:hint="cs"/>
          <w:rtl/>
        </w:rPr>
        <w:t>وفي مثل هذه ا</w:t>
      </w:r>
      <w:r w:rsidR="00041595">
        <w:rPr>
          <w:rFonts w:hint="cs"/>
          <w:rtl/>
        </w:rPr>
        <w:t>لحال ستكون هذه الرواية لصالحه؛ إ</w:t>
      </w:r>
      <w:r w:rsidR="00A1571F">
        <w:rPr>
          <w:rFonts w:hint="cs"/>
          <w:rtl/>
        </w:rPr>
        <w:t>ذ ستب</w:t>
      </w:r>
      <w:r w:rsidRPr="00822CE9">
        <w:rPr>
          <w:rFonts w:hint="cs"/>
          <w:rtl/>
        </w:rPr>
        <w:t>ر</w:t>
      </w:r>
      <w:r w:rsidR="00A1571F">
        <w:rPr>
          <w:rFonts w:hint="cs"/>
          <w:rtl/>
        </w:rPr>
        <w:t>ّ</w:t>
      </w:r>
      <w:r w:rsidRPr="00822CE9">
        <w:rPr>
          <w:rFonts w:hint="cs"/>
          <w:rtl/>
        </w:rPr>
        <w:t>ر له خروج</w:t>
      </w:r>
      <w:r w:rsidR="00041595">
        <w:rPr>
          <w:rFonts w:hint="cs"/>
          <w:rtl/>
        </w:rPr>
        <w:t>َه مع الإمام زيد بن عليّ، وهذا ما قد يُض</w:t>
      </w:r>
      <w:r w:rsidRPr="00822CE9">
        <w:rPr>
          <w:rFonts w:hint="cs"/>
          <w:rtl/>
        </w:rPr>
        <w:t>ع</w:t>
      </w:r>
      <w:r w:rsidR="00041595">
        <w:rPr>
          <w:rFonts w:hint="cs"/>
          <w:rtl/>
        </w:rPr>
        <w:t>ِ</w:t>
      </w:r>
      <w:r w:rsidRPr="00822CE9">
        <w:rPr>
          <w:rFonts w:hint="cs"/>
          <w:rtl/>
        </w:rPr>
        <w:t xml:space="preserve">ف </w:t>
      </w:r>
      <w:r w:rsidR="00041595">
        <w:rPr>
          <w:rFonts w:hint="cs"/>
          <w:rtl/>
        </w:rPr>
        <w:t xml:space="preserve">من </w:t>
      </w:r>
      <w:r w:rsidRPr="00822CE9">
        <w:rPr>
          <w:rFonts w:hint="cs"/>
          <w:rtl/>
        </w:rPr>
        <w:t>درجة الوثوق بالرواية، طبقاً لحجي</w:t>
      </w:r>
      <w:r w:rsidR="00041595">
        <w:rPr>
          <w:rFonts w:hint="cs"/>
          <w:rtl/>
        </w:rPr>
        <w:t>ّ</w:t>
      </w:r>
      <w:r w:rsidRPr="00822CE9">
        <w:rPr>
          <w:rFonts w:hint="cs"/>
          <w:rtl/>
        </w:rPr>
        <w:t>ة الخبر الموثوق</w:t>
      </w:r>
      <w:r w:rsidR="00041595">
        <w:rPr>
          <w:rFonts w:hint="cs"/>
          <w:rtl/>
        </w:rPr>
        <w:t>،</w:t>
      </w:r>
      <w:r w:rsidRPr="00822CE9">
        <w:rPr>
          <w:rFonts w:hint="cs"/>
          <w:rtl/>
        </w:rPr>
        <w:t xml:space="preserve"> حتى لو كان سليمان بن خالد ثقة</w:t>
      </w:r>
      <w:r w:rsidR="00041595">
        <w:rPr>
          <w:rFonts w:hint="cs"/>
          <w:rtl/>
        </w:rPr>
        <w:t>ً</w:t>
      </w:r>
      <w:r w:rsidR="00DE31C2">
        <w:rPr>
          <w:rFonts w:hint="cs"/>
          <w:rtl/>
        </w:rPr>
        <w:t xml:space="preserve"> في حدّ نفسه، فنحن هنا لا نريد إسقاط هذه الرواية ومثيلاتها بقدر ما نريد أخذ هذه الحقيقة بعين الاعتبار </w:t>
      </w:r>
      <w:r w:rsidR="00DE31C2" w:rsidRPr="00A1571F">
        <w:rPr>
          <w:rFonts w:hint="cs"/>
          <w:b/>
          <w:bCs/>
          <w:rtl/>
        </w:rPr>
        <w:t>وهو أنّ بعض روايات مدح ثورة زيد قد نقلها لنا الفريق الموافق لحركة زيد والمنتمي للنزعة الزيديّة آنذاك،</w:t>
      </w:r>
      <w:r w:rsidR="00DE31C2">
        <w:rPr>
          <w:rFonts w:hint="cs"/>
          <w:rtl/>
        </w:rPr>
        <w:t xml:space="preserve"> في ظلّ خلاف ـ فيما يبدو ـ بين الشيعة حول المنهج الزيدي في التعامل مع السلطة.</w:t>
      </w:r>
    </w:p>
    <w:p w14:paraId="0576DB17" w14:textId="77777777" w:rsidR="000A4159" w:rsidRDefault="000A4159" w:rsidP="007E79D2">
      <w:pPr>
        <w:pStyle w:val="normal930"/>
        <w:rPr>
          <w:rtl/>
        </w:rPr>
      </w:pPr>
      <w:r w:rsidRPr="00A1571F">
        <w:rPr>
          <w:rFonts w:hint="cs"/>
          <w:b/>
          <w:bCs/>
          <w:rtl/>
        </w:rPr>
        <w:t>وبعيداً عن هذه الملاحظة</w:t>
      </w:r>
      <w:r w:rsidR="00041595" w:rsidRPr="00A1571F">
        <w:rPr>
          <w:rFonts w:hint="cs"/>
          <w:b/>
          <w:bCs/>
          <w:rtl/>
        </w:rPr>
        <w:t>،</w:t>
      </w:r>
      <w:r w:rsidRPr="00A1571F">
        <w:rPr>
          <w:rFonts w:hint="cs"/>
          <w:b/>
          <w:bCs/>
          <w:rtl/>
        </w:rPr>
        <w:t xml:space="preserve"> ليس هناك ما يؤك</w:t>
      </w:r>
      <w:r w:rsidR="00041595" w:rsidRPr="00A1571F">
        <w:rPr>
          <w:rFonts w:hint="cs"/>
          <w:b/>
          <w:bCs/>
          <w:rtl/>
        </w:rPr>
        <w:t>ّ</w:t>
      </w:r>
      <w:r w:rsidRPr="00A1571F">
        <w:rPr>
          <w:rFonts w:hint="cs"/>
          <w:b/>
          <w:bCs/>
          <w:rtl/>
        </w:rPr>
        <w:t>د أنّ الرواية صدرت عن سليمان نفسه،</w:t>
      </w:r>
      <w:r w:rsidRPr="00822CE9">
        <w:rPr>
          <w:rFonts w:hint="cs"/>
          <w:rtl/>
        </w:rPr>
        <w:t xml:space="preserve"> حيث رواها الفضل بن شاذان عن والده</w:t>
      </w:r>
      <w:r w:rsidR="00041595">
        <w:rPr>
          <w:rFonts w:hint="cs"/>
          <w:rtl/>
        </w:rPr>
        <w:t>،</w:t>
      </w:r>
      <w:r w:rsidRPr="00822CE9">
        <w:rPr>
          <w:rFonts w:hint="cs"/>
          <w:rtl/>
        </w:rPr>
        <w:t xml:space="preserve"> عن عدّة من أصحابنا، عن سليمان بن خالد، فتكون مرسلة</w:t>
      </w:r>
      <w:r w:rsidR="00041595">
        <w:rPr>
          <w:rFonts w:hint="cs"/>
          <w:rtl/>
        </w:rPr>
        <w:t>ً</w:t>
      </w:r>
      <w:r w:rsidRPr="00822CE9">
        <w:rPr>
          <w:rFonts w:hint="cs"/>
          <w:rtl/>
        </w:rPr>
        <w:t>، كما هو واضح، فلا يصحّ الاعتماد عليها من هاتين الجهتين.</w:t>
      </w:r>
    </w:p>
    <w:p w14:paraId="3BBFA612" w14:textId="77777777" w:rsidR="007D3228" w:rsidRPr="00822CE9" w:rsidRDefault="007D3228" w:rsidP="007E79D2">
      <w:pPr>
        <w:pStyle w:val="normal930"/>
        <w:rPr>
          <w:rtl/>
        </w:rPr>
      </w:pPr>
      <w:r w:rsidRPr="00A1571F">
        <w:rPr>
          <w:rFonts w:hint="cs"/>
          <w:b/>
          <w:bCs/>
          <w:rtl/>
        </w:rPr>
        <w:t>بل قد يقال ـ بقرينة رواية سليمان بن خالد الأخرى القادمة (رقم: 10) ـ أنّ الإمام هنا في مقام الذمّ،</w:t>
      </w:r>
      <w:r>
        <w:rPr>
          <w:rFonts w:hint="cs"/>
          <w:rtl/>
        </w:rPr>
        <w:t xml:space="preserve"> بمعنى أنّ زيداً لم يقدر أن يطبّق شرع الله، فهو أعجز من ذلك، فكيف خرج ولا يعرف تطبيق شرع الله سبحانه؟! ويتقوّى هذا الاحتمال بما ورد في تكملة هذه الرواية هنا حيث جاء بعد ذلك فوراً: </w:t>
      </w:r>
      <w:r w:rsidRPr="007D3228">
        <w:rPr>
          <w:rtl/>
        </w:rPr>
        <w:t>ثم</w:t>
      </w:r>
      <w:r>
        <w:rPr>
          <w:rFonts w:hint="cs"/>
          <w:rtl/>
        </w:rPr>
        <w:t>ّ</w:t>
      </w:r>
      <w:r w:rsidRPr="007D3228">
        <w:rPr>
          <w:rtl/>
        </w:rPr>
        <w:t xml:space="preserve"> قال: </w:t>
      </w:r>
      <w:r>
        <w:rPr>
          <w:rFonts w:hint="cs"/>
          <w:rtl/>
        </w:rPr>
        <w:t>«</w:t>
      </w:r>
      <w:r w:rsidRPr="007D3228">
        <w:rPr>
          <w:rtl/>
        </w:rPr>
        <w:t>يا سليمان بن</w:t>
      </w:r>
      <w:r>
        <w:rPr>
          <w:rFonts w:hint="cs"/>
          <w:rtl/>
        </w:rPr>
        <w:t xml:space="preserve"> </w:t>
      </w:r>
      <w:r w:rsidRPr="007D3228">
        <w:rPr>
          <w:rtl/>
        </w:rPr>
        <w:t>خالد ما كان عدو</w:t>
      </w:r>
      <w:r>
        <w:rPr>
          <w:rFonts w:hint="cs"/>
          <w:rtl/>
        </w:rPr>
        <w:t>ّ</w:t>
      </w:r>
      <w:r w:rsidRPr="007D3228">
        <w:rPr>
          <w:rtl/>
        </w:rPr>
        <w:t>كم عندكم؟</w:t>
      </w:r>
      <w:r>
        <w:rPr>
          <w:rFonts w:hint="cs"/>
          <w:rtl/>
        </w:rPr>
        <w:t>»</w:t>
      </w:r>
      <w:r w:rsidRPr="007D3228">
        <w:rPr>
          <w:rtl/>
        </w:rPr>
        <w:t xml:space="preserve"> قلنا: كف</w:t>
      </w:r>
      <w:r>
        <w:rPr>
          <w:rFonts w:hint="cs"/>
          <w:rtl/>
        </w:rPr>
        <w:t>ّ</w:t>
      </w:r>
      <w:r w:rsidRPr="007D3228">
        <w:rPr>
          <w:rtl/>
        </w:rPr>
        <w:t>ار.</w:t>
      </w:r>
      <w:r>
        <w:rPr>
          <w:rFonts w:hint="cs"/>
          <w:rtl/>
        </w:rPr>
        <w:t xml:space="preserve"> </w:t>
      </w:r>
      <w:r w:rsidRPr="007D3228">
        <w:rPr>
          <w:rtl/>
        </w:rPr>
        <w:t xml:space="preserve">قال: </w:t>
      </w:r>
      <w:r>
        <w:rPr>
          <w:rFonts w:hint="cs"/>
          <w:rtl/>
        </w:rPr>
        <w:t>«</w:t>
      </w:r>
      <w:r>
        <w:rPr>
          <w:rtl/>
        </w:rPr>
        <w:t>ف</w:t>
      </w:r>
      <w:r>
        <w:rPr>
          <w:rFonts w:hint="cs"/>
          <w:rtl/>
        </w:rPr>
        <w:t>إ</w:t>
      </w:r>
      <w:r w:rsidRPr="007D3228">
        <w:rPr>
          <w:rtl/>
        </w:rPr>
        <w:t>ن</w:t>
      </w:r>
      <w:r>
        <w:rPr>
          <w:rFonts w:hint="cs"/>
          <w:rtl/>
        </w:rPr>
        <w:t>ّ</w:t>
      </w:r>
      <w:r w:rsidRPr="007D3228">
        <w:rPr>
          <w:rtl/>
        </w:rPr>
        <w:t xml:space="preserve"> الله عز</w:t>
      </w:r>
      <w:r>
        <w:rPr>
          <w:rFonts w:hint="cs"/>
          <w:rtl/>
        </w:rPr>
        <w:t>ّ</w:t>
      </w:r>
      <w:r w:rsidRPr="007D3228">
        <w:rPr>
          <w:rtl/>
        </w:rPr>
        <w:t xml:space="preserve"> وجل يقول: </w:t>
      </w:r>
      <w:r>
        <w:rPr>
          <w:rFonts w:hint="cs"/>
          <w:rtl/>
        </w:rPr>
        <w:t>«</w:t>
      </w:r>
      <w:r w:rsidRPr="007D3228">
        <w:rPr>
          <w:rtl/>
        </w:rPr>
        <w:t>ح</w:t>
      </w:r>
      <w:r>
        <w:rPr>
          <w:rtl/>
        </w:rPr>
        <w:t>تى إذا أثخنتموهم فشدوا الوثاق ف</w:t>
      </w:r>
      <w:r>
        <w:rPr>
          <w:rFonts w:hint="cs"/>
          <w:rtl/>
        </w:rPr>
        <w:t>إ</w:t>
      </w:r>
      <w:r w:rsidRPr="007D3228">
        <w:rPr>
          <w:rtl/>
        </w:rPr>
        <w:t>م</w:t>
      </w:r>
      <w:r>
        <w:rPr>
          <w:rFonts w:hint="cs"/>
          <w:rtl/>
        </w:rPr>
        <w:t>ّ</w:t>
      </w:r>
      <w:r w:rsidRPr="007D3228">
        <w:rPr>
          <w:rtl/>
        </w:rPr>
        <w:t>ا من</w:t>
      </w:r>
      <w:r>
        <w:rPr>
          <w:rFonts w:hint="cs"/>
          <w:rtl/>
        </w:rPr>
        <w:t>ّ</w:t>
      </w:r>
      <w:r w:rsidRPr="007D3228">
        <w:rPr>
          <w:rtl/>
        </w:rPr>
        <w:t>ا</w:t>
      </w:r>
      <w:r>
        <w:rPr>
          <w:rFonts w:hint="cs"/>
          <w:rtl/>
        </w:rPr>
        <w:t>ً</w:t>
      </w:r>
      <w:r w:rsidRPr="007D3228">
        <w:rPr>
          <w:rtl/>
        </w:rPr>
        <w:t xml:space="preserve"> بعد</w:t>
      </w:r>
      <w:r>
        <w:rPr>
          <w:rFonts w:hint="cs"/>
          <w:rtl/>
        </w:rPr>
        <w:t xml:space="preserve"> </w:t>
      </w:r>
      <w:r>
        <w:rPr>
          <w:rtl/>
        </w:rPr>
        <w:t>و</w:t>
      </w:r>
      <w:r>
        <w:rPr>
          <w:rFonts w:hint="cs"/>
          <w:rtl/>
        </w:rPr>
        <w:t>إ</w:t>
      </w:r>
      <w:r w:rsidRPr="007D3228">
        <w:rPr>
          <w:rtl/>
        </w:rPr>
        <w:t>م</w:t>
      </w:r>
      <w:r>
        <w:rPr>
          <w:rFonts w:hint="cs"/>
          <w:rtl/>
        </w:rPr>
        <w:t>ّ</w:t>
      </w:r>
      <w:r w:rsidRPr="007D3228">
        <w:rPr>
          <w:rtl/>
        </w:rPr>
        <w:t>ا فداء</w:t>
      </w:r>
      <w:r>
        <w:rPr>
          <w:rFonts w:hint="cs"/>
          <w:rtl/>
        </w:rPr>
        <w:t>ً</w:t>
      </w:r>
      <w:r>
        <w:rPr>
          <w:rFonts w:hint="eastAsia"/>
          <w:rtl/>
        </w:rPr>
        <w:t>»</w:t>
      </w:r>
      <w:r>
        <w:rPr>
          <w:rFonts w:hint="cs"/>
          <w:rtl/>
        </w:rPr>
        <w:t>،</w:t>
      </w:r>
      <w:r w:rsidRPr="007D3228">
        <w:rPr>
          <w:rtl/>
        </w:rPr>
        <w:t xml:space="preserve"> فجعل المن</w:t>
      </w:r>
      <w:r>
        <w:rPr>
          <w:rFonts w:hint="cs"/>
          <w:rtl/>
        </w:rPr>
        <w:t>ّ</w:t>
      </w:r>
      <w:r>
        <w:rPr>
          <w:rtl/>
        </w:rPr>
        <w:t xml:space="preserve"> بعد ال</w:t>
      </w:r>
      <w:r>
        <w:rPr>
          <w:rFonts w:hint="cs"/>
          <w:rtl/>
        </w:rPr>
        <w:t>إ</w:t>
      </w:r>
      <w:r w:rsidRPr="007D3228">
        <w:rPr>
          <w:rtl/>
        </w:rPr>
        <w:t>ثخان، وأسرتم قوما</w:t>
      </w:r>
      <w:r>
        <w:rPr>
          <w:rFonts w:hint="cs"/>
          <w:rtl/>
        </w:rPr>
        <w:t>ً</w:t>
      </w:r>
      <w:r w:rsidRPr="007D3228">
        <w:rPr>
          <w:rtl/>
        </w:rPr>
        <w:t xml:space="preserve"> ثم</w:t>
      </w:r>
      <w:r>
        <w:rPr>
          <w:rFonts w:hint="cs"/>
          <w:rtl/>
        </w:rPr>
        <w:t>ّ</w:t>
      </w:r>
      <w:r w:rsidRPr="007D3228">
        <w:rPr>
          <w:rtl/>
        </w:rPr>
        <w:t xml:space="preserve"> خل</w:t>
      </w:r>
      <w:r>
        <w:rPr>
          <w:rFonts w:hint="cs"/>
          <w:rtl/>
        </w:rPr>
        <w:t>ّ</w:t>
      </w:r>
      <w:r w:rsidRPr="007D3228">
        <w:rPr>
          <w:rtl/>
        </w:rPr>
        <w:t>يتم سبيلهم قبل</w:t>
      </w:r>
      <w:r>
        <w:rPr>
          <w:rFonts w:hint="cs"/>
          <w:rtl/>
        </w:rPr>
        <w:t xml:space="preserve"> </w:t>
      </w:r>
      <w:r>
        <w:rPr>
          <w:rtl/>
        </w:rPr>
        <w:t>ال</w:t>
      </w:r>
      <w:r>
        <w:rPr>
          <w:rFonts w:hint="cs"/>
          <w:rtl/>
        </w:rPr>
        <w:t>إ</w:t>
      </w:r>
      <w:r w:rsidRPr="007D3228">
        <w:rPr>
          <w:rtl/>
        </w:rPr>
        <w:t>ثخان</w:t>
      </w:r>
      <w:r>
        <w:rPr>
          <w:rtl/>
        </w:rPr>
        <w:t>، فمننتم قبل ال</w:t>
      </w:r>
      <w:r>
        <w:rPr>
          <w:rFonts w:hint="cs"/>
          <w:rtl/>
        </w:rPr>
        <w:t>إ</w:t>
      </w:r>
      <w:r w:rsidRPr="007D3228">
        <w:rPr>
          <w:rtl/>
        </w:rPr>
        <w:t>ثخان</w:t>
      </w:r>
      <w:r>
        <w:rPr>
          <w:rtl/>
        </w:rPr>
        <w:t>، و</w:t>
      </w:r>
      <w:r>
        <w:rPr>
          <w:rFonts w:hint="cs"/>
          <w:rtl/>
        </w:rPr>
        <w:t>إ</w:t>
      </w:r>
      <w:r w:rsidRPr="007D3228">
        <w:rPr>
          <w:rtl/>
        </w:rPr>
        <w:t>ن</w:t>
      </w:r>
      <w:r>
        <w:rPr>
          <w:rFonts w:hint="cs"/>
          <w:rtl/>
        </w:rPr>
        <w:t>ّ</w:t>
      </w:r>
      <w:r w:rsidRPr="007D3228">
        <w:rPr>
          <w:rtl/>
        </w:rPr>
        <w:t>ما جعل الله المن</w:t>
      </w:r>
      <w:r>
        <w:rPr>
          <w:rFonts w:hint="cs"/>
          <w:rtl/>
        </w:rPr>
        <w:t>ّ</w:t>
      </w:r>
      <w:r>
        <w:rPr>
          <w:rtl/>
        </w:rPr>
        <w:t xml:space="preserve"> بعد ال</w:t>
      </w:r>
      <w:r>
        <w:rPr>
          <w:rFonts w:hint="cs"/>
          <w:rtl/>
        </w:rPr>
        <w:t>إ</w:t>
      </w:r>
      <w:r w:rsidRPr="007D3228">
        <w:rPr>
          <w:rtl/>
        </w:rPr>
        <w:t>ثخان، حتى خرجوا</w:t>
      </w:r>
      <w:r>
        <w:rPr>
          <w:rFonts w:hint="cs"/>
          <w:rtl/>
        </w:rPr>
        <w:t xml:space="preserve"> </w:t>
      </w:r>
      <w:r w:rsidRPr="007D3228">
        <w:rPr>
          <w:rtl/>
        </w:rPr>
        <w:t>عليكم من وجه</w:t>
      </w:r>
      <w:r>
        <w:rPr>
          <w:rFonts w:hint="cs"/>
          <w:rtl/>
        </w:rPr>
        <w:t>ٍ</w:t>
      </w:r>
      <w:r w:rsidRPr="007D3228">
        <w:rPr>
          <w:rtl/>
        </w:rPr>
        <w:t xml:space="preserve"> آخر فقاتلوكم</w:t>
      </w:r>
      <w:r>
        <w:rPr>
          <w:rFonts w:hint="cs"/>
          <w:rtl/>
        </w:rPr>
        <w:t>»</w:t>
      </w:r>
      <w:r w:rsidR="004C1FFA">
        <w:rPr>
          <w:rFonts w:hint="cs"/>
          <w:rtl/>
        </w:rPr>
        <w:t>، فالرواية تحتمل بيان التخطئة وتحتمل أنّ عدم جريانه ساعة على شرع الله بسبب مثل هذه الأخطاء الناتجة عن مخالفة الكتاب الكريم، فيكون اللسان ـ على الأقلّ ـ محتملاً للذمّ، فلا يُستند للرواية هنا في سياق المدح والتأييد</w:t>
      </w:r>
      <w:r w:rsidR="00AF2F93">
        <w:rPr>
          <w:rFonts w:hint="cs"/>
          <w:rtl/>
        </w:rPr>
        <w:t xml:space="preserve"> حتى لو لم نتمكّن من اعتبارها دليلاً على رفض ثورة زيد</w:t>
      </w:r>
      <w:r w:rsidR="004C1FFA">
        <w:rPr>
          <w:rFonts w:hint="cs"/>
          <w:rtl/>
        </w:rPr>
        <w:t>.</w:t>
      </w:r>
    </w:p>
    <w:p w14:paraId="4252DA87" w14:textId="77777777" w:rsidR="000A4159" w:rsidRPr="00822CE9" w:rsidRDefault="000A4159" w:rsidP="007E79D2">
      <w:pPr>
        <w:pStyle w:val="normal930"/>
        <w:rPr>
          <w:rtl/>
        </w:rPr>
      </w:pPr>
      <w:r w:rsidRPr="00041595">
        <w:rPr>
          <w:rFonts w:hint="cs"/>
          <w:b/>
          <w:bCs/>
          <w:rtl/>
        </w:rPr>
        <w:t>الرواية الخامسة: خبر عمرو بن خالد</w:t>
      </w:r>
      <w:r w:rsidR="00041595">
        <w:rPr>
          <w:rFonts w:hint="cs"/>
          <w:b/>
          <w:bCs/>
          <w:rtl/>
        </w:rPr>
        <w:t>،</w:t>
      </w:r>
      <w:r w:rsidRPr="00041595">
        <w:rPr>
          <w:rFonts w:hint="cs"/>
          <w:b/>
          <w:bCs/>
          <w:rtl/>
        </w:rPr>
        <w:t xml:space="preserve"> عن أبي الجارود</w:t>
      </w:r>
      <w:r w:rsidR="00041595" w:rsidRPr="00041595">
        <w:rPr>
          <w:rFonts w:hint="cs"/>
          <w:b/>
          <w:bCs/>
          <w:rtl/>
        </w:rPr>
        <w:t xml:space="preserve"> </w:t>
      </w:r>
      <w:r w:rsidR="00041595" w:rsidRPr="00041595">
        <w:rPr>
          <w:b/>
          <w:bCs/>
          <w:rtl/>
        </w:rPr>
        <w:t>زياد بن المنذر،</w:t>
      </w:r>
      <w:r w:rsidR="00041595" w:rsidRPr="00041595">
        <w:rPr>
          <w:rtl/>
        </w:rPr>
        <w:t xml:space="preserve"> قال: إن</w:t>
      </w:r>
      <w:r w:rsidR="00041595">
        <w:rPr>
          <w:rFonts w:hint="cs"/>
          <w:rtl/>
        </w:rPr>
        <w:t>ّ</w:t>
      </w:r>
      <w:r w:rsidR="00041595" w:rsidRPr="00041595">
        <w:rPr>
          <w:rtl/>
        </w:rPr>
        <w:t>ي لجالس عند أبي جعفر محمد بن علي</w:t>
      </w:r>
      <w:r w:rsidR="00041595">
        <w:rPr>
          <w:rFonts w:hint="cs"/>
          <w:rtl/>
        </w:rPr>
        <w:t xml:space="preserve"> </w:t>
      </w:r>
      <w:r w:rsidR="00041595" w:rsidRPr="00041595">
        <w:rPr>
          <w:rtl/>
        </w:rPr>
        <w:t>الباقر</w:t>
      </w:r>
      <w:r w:rsidR="00041595">
        <w:rPr>
          <w:rFonts w:hint="cs"/>
          <w:rtl/>
        </w:rPr>
        <w:t>،</w:t>
      </w:r>
      <w:r w:rsidR="00041595" w:rsidRPr="00041595">
        <w:rPr>
          <w:rtl/>
        </w:rPr>
        <w:t xml:space="preserve"> إذ أقبل زيد بن علي، فلما نظر إليه أبو جعفر وهو</w:t>
      </w:r>
      <w:r w:rsidR="00041595">
        <w:rPr>
          <w:rFonts w:hint="cs"/>
          <w:rtl/>
        </w:rPr>
        <w:t xml:space="preserve"> </w:t>
      </w:r>
      <w:r w:rsidR="00041595" w:rsidRPr="00041595">
        <w:rPr>
          <w:rtl/>
        </w:rPr>
        <w:t xml:space="preserve">مقبل، قال: هذا </w:t>
      </w:r>
      <w:r w:rsidR="00041595" w:rsidRPr="00041595">
        <w:rPr>
          <w:rtl/>
        </w:rPr>
        <w:lastRenderedPageBreak/>
        <w:t>سيد من أهل بيته</w:t>
      </w:r>
      <w:r w:rsidR="00041595">
        <w:rPr>
          <w:rFonts w:hint="cs"/>
          <w:rtl/>
        </w:rPr>
        <w:t xml:space="preserve"> (بيتي/هذا سيّدٌ من سادات أهل بيته)</w:t>
      </w:r>
      <w:r w:rsidR="00041595" w:rsidRPr="00041595">
        <w:rPr>
          <w:rtl/>
        </w:rPr>
        <w:t>، والطالب بأوتارهم ، لقد أنجبت أم ولدتك يا زيد</w:t>
      </w:r>
      <w:r w:rsidR="00041595">
        <w:rPr>
          <w:rFonts w:hint="cs"/>
          <w:rtl/>
        </w:rPr>
        <w:t>»</w:t>
      </w:r>
      <w:r w:rsidRPr="000A4159">
        <w:rPr>
          <w:rFonts w:cs="Taher"/>
          <w:vertAlign w:val="superscript"/>
          <w:rtl/>
        </w:rPr>
        <w:t>(</w:t>
      </w:r>
      <w:r w:rsidRPr="000A4159">
        <w:rPr>
          <w:rStyle w:val="FootnoteReference"/>
          <w:rFonts w:cs="Taher"/>
          <w:rtl/>
        </w:rPr>
        <w:footnoteReference w:id="55"/>
      </w:r>
      <w:r w:rsidRPr="000A4159">
        <w:rPr>
          <w:rFonts w:cs="Taher"/>
          <w:vertAlign w:val="superscript"/>
          <w:rtl/>
        </w:rPr>
        <w:t>)</w:t>
      </w:r>
      <w:r w:rsidR="00041595">
        <w:rPr>
          <w:rtl/>
        </w:rPr>
        <w:t>.</w:t>
      </w:r>
    </w:p>
    <w:p w14:paraId="7F964CA6" w14:textId="77777777" w:rsidR="000A4159" w:rsidRPr="00822CE9" w:rsidRDefault="000A4159" w:rsidP="00A1571F">
      <w:pPr>
        <w:spacing w:line="214" w:lineRule="auto"/>
        <w:rPr>
          <w:rtl/>
        </w:rPr>
      </w:pPr>
      <w:r w:rsidRPr="00822CE9">
        <w:rPr>
          <w:rFonts w:hint="cs"/>
          <w:rtl/>
        </w:rPr>
        <w:t>فإن</w:t>
      </w:r>
      <w:r w:rsidR="00041595">
        <w:rPr>
          <w:rFonts w:hint="cs"/>
          <w:rtl/>
        </w:rPr>
        <w:t>ّ</w:t>
      </w:r>
      <w:r w:rsidRPr="00822CE9">
        <w:rPr>
          <w:rFonts w:hint="cs"/>
          <w:rtl/>
        </w:rPr>
        <w:t xml:space="preserve"> المراد من «الطالب بأ</w:t>
      </w:r>
      <w:r w:rsidR="00041595">
        <w:rPr>
          <w:rFonts w:hint="cs"/>
          <w:rtl/>
        </w:rPr>
        <w:t>وتارهم» أي الذي يسعى في مكروه أه</w:t>
      </w:r>
      <w:r w:rsidRPr="00822CE9">
        <w:rPr>
          <w:rFonts w:hint="cs"/>
          <w:rtl/>
        </w:rPr>
        <w:t xml:space="preserve">ل البيت ليرفعه، في إشارة إلى وقوفه ضدّ هشام </w:t>
      </w:r>
      <w:r w:rsidR="009A1626" w:rsidRPr="00822CE9">
        <w:rPr>
          <w:rFonts w:hint="cs"/>
          <w:rtl/>
        </w:rPr>
        <w:t>بن عبد الملك لإنقاد أهل البيت</w:t>
      </w:r>
      <w:r w:rsidRPr="00822CE9">
        <w:rPr>
          <w:rFonts w:hint="cs"/>
          <w:rtl/>
        </w:rPr>
        <w:t xml:space="preserve"> والمطالبة بثأرهم ودمائهم</w:t>
      </w:r>
      <w:r w:rsidRPr="000A4159">
        <w:rPr>
          <w:rFonts w:cs="Taher"/>
          <w:vertAlign w:val="superscript"/>
          <w:rtl/>
        </w:rPr>
        <w:t>(</w:t>
      </w:r>
      <w:r w:rsidRPr="000A4159">
        <w:rPr>
          <w:rStyle w:val="FootnoteReference"/>
          <w:rFonts w:cs="Taher"/>
          <w:rtl/>
        </w:rPr>
        <w:footnoteReference w:id="56"/>
      </w:r>
      <w:r w:rsidRPr="000A4159">
        <w:rPr>
          <w:rFonts w:cs="Taher"/>
          <w:vertAlign w:val="superscript"/>
          <w:rtl/>
        </w:rPr>
        <w:t>)</w:t>
      </w:r>
      <w:r w:rsidRPr="00822CE9">
        <w:rPr>
          <w:rtl/>
        </w:rPr>
        <w:t xml:space="preserve">، </w:t>
      </w:r>
      <w:r w:rsidRPr="00822CE9">
        <w:rPr>
          <w:rFonts w:hint="cs"/>
          <w:rtl/>
        </w:rPr>
        <w:t>وهذا مدح</w:t>
      </w:r>
      <w:r w:rsidR="00041595">
        <w:rPr>
          <w:rFonts w:hint="cs"/>
          <w:rtl/>
        </w:rPr>
        <w:t>ٌ</w:t>
      </w:r>
      <w:r w:rsidRPr="00822CE9">
        <w:rPr>
          <w:rFonts w:hint="cs"/>
          <w:rtl/>
        </w:rPr>
        <w:t xml:space="preserve"> واضح للرجل ولحركته التي سيقوم بها في المستقبل.</w:t>
      </w:r>
    </w:p>
    <w:p w14:paraId="440773D1" w14:textId="77777777" w:rsidR="000A4159" w:rsidRPr="00822CE9" w:rsidRDefault="000A4159" w:rsidP="005A71F1">
      <w:pPr>
        <w:spacing w:line="214" w:lineRule="auto"/>
        <w:rPr>
          <w:rtl/>
        </w:rPr>
      </w:pPr>
      <w:r w:rsidRPr="00041595">
        <w:rPr>
          <w:rFonts w:hint="cs"/>
          <w:b/>
          <w:bCs/>
          <w:rtl/>
        </w:rPr>
        <w:t xml:space="preserve">ومشكلة هذه الرواية شبيهة بالتي سبقتها، </w:t>
      </w:r>
      <w:r w:rsidRPr="00822CE9">
        <w:rPr>
          <w:rFonts w:hint="cs"/>
          <w:rtl/>
        </w:rPr>
        <w:t>فإنّ الذي روى لنا هذه الرواية هو عمرو بن خالد نفسه، وهو من رؤساء الزيدي</w:t>
      </w:r>
      <w:r w:rsidR="00041595">
        <w:rPr>
          <w:rFonts w:hint="cs"/>
          <w:rtl/>
        </w:rPr>
        <w:t>ّ</w:t>
      </w:r>
      <w:r w:rsidRPr="00822CE9">
        <w:rPr>
          <w:rFonts w:hint="cs"/>
          <w:rtl/>
        </w:rPr>
        <w:t>ة، عن أبي الجارود وهو رأس الزيدي</w:t>
      </w:r>
      <w:r w:rsidR="00041595">
        <w:rPr>
          <w:rFonts w:hint="cs"/>
          <w:rtl/>
        </w:rPr>
        <w:t>ّ</w:t>
      </w:r>
      <w:r w:rsidRPr="00822CE9">
        <w:rPr>
          <w:rFonts w:hint="cs"/>
          <w:rtl/>
        </w:rPr>
        <w:t>ة، وكان روى الرواية عن عمرو أبو يعقوب المقري، وقد و</w:t>
      </w:r>
      <w:r w:rsidR="00041595">
        <w:rPr>
          <w:rFonts w:hint="cs"/>
          <w:rtl/>
        </w:rPr>
        <w:t>ُ</w:t>
      </w:r>
      <w:r w:rsidRPr="00822CE9">
        <w:rPr>
          <w:rFonts w:hint="cs"/>
          <w:rtl/>
        </w:rPr>
        <w:t xml:space="preserve">صف </w:t>
      </w:r>
      <w:r w:rsidR="00041595">
        <w:rPr>
          <w:rFonts w:hint="cs"/>
          <w:rtl/>
        </w:rPr>
        <w:t>ب</w:t>
      </w:r>
      <w:r w:rsidRPr="00822CE9">
        <w:rPr>
          <w:rFonts w:hint="cs"/>
          <w:rtl/>
        </w:rPr>
        <w:t>أن</w:t>
      </w:r>
      <w:r w:rsidR="00041595">
        <w:rPr>
          <w:rFonts w:hint="cs"/>
          <w:rtl/>
        </w:rPr>
        <w:t>ّ</w:t>
      </w:r>
      <w:r w:rsidRPr="00822CE9">
        <w:rPr>
          <w:rFonts w:hint="cs"/>
          <w:rtl/>
        </w:rPr>
        <w:t>ه من كبار الزيدي</w:t>
      </w:r>
      <w:r w:rsidR="00041595">
        <w:rPr>
          <w:rFonts w:hint="cs"/>
          <w:rtl/>
        </w:rPr>
        <w:t>ّ</w:t>
      </w:r>
      <w:r w:rsidRPr="00822CE9">
        <w:rPr>
          <w:rFonts w:hint="cs"/>
          <w:rtl/>
        </w:rPr>
        <w:t>ة، وفي مثل هذه الحال كيف يحصل لنا وثوق بالرواية مع كونها تدرّ نفعاً على ثلاثة ـ في الحدّ الأدنى ـ من رواتها؟! هذا فضلاً عن جهالة أبي يعقوب المقري</w:t>
      </w:r>
      <w:r w:rsidRPr="000A4159">
        <w:rPr>
          <w:rFonts w:cs="Taher"/>
          <w:vertAlign w:val="superscript"/>
          <w:rtl/>
        </w:rPr>
        <w:t>(</w:t>
      </w:r>
      <w:r w:rsidRPr="000A4159">
        <w:rPr>
          <w:rStyle w:val="FootnoteReference"/>
          <w:rFonts w:cs="Taher"/>
          <w:rtl/>
        </w:rPr>
        <w:footnoteReference w:id="57"/>
      </w:r>
      <w:r w:rsidRPr="000A4159">
        <w:rPr>
          <w:rFonts w:cs="Taher"/>
          <w:vertAlign w:val="superscript"/>
          <w:rtl/>
        </w:rPr>
        <w:t>)</w:t>
      </w:r>
      <w:r w:rsidRPr="00822CE9">
        <w:rPr>
          <w:rtl/>
        </w:rPr>
        <w:t xml:space="preserve">، </w:t>
      </w:r>
      <w:r w:rsidRPr="00822CE9">
        <w:rPr>
          <w:rFonts w:hint="cs"/>
          <w:rtl/>
        </w:rPr>
        <w:t>فيصعب الاستناد إلى مثل هذه النصوص في تحديد موقف أهل البيت من ثورة زيد.</w:t>
      </w:r>
      <w:r w:rsidR="005A71F1">
        <w:rPr>
          <w:rFonts w:hint="cs"/>
          <w:rtl/>
        </w:rPr>
        <w:t xml:space="preserve"> ونحن لا نريد رفضها لذلك، بل نريد أخذ هذا الاحتمال بعين الاعتبار في قياس درجة الوثوق بالنصوص هنا.</w:t>
      </w:r>
    </w:p>
    <w:p w14:paraId="6CF2E7F9" w14:textId="77777777" w:rsidR="000A4159" w:rsidRPr="00822CE9" w:rsidRDefault="000A4159" w:rsidP="007E79D2">
      <w:pPr>
        <w:pStyle w:val="normal84"/>
        <w:rPr>
          <w:rtl/>
        </w:rPr>
      </w:pPr>
      <w:r w:rsidRPr="00A61577">
        <w:rPr>
          <w:rFonts w:hint="cs"/>
          <w:b/>
          <w:bCs/>
          <w:rtl/>
        </w:rPr>
        <w:t>الرواية السادسة:</w:t>
      </w:r>
      <w:r w:rsidR="00A61577" w:rsidRPr="00A61577">
        <w:rPr>
          <w:rFonts w:hint="cs"/>
          <w:b/>
          <w:bCs/>
          <w:rtl/>
        </w:rPr>
        <w:t xml:space="preserve"> </w:t>
      </w:r>
      <w:r w:rsidRPr="00A61577">
        <w:rPr>
          <w:rFonts w:hint="cs"/>
          <w:b/>
          <w:bCs/>
          <w:rtl/>
        </w:rPr>
        <w:t>خبر ابن أبي عبدون</w:t>
      </w:r>
      <w:r w:rsidR="00A61577" w:rsidRPr="00A61577">
        <w:rPr>
          <w:rFonts w:hint="cs"/>
          <w:b/>
          <w:bCs/>
          <w:rtl/>
        </w:rPr>
        <w:t>،</w:t>
      </w:r>
      <w:r w:rsidRPr="00A61577">
        <w:rPr>
          <w:rFonts w:hint="cs"/>
          <w:b/>
          <w:bCs/>
          <w:rtl/>
        </w:rPr>
        <w:t xml:space="preserve"> عن أبيه</w:t>
      </w:r>
      <w:r w:rsidR="00A61577" w:rsidRPr="00A61577">
        <w:rPr>
          <w:rFonts w:hint="cs"/>
          <w:b/>
          <w:bCs/>
          <w:rtl/>
        </w:rPr>
        <w:t>،</w:t>
      </w:r>
      <w:r w:rsidRPr="00822CE9">
        <w:rPr>
          <w:rFonts w:hint="cs"/>
          <w:rtl/>
        </w:rPr>
        <w:t xml:space="preserve"> قال: لما حمل زيد بن موسى بن جعفر</w:t>
      </w:r>
      <w:r w:rsidR="008923FA" w:rsidRPr="000A4159">
        <w:rPr>
          <w:rFonts w:cs="Taher"/>
          <w:vertAlign w:val="superscript"/>
          <w:rtl/>
        </w:rPr>
        <w:t>(</w:t>
      </w:r>
      <w:r w:rsidR="008923FA" w:rsidRPr="000A4159">
        <w:rPr>
          <w:rStyle w:val="FootnoteReference"/>
          <w:rFonts w:cs="Taher"/>
          <w:rtl/>
        </w:rPr>
        <w:footnoteReference w:id="58"/>
      </w:r>
      <w:r w:rsidR="008923FA" w:rsidRPr="000A4159">
        <w:rPr>
          <w:rFonts w:cs="Taher"/>
          <w:vertAlign w:val="superscript"/>
          <w:rtl/>
        </w:rPr>
        <w:t>)</w:t>
      </w:r>
      <w:r w:rsidRPr="00822CE9">
        <w:rPr>
          <w:rFonts w:hint="cs"/>
          <w:rtl/>
        </w:rPr>
        <w:t xml:space="preserve"> إلى المأمون، وقد كان خرج بالبصرة، وأحرق</w:t>
      </w:r>
      <w:r w:rsidR="00A61577">
        <w:rPr>
          <w:rFonts w:hint="cs"/>
          <w:rtl/>
        </w:rPr>
        <w:t>َ</w:t>
      </w:r>
      <w:r w:rsidRPr="00822CE9">
        <w:rPr>
          <w:rFonts w:hint="cs"/>
          <w:rtl/>
        </w:rPr>
        <w:t xml:space="preserve"> دور </w:t>
      </w:r>
      <w:r w:rsidR="00A61577">
        <w:rPr>
          <w:rFonts w:hint="cs"/>
          <w:rtl/>
        </w:rPr>
        <w:t>ولد العباس، وهب المأ</w:t>
      </w:r>
      <w:r w:rsidRPr="00822CE9">
        <w:rPr>
          <w:rFonts w:hint="cs"/>
          <w:rtl/>
        </w:rPr>
        <w:t>مون جرمه لأخيه علي</w:t>
      </w:r>
      <w:r w:rsidR="00A61577">
        <w:rPr>
          <w:rFonts w:hint="cs"/>
          <w:rtl/>
        </w:rPr>
        <w:t>ّ</w:t>
      </w:r>
      <w:r w:rsidRPr="00822CE9">
        <w:rPr>
          <w:rFonts w:hint="cs"/>
          <w:rtl/>
        </w:rPr>
        <w:t xml:space="preserve"> بن موسى الرضا، وقال له: يا أبا الحسن</w:t>
      </w:r>
      <w:r w:rsidR="00A61577">
        <w:rPr>
          <w:rFonts w:hint="cs"/>
          <w:rtl/>
        </w:rPr>
        <w:t>،</w:t>
      </w:r>
      <w:r w:rsidRPr="00822CE9">
        <w:rPr>
          <w:rFonts w:hint="cs"/>
          <w:rtl/>
        </w:rPr>
        <w:t xml:space="preserve"> لئن خرج أخوك وفعل ما فعل</w:t>
      </w:r>
      <w:r w:rsidR="00A61577">
        <w:rPr>
          <w:rFonts w:hint="cs"/>
          <w:rtl/>
        </w:rPr>
        <w:t>،</w:t>
      </w:r>
      <w:r w:rsidRPr="00822CE9">
        <w:rPr>
          <w:rFonts w:hint="cs"/>
          <w:rtl/>
        </w:rPr>
        <w:t xml:space="preserve"> لقد خرج قبله زيد بن علي فق</w:t>
      </w:r>
      <w:r w:rsidR="00A61577">
        <w:rPr>
          <w:rFonts w:hint="cs"/>
          <w:rtl/>
        </w:rPr>
        <w:t>ُ</w:t>
      </w:r>
      <w:r w:rsidRPr="00822CE9">
        <w:rPr>
          <w:rFonts w:hint="cs"/>
          <w:rtl/>
        </w:rPr>
        <w:t>تل، ول</w:t>
      </w:r>
      <w:r w:rsidR="00A61577">
        <w:rPr>
          <w:rFonts w:hint="cs"/>
          <w:rtl/>
        </w:rPr>
        <w:t>ولا مكانك منّي لقتلته؛ فليس ما أت</w:t>
      </w:r>
      <w:r w:rsidRPr="00822CE9">
        <w:rPr>
          <w:rFonts w:hint="cs"/>
          <w:rtl/>
        </w:rPr>
        <w:t>اه بصغير</w:t>
      </w:r>
      <w:r w:rsidR="00A61577">
        <w:rPr>
          <w:rFonts w:hint="cs"/>
          <w:rtl/>
        </w:rPr>
        <w:t>.</w:t>
      </w:r>
      <w:r w:rsidRPr="00822CE9">
        <w:rPr>
          <w:rFonts w:hint="cs"/>
          <w:rtl/>
        </w:rPr>
        <w:t xml:space="preserve"> فقال الرضا</w:t>
      </w:r>
      <w:r w:rsidR="009A1626" w:rsidRPr="00822CE9">
        <w:rPr>
          <w:rFonts w:hint="cs"/>
          <w:rtl/>
        </w:rPr>
        <w:t>×</w:t>
      </w:r>
      <w:r w:rsidRPr="00822CE9">
        <w:rPr>
          <w:rFonts w:hint="cs"/>
          <w:rtl/>
        </w:rPr>
        <w:t xml:space="preserve">: </w:t>
      </w:r>
      <w:r w:rsidR="00A61577">
        <w:rPr>
          <w:rFonts w:hint="eastAsia"/>
          <w:rtl/>
        </w:rPr>
        <w:t>«</w:t>
      </w:r>
      <w:r w:rsidRPr="00822CE9">
        <w:rPr>
          <w:rFonts w:hint="cs"/>
          <w:rtl/>
        </w:rPr>
        <w:t>يا أمير المؤمنين</w:t>
      </w:r>
      <w:r w:rsidR="00A61577">
        <w:rPr>
          <w:rFonts w:hint="cs"/>
          <w:rtl/>
        </w:rPr>
        <w:t>،</w:t>
      </w:r>
      <w:r w:rsidRPr="00822CE9">
        <w:rPr>
          <w:rFonts w:hint="cs"/>
          <w:rtl/>
        </w:rPr>
        <w:t xml:space="preserve"> لا تقس أخي زيداً إلى زيد بن علي؛ فإن</w:t>
      </w:r>
      <w:r w:rsidR="00A61577">
        <w:rPr>
          <w:rFonts w:hint="cs"/>
          <w:rtl/>
        </w:rPr>
        <w:t>ّ</w:t>
      </w:r>
      <w:r w:rsidRPr="00822CE9">
        <w:rPr>
          <w:rFonts w:hint="cs"/>
          <w:rtl/>
        </w:rPr>
        <w:t>ه كان من علماء آل محم</w:t>
      </w:r>
      <w:r w:rsidR="00A61577">
        <w:rPr>
          <w:rFonts w:hint="cs"/>
          <w:rtl/>
        </w:rPr>
        <w:t>ّ</w:t>
      </w:r>
      <w:r w:rsidRPr="00822CE9">
        <w:rPr>
          <w:rFonts w:hint="cs"/>
          <w:rtl/>
        </w:rPr>
        <w:t>د، غضب لله عز</w:t>
      </w:r>
      <w:r w:rsidR="00A61577">
        <w:rPr>
          <w:rFonts w:hint="cs"/>
          <w:rtl/>
        </w:rPr>
        <w:t>ّ</w:t>
      </w:r>
      <w:r w:rsidRPr="00822CE9">
        <w:rPr>
          <w:rFonts w:hint="cs"/>
          <w:rtl/>
        </w:rPr>
        <w:t xml:space="preserve"> وجل، فجاهد أعداءه </w:t>
      </w:r>
      <w:r w:rsidRPr="00822CE9">
        <w:rPr>
          <w:rFonts w:hint="cs"/>
          <w:rtl/>
        </w:rPr>
        <w:lastRenderedPageBreak/>
        <w:t>حتى ق</w:t>
      </w:r>
      <w:r w:rsidR="00A61577">
        <w:rPr>
          <w:rFonts w:hint="cs"/>
          <w:rtl/>
        </w:rPr>
        <w:t>ُ</w:t>
      </w:r>
      <w:r w:rsidRPr="00822CE9">
        <w:rPr>
          <w:rFonts w:hint="cs"/>
          <w:rtl/>
        </w:rPr>
        <w:t>تل في سبيله، ولقد حد</w:t>
      </w:r>
      <w:r w:rsidR="00A61577">
        <w:rPr>
          <w:rFonts w:hint="cs"/>
          <w:rtl/>
        </w:rPr>
        <w:t>ّ</w:t>
      </w:r>
      <w:r w:rsidRPr="00822CE9">
        <w:rPr>
          <w:rFonts w:hint="cs"/>
          <w:rtl/>
        </w:rPr>
        <w:t>ثني أبي موسى بن جعفر أن</w:t>
      </w:r>
      <w:r w:rsidR="00A61577">
        <w:rPr>
          <w:rFonts w:hint="cs"/>
          <w:rtl/>
        </w:rPr>
        <w:t>ّ</w:t>
      </w:r>
      <w:r w:rsidRPr="00822CE9">
        <w:rPr>
          <w:rFonts w:hint="cs"/>
          <w:rtl/>
        </w:rPr>
        <w:t>ه سمع أباه جعفر بن محم</w:t>
      </w:r>
      <w:r w:rsidR="00A61577">
        <w:rPr>
          <w:rFonts w:hint="cs"/>
          <w:rtl/>
        </w:rPr>
        <w:t>ّ</w:t>
      </w:r>
      <w:r w:rsidRPr="00822CE9">
        <w:rPr>
          <w:rFonts w:hint="cs"/>
          <w:rtl/>
        </w:rPr>
        <w:t>د بن علي</w:t>
      </w:r>
      <w:r w:rsidR="00A61577">
        <w:rPr>
          <w:rFonts w:hint="cs"/>
          <w:rtl/>
        </w:rPr>
        <w:t>،</w:t>
      </w:r>
      <w:r w:rsidRPr="00822CE9">
        <w:rPr>
          <w:rFonts w:hint="cs"/>
          <w:rtl/>
        </w:rPr>
        <w:t xml:space="preserve"> يقول: رحم الله عمّي زيداً</w:t>
      </w:r>
      <w:r w:rsidR="00A61577">
        <w:rPr>
          <w:rFonts w:hint="cs"/>
          <w:rtl/>
        </w:rPr>
        <w:t>،</w:t>
      </w:r>
      <w:r w:rsidRPr="00822CE9">
        <w:rPr>
          <w:rFonts w:hint="cs"/>
          <w:rtl/>
        </w:rPr>
        <w:t xml:space="preserve"> إن</w:t>
      </w:r>
      <w:r w:rsidR="00A61577">
        <w:rPr>
          <w:rFonts w:hint="cs"/>
          <w:rtl/>
        </w:rPr>
        <w:t>ّ</w:t>
      </w:r>
      <w:r w:rsidRPr="00822CE9">
        <w:rPr>
          <w:rFonts w:hint="cs"/>
          <w:rtl/>
        </w:rPr>
        <w:t>ه دعا إلى الرضا من آل محم</w:t>
      </w:r>
      <w:r w:rsidR="00A61577">
        <w:rPr>
          <w:rFonts w:hint="cs"/>
          <w:rtl/>
        </w:rPr>
        <w:t>ّ</w:t>
      </w:r>
      <w:r w:rsidRPr="00822CE9">
        <w:rPr>
          <w:rFonts w:hint="cs"/>
          <w:rtl/>
        </w:rPr>
        <w:t>د</w:t>
      </w:r>
      <w:r w:rsidR="00A61577">
        <w:rPr>
          <w:rFonts w:hint="cs"/>
          <w:rtl/>
        </w:rPr>
        <w:t>،</w:t>
      </w:r>
      <w:r w:rsidRPr="00822CE9">
        <w:rPr>
          <w:rFonts w:hint="cs"/>
          <w:rtl/>
        </w:rPr>
        <w:t xml:space="preserve"> ولقد استشار</w:t>
      </w:r>
      <w:r w:rsidR="00A61577">
        <w:rPr>
          <w:rFonts w:hint="cs"/>
          <w:rtl/>
        </w:rPr>
        <w:t>ني</w:t>
      </w:r>
      <w:r w:rsidRPr="00822CE9">
        <w:rPr>
          <w:rFonts w:hint="cs"/>
          <w:rtl/>
        </w:rPr>
        <w:t xml:space="preserve"> في خروجه، فقلت له: يا عم</w:t>
      </w:r>
      <w:r w:rsidR="00A61577">
        <w:rPr>
          <w:rFonts w:hint="cs"/>
          <w:rtl/>
        </w:rPr>
        <w:t>ّ، إ</w:t>
      </w:r>
      <w:r w:rsidRPr="00822CE9">
        <w:rPr>
          <w:rFonts w:hint="cs"/>
          <w:rtl/>
        </w:rPr>
        <w:t>ن رضيت</w:t>
      </w:r>
      <w:r w:rsidR="00A61577">
        <w:rPr>
          <w:rFonts w:hint="cs"/>
          <w:rtl/>
        </w:rPr>
        <w:t>َ</w:t>
      </w:r>
      <w:r w:rsidRPr="00822CE9">
        <w:rPr>
          <w:rFonts w:hint="cs"/>
          <w:rtl/>
        </w:rPr>
        <w:t xml:space="preserve"> أن تكون المقتول المصلوب في الك</w:t>
      </w:r>
      <w:r w:rsidR="00A61577">
        <w:rPr>
          <w:rFonts w:hint="cs"/>
          <w:rtl/>
        </w:rPr>
        <w:t>ُ</w:t>
      </w:r>
      <w:r w:rsidRPr="00822CE9">
        <w:rPr>
          <w:rFonts w:hint="cs"/>
          <w:rtl/>
        </w:rPr>
        <w:t>ناسة</w:t>
      </w:r>
      <w:r w:rsidR="006C028A" w:rsidRPr="000A4159">
        <w:rPr>
          <w:rFonts w:cs="Taher"/>
          <w:vertAlign w:val="superscript"/>
          <w:rtl/>
        </w:rPr>
        <w:t>(</w:t>
      </w:r>
      <w:r w:rsidR="006C028A" w:rsidRPr="000A4159">
        <w:rPr>
          <w:rStyle w:val="FootnoteReference"/>
          <w:rFonts w:cs="Taher"/>
          <w:rtl/>
        </w:rPr>
        <w:footnoteReference w:id="59"/>
      </w:r>
      <w:r w:rsidR="006C028A" w:rsidRPr="000A4159">
        <w:rPr>
          <w:rFonts w:cs="Taher"/>
          <w:vertAlign w:val="superscript"/>
          <w:rtl/>
        </w:rPr>
        <w:t>)</w:t>
      </w:r>
      <w:r w:rsidR="00A61577">
        <w:rPr>
          <w:rFonts w:hint="cs"/>
          <w:rtl/>
        </w:rPr>
        <w:t>،</w:t>
      </w:r>
      <w:r w:rsidRPr="00822CE9">
        <w:rPr>
          <w:rFonts w:hint="cs"/>
          <w:rtl/>
        </w:rPr>
        <w:t xml:space="preserve"> فشأنك</w:t>
      </w:r>
      <w:r w:rsidR="00A61577">
        <w:rPr>
          <w:rFonts w:hint="cs"/>
          <w:rtl/>
        </w:rPr>
        <w:t>، فلمّا</w:t>
      </w:r>
      <w:r w:rsidRPr="00822CE9">
        <w:rPr>
          <w:rFonts w:hint="cs"/>
          <w:rtl/>
        </w:rPr>
        <w:t xml:space="preserve"> ول</w:t>
      </w:r>
      <w:r w:rsidR="00A61577">
        <w:rPr>
          <w:rFonts w:hint="cs"/>
          <w:rtl/>
        </w:rPr>
        <w:t>ّ</w:t>
      </w:r>
      <w:r w:rsidRPr="00822CE9">
        <w:rPr>
          <w:rFonts w:hint="cs"/>
          <w:rtl/>
        </w:rPr>
        <w:t xml:space="preserve">ى، قال جعفر بن </w:t>
      </w:r>
      <w:r w:rsidRPr="00822CE9">
        <w:rPr>
          <w:rFonts w:hint="cs"/>
          <w:rtl/>
        </w:rPr>
        <w:lastRenderedPageBreak/>
        <w:t>محم</w:t>
      </w:r>
      <w:r w:rsidR="00A61577">
        <w:rPr>
          <w:rFonts w:hint="cs"/>
          <w:rtl/>
        </w:rPr>
        <w:t>ّ</w:t>
      </w:r>
      <w:r w:rsidRPr="00822CE9">
        <w:rPr>
          <w:rFonts w:hint="cs"/>
          <w:rtl/>
        </w:rPr>
        <w:t>د: ويل</w:t>
      </w:r>
      <w:r w:rsidR="00A61577">
        <w:rPr>
          <w:rFonts w:hint="cs"/>
          <w:rtl/>
        </w:rPr>
        <w:t>ٌ لمن سمع واعيته فلم يج</w:t>
      </w:r>
      <w:r w:rsidRPr="00822CE9">
        <w:rPr>
          <w:rFonts w:hint="cs"/>
          <w:rtl/>
        </w:rPr>
        <w:t>به..»</w:t>
      </w:r>
      <w:r w:rsidRPr="000A4159">
        <w:rPr>
          <w:rFonts w:cs="Taher"/>
          <w:vertAlign w:val="superscript"/>
          <w:rtl/>
        </w:rPr>
        <w:t>(</w:t>
      </w:r>
      <w:r w:rsidRPr="000A4159">
        <w:rPr>
          <w:rStyle w:val="FootnoteReference"/>
          <w:rFonts w:cs="Taher"/>
          <w:rtl/>
        </w:rPr>
        <w:footnoteReference w:id="60"/>
      </w:r>
      <w:r w:rsidRPr="000A4159">
        <w:rPr>
          <w:rFonts w:cs="Taher"/>
          <w:vertAlign w:val="superscript"/>
          <w:rtl/>
        </w:rPr>
        <w:t>)</w:t>
      </w:r>
      <w:r w:rsidRPr="00822CE9">
        <w:rPr>
          <w:rtl/>
        </w:rPr>
        <w:t>.</w:t>
      </w:r>
    </w:p>
    <w:p w14:paraId="3DBA2D80" w14:textId="77777777" w:rsidR="00A61577" w:rsidRDefault="000A4159" w:rsidP="007E79D2">
      <w:pPr>
        <w:pStyle w:val="normal870"/>
        <w:rPr>
          <w:rtl/>
        </w:rPr>
      </w:pPr>
      <w:r w:rsidRPr="00822CE9">
        <w:rPr>
          <w:rFonts w:hint="cs"/>
          <w:rtl/>
        </w:rPr>
        <w:t>فهذه الرواية واضحة في أن</w:t>
      </w:r>
      <w:r w:rsidR="00A61577">
        <w:rPr>
          <w:rFonts w:hint="cs"/>
          <w:rtl/>
        </w:rPr>
        <w:t>ّ</w:t>
      </w:r>
      <w:r w:rsidRPr="00822CE9">
        <w:rPr>
          <w:rFonts w:hint="cs"/>
          <w:rtl/>
        </w:rPr>
        <w:t xml:space="preserve"> الإمام الصادق لم يرفض ثورة زيد، ولم ي</w:t>
      </w:r>
      <w:r w:rsidR="00A61577">
        <w:rPr>
          <w:rFonts w:hint="cs"/>
          <w:rtl/>
        </w:rPr>
        <w:t xml:space="preserve">حذّره </w:t>
      </w:r>
      <w:r w:rsidRPr="00822CE9">
        <w:rPr>
          <w:rFonts w:hint="cs"/>
          <w:rtl/>
        </w:rPr>
        <w:t>من هذا الفعل، ولم يذكر أن</w:t>
      </w:r>
      <w:r w:rsidR="00A61577">
        <w:rPr>
          <w:rFonts w:hint="cs"/>
          <w:rtl/>
        </w:rPr>
        <w:t>ّ</w:t>
      </w:r>
      <w:r w:rsidRPr="00822CE9">
        <w:rPr>
          <w:rFonts w:hint="cs"/>
          <w:rtl/>
        </w:rPr>
        <w:t>ه حرام أو مكروه، كل</w:t>
      </w:r>
      <w:r w:rsidR="00A61577">
        <w:rPr>
          <w:rFonts w:hint="cs"/>
          <w:rtl/>
        </w:rPr>
        <w:t>ّ</w:t>
      </w:r>
      <w:r w:rsidRPr="00822CE9">
        <w:rPr>
          <w:rFonts w:hint="cs"/>
          <w:rtl/>
        </w:rPr>
        <w:t xml:space="preserve"> ما في الأمر أ</w:t>
      </w:r>
      <w:r w:rsidR="00A61577">
        <w:rPr>
          <w:rFonts w:hint="cs"/>
          <w:rtl/>
        </w:rPr>
        <w:t>ّ</w:t>
      </w:r>
      <w:r w:rsidRPr="00822CE9">
        <w:rPr>
          <w:rFonts w:hint="cs"/>
          <w:rtl/>
        </w:rPr>
        <w:t>نه ذكر له نتائج المعركة، وأن</w:t>
      </w:r>
      <w:r w:rsidR="00A61577">
        <w:rPr>
          <w:rFonts w:hint="cs"/>
          <w:rtl/>
        </w:rPr>
        <w:t>ّ</w:t>
      </w:r>
      <w:r w:rsidRPr="00822CE9">
        <w:rPr>
          <w:rFonts w:hint="cs"/>
          <w:rtl/>
        </w:rPr>
        <w:t>ها سوف تكون لصالح العدو</w:t>
      </w:r>
      <w:r w:rsidR="00A61577">
        <w:rPr>
          <w:rFonts w:hint="cs"/>
          <w:rtl/>
        </w:rPr>
        <w:t>ّ، فمثل هذا النصّ يعطي إيح</w:t>
      </w:r>
      <w:r w:rsidRPr="00822CE9">
        <w:rPr>
          <w:rFonts w:hint="cs"/>
          <w:rtl/>
        </w:rPr>
        <w:t xml:space="preserve">اءً بالموافقة، </w:t>
      </w:r>
      <w:r w:rsidR="00A61577">
        <w:rPr>
          <w:rFonts w:hint="cs"/>
          <w:rtl/>
        </w:rPr>
        <w:t xml:space="preserve">دون </w:t>
      </w:r>
      <w:r w:rsidRPr="00822CE9">
        <w:rPr>
          <w:rFonts w:hint="cs"/>
          <w:rtl/>
        </w:rPr>
        <w:t xml:space="preserve">المخالفة، </w:t>
      </w:r>
      <w:r w:rsidR="00A61577">
        <w:rPr>
          <w:rFonts w:hint="cs"/>
          <w:rtl/>
        </w:rPr>
        <w:t xml:space="preserve">كيف وقد وجبت إجابته لدعوته عند خروجه. </w:t>
      </w:r>
      <w:r w:rsidRPr="00822CE9">
        <w:rPr>
          <w:rFonts w:hint="cs"/>
          <w:rtl/>
        </w:rPr>
        <w:t>كما أنّ كلام الرضا نفسه واضح</w:t>
      </w:r>
      <w:r w:rsidR="00A61577">
        <w:rPr>
          <w:rFonts w:hint="cs"/>
          <w:rtl/>
        </w:rPr>
        <w:t>ٌ</w:t>
      </w:r>
      <w:r w:rsidRPr="00822CE9">
        <w:rPr>
          <w:rFonts w:hint="cs"/>
          <w:rtl/>
        </w:rPr>
        <w:t xml:space="preserve"> في المدح وتصويب سياسة زيد الثوري</w:t>
      </w:r>
      <w:r w:rsidR="00A61577">
        <w:rPr>
          <w:rFonts w:hint="cs"/>
          <w:rtl/>
        </w:rPr>
        <w:t>ّ</w:t>
      </w:r>
      <w:r w:rsidRPr="00822CE9">
        <w:rPr>
          <w:rFonts w:hint="cs"/>
          <w:rtl/>
        </w:rPr>
        <w:t>ة</w:t>
      </w:r>
      <w:r w:rsidR="00302DD9">
        <w:rPr>
          <w:rFonts w:hint="cs"/>
          <w:rtl/>
        </w:rPr>
        <w:t xml:space="preserve"> وتمييز زيد بن علي عن زيد النار في شخصه وفي حركته</w:t>
      </w:r>
      <w:r w:rsidRPr="00822CE9">
        <w:rPr>
          <w:rFonts w:hint="cs"/>
          <w:rtl/>
        </w:rPr>
        <w:t>.</w:t>
      </w:r>
    </w:p>
    <w:p w14:paraId="2A704CA9" w14:textId="77777777" w:rsidR="00E94EB7" w:rsidRDefault="000A4159" w:rsidP="007E79D2">
      <w:pPr>
        <w:rPr>
          <w:rtl/>
        </w:rPr>
      </w:pPr>
      <w:r w:rsidRPr="008745E3">
        <w:rPr>
          <w:rFonts w:hint="cs"/>
          <w:b/>
          <w:bCs/>
          <w:rtl/>
        </w:rPr>
        <w:t>لكن</w:t>
      </w:r>
      <w:r w:rsidR="00A61577" w:rsidRPr="008745E3">
        <w:rPr>
          <w:rFonts w:hint="cs"/>
          <w:b/>
          <w:bCs/>
          <w:rtl/>
        </w:rPr>
        <w:t>ّ</w:t>
      </w:r>
      <w:r w:rsidRPr="008745E3">
        <w:rPr>
          <w:rFonts w:hint="cs"/>
          <w:b/>
          <w:bCs/>
          <w:rtl/>
        </w:rPr>
        <w:t xml:space="preserve"> مشكلة هذه الرواية </w:t>
      </w:r>
      <w:r w:rsidRPr="00822CE9">
        <w:rPr>
          <w:rFonts w:hint="cs"/>
          <w:rtl/>
        </w:rPr>
        <w:t>أنّها أيضاً ضعيفة السند، فمحم</w:t>
      </w:r>
      <w:r w:rsidR="008745E3">
        <w:rPr>
          <w:rFonts w:hint="cs"/>
          <w:rtl/>
        </w:rPr>
        <w:t>ّ</w:t>
      </w:r>
      <w:r w:rsidRPr="00822CE9">
        <w:rPr>
          <w:rFonts w:hint="cs"/>
          <w:rtl/>
        </w:rPr>
        <w:t xml:space="preserve">د بن يحيى </w:t>
      </w:r>
      <w:r w:rsidR="008745E3">
        <w:rPr>
          <w:rFonts w:hint="cs"/>
          <w:rtl/>
        </w:rPr>
        <w:t>ا</w:t>
      </w:r>
      <w:r w:rsidRPr="00822CE9">
        <w:rPr>
          <w:rFonts w:hint="cs"/>
          <w:rtl/>
        </w:rPr>
        <w:t>لصولي الوارد فيها م</w:t>
      </w:r>
      <w:r w:rsidR="00103F43">
        <w:rPr>
          <w:rFonts w:hint="cs"/>
          <w:rtl/>
        </w:rPr>
        <w:t>همل</w:t>
      </w:r>
      <w:r w:rsidR="00E94EB7">
        <w:rPr>
          <w:rFonts w:hint="cs"/>
          <w:rtl/>
        </w:rPr>
        <w:t xml:space="preserve"> شيعيّاً</w:t>
      </w:r>
      <w:r w:rsidRPr="000A4159">
        <w:rPr>
          <w:rFonts w:cs="Taher"/>
          <w:vertAlign w:val="superscript"/>
          <w:rtl/>
        </w:rPr>
        <w:t>(</w:t>
      </w:r>
      <w:r w:rsidRPr="000A4159">
        <w:rPr>
          <w:rStyle w:val="FootnoteReference"/>
          <w:rFonts w:cs="Taher"/>
          <w:rtl/>
        </w:rPr>
        <w:footnoteReference w:id="61"/>
      </w:r>
      <w:r w:rsidRPr="000A4159">
        <w:rPr>
          <w:rFonts w:cs="Taher"/>
          <w:vertAlign w:val="superscript"/>
          <w:rtl/>
        </w:rPr>
        <w:t>)</w:t>
      </w:r>
      <w:r w:rsidRPr="00822CE9">
        <w:rPr>
          <w:rtl/>
        </w:rPr>
        <w:t xml:space="preserve">، </w:t>
      </w:r>
      <w:r w:rsidR="00E94EB7">
        <w:rPr>
          <w:rFonts w:hint="cs"/>
          <w:rtl/>
        </w:rPr>
        <w:t xml:space="preserve">لكن قال الخطيب البغدادي ـ ولعلّه يقصده ـ: </w:t>
      </w:r>
      <w:r w:rsidR="00E94EB7">
        <w:rPr>
          <w:rFonts w:hint="eastAsia"/>
          <w:rtl/>
        </w:rPr>
        <w:t>«</w:t>
      </w:r>
      <w:r w:rsidR="00E94EB7" w:rsidRPr="00E94EB7">
        <w:rPr>
          <w:rtl/>
        </w:rPr>
        <w:t>محم</w:t>
      </w:r>
      <w:r w:rsidR="00E94EB7">
        <w:rPr>
          <w:rFonts w:hint="cs"/>
          <w:rtl/>
        </w:rPr>
        <w:t>ّ</w:t>
      </w:r>
      <w:r w:rsidR="00E94EB7" w:rsidRPr="00E94EB7">
        <w:rPr>
          <w:rtl/>
        </w:rPr>
        <w:t>د بن يحيى بن عبد الله بن العباس بن محمد بن صول، أبو بكر</w:t>
      </w:r>
      <w:r w:rsidR="00E94EB7">
        <w:rPr>
          <w:rFonts w:hint="cs"/>
          <w:rtl/>
        </w:rPr>
        <w:t xml:space="preserve"> </w:t>
      </w:r>
      <w:r w:rsidR="00E94EB7" w:rsidRPr="00E94EB7">
        <w:rPr>
          <w:rtl/>
        </w:rPr>
        <w:t>المعروف بالصولي:</w:t>
      </w:r>
      <w:r w:rsidR="00E94EB7">
        <w:rPr>
          <w:rFonts w:hint="cs"/>
          <w:rtl/>
        </w:rPr>
        <w:t xml:space="preserve"> </w:t>
      </w:r>
      <w:r w:rsidR="00E94EB7">
        <w:rPr>
          <w:rtl/>
        </w:rPr>
        <w:t>كان أحد العلماء بفنون الآداب</w:t>
      </w:r>
      <w:r w:rsidR="00E94EB7" w:rsidRPr="00E94EB7">
        <w:rPr>
          <w:rtl/>
        </w:rPr>
        <w:t>، حسن المعرفة بأخبار الملوك وأيام الخلفاء، ومآثر</w:t>
      </w:r>
      <w:r w:rsidR="00E94EB7">
        <w:rPr>
          <w:rFonts w:hint="cs"/>
          <w:rtl/>
        </w:rPr>
        <w:t xml:space="preserve"> </w:t>
      </w:r>
      <w:r w:rsidR="00E94EB7" w:rsidRPr="00E94EB7">
        <w:rPr>
          <w:rtl/>
        </w:rPr>
        <w:t>الأشراف وطبقات الشعراء</w:t>
      </w:r>
      <w:r w:rsidR="00E94EB7">
        <w:rPr>
          <w:rFonts w:hint="cs"/>
          <w:rtl/>
        </w:rPr>
        <w:t xml:space="preserve">.. </w:t>
      </w:r>
      <w:r w:rsidR="00E94EB7" w:rsidRPr="00E94EB7">
        <w:rPr>
          <w:rtl/>
        </w:rPr>
        <w:t>وكان واسع الرواية، حسن الحفظ للآداب، حاذقا</w:t>
      </w:r>
      <w:r w:rsidR="00E94EB7">
        <w:rPr>
          <w:rFonts w:hint="cs"/>
          <w:rtl/>
        </w:rPr>
        <w:t>ً</w:t>
      </w:r>
      <w:r w:rsidR="00E94EB7" w:rsidRPr="00E94EB7">
        <w:rPr>
          <w:rtl/>
        </w:rPr>
        <w:t xml:space="preserve"> بتصنيف الكتب ووضع الأشياء</w:t>
      </w:r>
      <w:r w:rsidR="00E94EB7">
        <w:rPr>
          <w:rFonts w:hint="cs"/>
          <w:rtl/>
        </w:rPr>
        <w:t xml:space="preserve"> </w:t>
      </w:r>
      <w:r w:rsidR="00E94EB7" w:rsidRPr="00E94EB7">
        <w:rPr>
          <w:rtl/>
        </w:rPr>
        <w:t>منها مواضعها، ونادم عد</w:t>
      </w:r>
      <w:r w:rsidR="00E94EB7">
        <w:rPr>
          <w:rFonts w:hint="cs"/>
          <w:rtl/>
        </w:rPr>
        <w:t>ّ</w:t>
      </w:r>
      <w:r w:rsidR="00E94EB7" w:rsidRPr="00E94EB7">
        <w:rPr>
          <w:rtl/>
        </w:rPr>
        <w:t>ة من الخلفاء، وصن</w:t>
      </w:r>
      <w:r w:rsidR="00E94EB7">
        <w:rPr>
          <w:rFonts w:hint="cs"/>
          <w:rtl/>
        </w:rPr>
        <w:t>ّ</w:t>
      </w:r>
      <w:r w:rsidR="00E94EB7" w:rsidRPr="00E94EB7">
        <w:rPr>
          <w:rtl/>
        </w:rPr>
        <w:t>ف أخبارهم وسيرهم، وجمع أشعارهم،</w:t>
      </w:r>
      <w:r w:rsidR="00E94EB7">
        <w:rPr>
          <w:rFonts w:hint="cs"/>
          <w:rtl/>
        </w:rPr>
        <w:t xml:space="preserve"> </w:t>
      </w:r>
      <w:r w:rsidR="00E94EB7" w:rsidRPr="00E94EB7">
        <w:rPr>
          <w:rtl/>
        </w:rPr>
        <w:t>ودو</w:t>
      </w:r>
      <w:r w:rsidR="00E94EB7">
        <w:rPr>
          <w:rFonts w:hint="cs"/>
          <w:rtl/>
        </w:rPr>
        <w:t>ّ</w:t>
      </w:r>
      <w:r w:rsidR="00E94EB7" w:rsidRPr="00E94EB7">
        <w:rPr>
          <w:rtl/>
        </w:rPr>
        <w:t>ن أخبار من تقد</w:t>
      </w:r>
      <w:r w:rsidR="00E94EB7">
        <w:rPr>
          <w:rFonts w:hint="cs"/>
          <w:rtl/>
        </w:rPr>
        <w:t>ّ</w:t>
      </w:r>
      <w:r w:rsidR="00E94EB7" w:rsidRPr="00E94EB7">
        <w:rPr>
          <w:rtl/>
        </w:rPr>
        <w:t>م وتأخر من الشعراء، والوزراء، والكتاب، والرؤساء، وكان</w:t>
      </w:r>
      <w:r w:rsidR="00E94EB7">
        <w:rPr>
          <w:rFonts w:hint="cs"/>
          <w:rtl/>
        </w:rPr>
        <w:t xml:space="preserve"> </w:t>
      </w:r>
      <w:r w:rsidR="00E94EB7" w:rsidRPr="00E94EB7">
        <w:rPr>
          <w:rtl/>
        </w:rPr>
        <w:t>حسن الاعتقاد جميل الطريقة، مقبول القول.</w:t>
      </w:r>
      <w:r w:rsidR="00E94EB7">
        <w:rPr>
          <w:rFonts w:hint="cs"/>
          <w:rtl/>
        </w:rPr>
        <w:t>.</w:t>
      </w:r>
      <w:r w:rsidR="00E94EB7">
        <w:rPr>
          <w:rFonts w:hint="eastAsia"/>
          <w:rtl/>
        </w:rPr>
        <w:t>»</w:t>
      </w:r>
      <w:r w:rsidR="00E94EB7" w:rsidRPr="000A4159">
        <w:rPr>
          <w:rFonts w:cs="Taher"/>
          <w:vertAlign w:val="superscript"/>
          <w:rtl/>
        </w:rPr>
        <w:t>(</w:t>
      </w:r>
      <w:r w:rsidR="00E94EB7" w:rsidRPr="000A4159">
        <w:rPr>
          <w:rStyle w:val="FootnoteReference"/>
          <w:rFonts w:cs="Taher"/>
          <w:rtl/>
        </w:rPr>
        <w:footnoteReference w:id="62"/>
      </w:r>
      <w:r w:rsidR="00E94EB7" w:rsidRPr="000A4159">
        <w:rPr>
          <w:rFonts w:cs="Taher"/>
          <w:vertAlign w:val="superscript"/>
          <w:rtl/>
        </w:rPr>
        <w:t>)</w:t>
      </w:r>
      <w:r w:rsidR="00E94EB7">
        <w:rPr>
          <w:rFonts w:hint="cs"/>
          <w:rtl/>
        </w:rPr>
        <w:t>.</w:t>
      </w:r>
      <w:r w:rsidR="00E94EB7" w:rsidRPr="00E94EB7">
        <w:rPr>
          <w:rtl/>
        </w:rPr>
        <w:t xml:space="preserve"> </w:t>
      </w:r>
    </w:p>
    <w:p w14:paraId="3139BBF9" w14:textId="77777777" w:rsidR="000A4159" w:rsidRPr="00822CE9" w:rsidRDefault="000A4159" w:rsidP="007E79D2">
      <w:pPr>
        <w:rPr>
          <w:rtl/>
        </w:rPr>
      </w:pPr>
      <w:r w:rsidRPr="00822CE9">
        <w:rPr>
          <w:rFonts w:hint="cs"/>
          <w:rtl/>
        </w:rPr>
        <w:t>كما أن</w:t>
      </w:r>
      <w:r w:rsidR="008745E3">
        <w:rPr>
          <w:rFonts w:hint="cs"/>
          <w:rtl/>
        </w:rPr>
        <w:t>ّ</w:t>
      </w:r>
      <w:r w:rsidRPr="00822CE9">
        <w:rPr>
          <w:rFonts w:hint="cs"/>
          <w:rtl/>
        </w:rPr>
        <w:t xml:space="preserve"> محم</w:t>
      </w:r>
      <w:r w:rsidR="008745E3">
        <w:rPr>
          <w:rFonts w:hint="cs"/>
          <w:rtl/>
        </w:rPr>
        <w:t>ّ</w:t>
      </w:r>
      <w:r w:rsidRPr="00822CE9">
        <w:rPr>
          <w:rFonts w:hint="cs"/>
          <w:rtl/>
        </w:rPr>
        <w:t xml:space="preserve">د </w:t>
      </w:r>
      <w:r w:rsidR="008745E3">
        <w:rPr>
          <w:rFonts w:hint="cs"/>
          <w:rtl/>
        </w:rPr>
        <w:t>بن يزيد النحوي الوارد في السند أ</w:t>
      </w:r>
      <w:r w:rsidRPr="00822CE9">
        <w:rPr>
          <w:rFonts w:hint="cs"/>
          <w:rtl/>
        </w:rPr>
        <w:t>يضاً لم يتعرّض له رجالي</w:t>
      </w:r>
      <w:r w:rsidR="008745E3">
        <w:rPr>
          <w:rFonts w:hint="cs"/>
          <w:rtl/>
        </w:rPr>
        <w:t>ّ</w:t>
      </w:r>
      <w:r w:rsidRPr="00822CE9">
        <w:rPr>
          <w:rFonts w:hint="cs"/>
          <w:rtl/>
        </w:rPr>
        <w:t>و السن</w:t>
      </w:r>
      <w:r w:rsidR="008745E3">
        <w:rPr>
          <w:rFonts w:hint="cs"/>
          <w:rtl/>
        </w:rPr>
        <w:t>ّ</w:t>
      </w:r>
      <w:r w:rsidRPr="00822CE9">
        <w:rPr>
          <w:rFonts w:hint="cs"/>
          <w:rtl/>
        </w:rPr>
        <w:t>ة والشيعة، فهو مهمل</w:t>
      </w:r>
      <w:r w:rsidRPr="000A4159">
        <w:rPr>
          <w:rFonts w:cs="Taher"/>
          <w:vertAlign w:val="superscript"/>
          <w:rtl/>
        </w:rPr>
        <w:t>(</w:t>
      </w:r>
      <w:r w:rsidRPr="000A4159">
        <w:rPr>
          <w:rStyle w:val="FootnoteReference"/>
          <w:rFonts w:cs="Taher"/>
          <w:rtl/>
        </w:rPr>
        <w:footnoteReference w:id="63"/>
      </w:r>
      <w:r w:rsidRPr="000A4159">
        <w:rPr>
          <w:rFonts w:cs="Taher"/>
          <w:vertAlign w:val="superscript"/>
          <w:rtl/>
        </w:rPr>
        <w:t>)</w:t>
      </w:r>
      <w:r w:rsidRPr="00822CE9">
        <w:rPr>
          <w:rtl/>
        </w:rPr>
        <w:t xml:space="preserve">، </w:t>
      </w:r>
      <w:r w:rsidRPr="00822CE9">
        <w:rPr>
          <w:rFonts w:hint="cs"/>
          <w:rtl/>
        </w:rPr>
        <w:t>بل قيل: إن</w:t>
      </w:r>
      <w:r w:rsidR="008745E3">
        <w:rPr>
          <w:rFonts w:hint="cs"/>
          <w:rtl/>
        </w:rPr>
        <w:t>ّ</w:t>
      </w:r>
      <w:r w:rsidRPr="00822CE9">
        <w:rPr>
          <w:rFonts w:hint="cs"/>
          <w:rtl/>
        </w:rPr>
        <w:t>ه منحرف</w:t>
      </w:r>
      <w:r w:rsidR="008745E3">
        <w:rPr>
          <w:rFonts w:hint="cs"/>
          <w:rtl/>
        </w:rPr>
        <w:t>ٌ</w:t>
      </w:r>
      <w:r w:rsidRPr="00822CE9">
        <w:rPr>
          <w:rFonts w:hint="cs"/>
          <w:rtl/>
        </w:rPr>
        <w:t xml:space="preserve"> ناصبي</w:t>
      </w:r>
      <w:r w:rsidRPr="000A4159">
        <w:rPr>
          <w:rFonts w:cs="Taher"/>
          <w:vertAlign w:val="superscript"/>
          <w:rtl/>
        </w:rPr>
        <w:t>(</w:t>
      </w:r>
      <w:r w:rsidRPr="000A4159">
        <w:rPr>
          <w:rStyle w:val="FootnoteReference"/>
          <w:rFonts w:cs="Taher"/>
          <w:rtl/>
        </w:rPr>
        <w:footnoteReference w:id="64"/>
      </w:r>
      <w:r w:rsidRPr="000A4159">
        <w:rPr>
          <w:rFonts w:cs="Taher"/>
          <w:vertAlign w:val="superscript"/>
          <w:rtl/>
        </w:rPr>
        <w:t>)</w:t>
      </w:r>
      <w:r w:rsidRPr="00822CE9">
        <w:rPr>
          <w:rtl/>
        </w:rPr>
        <w:t xml:space="preserve">، </w:t>
      </w:r>
      <w:r w:rsidRPr="00822CE9">
        <w:rPr>
          <w:rFonts w:hint="cs"/>
          <w:rtl/>
        </w:rPr>
        <w:t>كما أن</w:t>
      </w:r>
      <w:r w:rsidR="008745E3">
        <w:rPr>
          <w:rFonts w:hint="cs"/>
          <w:rtl/>
        </w:rPr>
        <w:t>ّ</w:t>
      </w:r>
      <w:r w:rsidRPr="00822CE9">
        <w:rPr>
          <w:rFonts w:hint="cs"/>
          <w:rtl/>
        </w:rPr>
        <w:t xml:space="preserve"> الرواية غير موجودة سوى في عيون أخبار </w:t>
      </w:r>
      <w:r w:rsidRPr="00822CE9">
        <w:rPr>
          <w:rFonts w:hint="cs"/>
          <w:rtl/>
        </w:rPr>
        <w:lastRenderedPageBreak/>
        <w:t>الرضا ومنه أخذها غيره، فليست متداولة ومشهو</w:t>
      </w:r>
      <w:r w:rsidR="008745E3">
        <w:rPr>
          <w:rFonts w:hint="cs"/>
          <w:rtl/>
        </w:rPr>
        <w:t>ر</w:t>
      </w:r>
      <w:r w:rsidRPr="00822CE9">
        <w:rPr>
          <w:rFonts w:hint="cs"/>
          <w:rtl/>
        </w:rPr>
        <w:t>ة بين المحد</w:t>
      </w:r>
      <w:r w:rsidR="008745E3">
        <w:rPr>
          <w:rFonts w:hint="cs"/>
          <w:rtl/>
        </w:rPr>
        <w:t>ّ</w:t>
      </w:r>
      <w:r w:rsidRPr="00822CE9">
        <w:rPr>
          <w:rFonts w:hint="cs"/>
          <w:rtl/>
        </w:rPr>
        <w:t>ثين، فيصعب الاستناد إليها</w:t>
      </w:r>
      <w:r w:rsidR="008745E3">
        <w:rPr>
          <w:rFonts w:hint="cs"/>
          <w:rtl/>
        </w:rPr>
        <w:t xml:space="preserve"> منفردةً</w:t>
      </w:r>
      <w:r w:rsidRPr="00822CE9">
        <w:rPr>
          <w:rFonts w:hint="cs"/>
          <w:rtl/>
        </w:rPr>
        <w:t>.</w:t>
      </w:r>
    </w:p>
    <w:p w14:paraId="0EED0B5D" w14:textId="77777777" w:rsidR="000A4159" w:rsidRPr="00822CE9" w:rsidRDefault="000A4159" w:rsidP="008745E3">
      <w:pPr>
        <w:spacing w:line="214" w:lineRule="auto"/>
        <w:rPr>
          <w:rtl/>
        </w:rPr>
      </w:pPr>
      <w:r w:rsidRPr="008745E3">
        <w:rPr>
          <w:rFonts w:hint="cs"/>
          <w:b/>
          <w:bCs/>
          <w:rtl/>
        </w:rPr>
        <w:t>الرواية السابعة: خبر عبد الله بن سيابة</w:t>
      </w:r>
      <w:r w:rsidR="008745E3">
        <w:rPr>
          <w:rFonts w:hint="cs"/>
          <w:rtl/>
        </w:rPr>
        <w:t>،</w:t>
      </w:r>
      <w:r w:rsidRPr="00822CE9">
        <w:rPr>
          <w:rFonts w:hint="cs"/>
          <w:rtl/>
        </w:rPr>
        <w:t xml:space="preserve"> عن الإمام الصادق</w:t>
      </w:r>
      <w:r w:rsidR="009A1626" w:rsidRPr="00822CE9">
        <w:rPr>
          <w:rFonts w:hint="cs"/>
          <w:rtl/>
        </w:rPr>
        <w:t>×</w:t>
      </w:r>
      <w:r w:rsidR="008745E3">
        <w:rPr>
          <w:rFonts w:hint="cs"/>
          <w:rtl/>
        </w:rPr>
        <w:t xml:space="preserve"> أنّه قال</w:t>
      </w:r>
      <w:r w:rsidR="00AF0D2C">
        <w:rPr>
          <w:rFonts w:hint="cs"/>
          <w:rtl/>
        </w:rPr>
        <w:t>: «عند الله أ</w:t>
      </w:r>
      <w:r w:rsidRPr="00822CE9">
        <w:rPr>
          <w:rFonts w:hint="cs"/>
          <w:rtl/>
        </w:rPr>
        <w:t>حتسب عم</w:t>
      </w:r>
      <w:r w:rsidR="008745E3">
        <w:rPr>
          <w:rFonts w:hint="cs"/>
          <w:rtl/>
        </w:rPr>
        <w:t>ّ</w:t>
      </w:r>
      <w:r w:rsidRPr="00822CE9">
        <w:rPr>
          <w:rFonts w:hint="cs"/>
          <w:rtl/>
        </w:rPr>
        <w:t>ي، إن</w:t>
      </w:r>
      <w:r w:rsidR="008745E3">
        <w:rPr>
          <w:rFonts w:hint="cs"/>
          <w:rtl/>
        </w:rPr>
        <w:t>ّ</w:t>
      </w:r>
      <w:r w:rsidRPr="00822CE9">
        <w:rPr>
          <w:rFonts w:hint="cs"/>
          <w:rtl/>
        </w:rPr>
        <w:t>ه كان ن</w:t>
      </w:r>
      <w:r w:rsidR="008745E3">
        <w:rPr>
          <w:rFonts w:hint="cs"/>
          <w:rtl/>
        </w:rPr>
        <w:t>ِ</w:t>
      </w:r>
      <w:r w:rsidRPr="00822CE9">
        <w:rPr>
          <w:rFonts w:hint="cs"/>
          <w:rtl/>
        </w:rPr>
        <w:t>عم العم</w:t>
      </w:r>
      <w:r w:rsidR="008745E3">
        <w:rPr>
          <w:rFonts w:hint="cs"/>
          <w:rtl/>
        </w:rPr>
        <w:t>ّ</w:t>
      </w:r>
      <w:r w:rsidRPr="00822CE9">
        <w:rPr>
          <w:rFonts w:hint="cs"/>
          <w:rtl/>
        </w:rPr>
        <w:t>، إنّ عم</w:t>
      </w:r>
      <w:r w:rsidR="008745E3">
        <w:rPr>
          <w:rFonts w:hint="cs"/>
          <w:rtl/>
        </w:rPr>
        <w:t>ّ</w:t>
      </w:r>
      <w:r w:rsidRPr="00822CE9">
        <w:rPr>
          <w:rFonts w:hint="cs"/>
          <w:rtl/>
        </w:rPr>
        <w:t>ي كان رجلاً لدنيانا وآخرتنا، مضى والله عمّي شهيداً كشهدا</w:t>
      </w:r>
      <w:r w:rsidR="008745E3">
        <w:rPr>
          <w:rFonts w:hint="cs"/>
          <w:rtl/>
        </w:rPr>
        <w:t>ء</w:t>
      </w:r>
      <w:r w:rsidRPr="00822CE9">
        <w:rPr>
          <w:rFonts w:hint="cs"/>
          <w:rtl/>
        </w:rPr>
        <w:t xml:space="preserve"> استشهدوا مع رسول الله</w:t>
      </w:r>
      <w:r w:rsidR="008745E3">
        <w:rPr>
          <w:rFonts w:hint="cs"/>
          <w:rtl/>
        </w:rPr>
        <w:t>‘</w:t>
      </w:r>
      <w:r w:rsidRPr="00822CE9">
        <w:rPr>
          <w:rFonts w:hint="cs"/>
          <w:rtl/>
        </w:rPr>
        <w:t xml:space="preserve"> وعلي</w:t>
      </w:r>
      <w:r w:rsidR="008745E3">
        <w:rPr>
          <w:rFonts w:hint="cs"/>
          <w:rtl/>
        </w:rPr>
        <w:t>ّ</w:t>
      </w:r>
      <w:r w:rsidRPr="00822CE9">
        <w:rPr>
          <w:rFonts w:hint="cs"/>
          <w:rtl/>
        </w:rPr>
        <w:t xml:space="preserve"> والحسن والحسين»</w:t>
      </w:r>
      <w:r w:rsidRPr="000A4159">
        <w:rPr>
          <w:rFonts w:cs="Taher"/>
          <w:vertAlign w:val="superscript"/>
          <w:rtl/>
        </w:rPr>
        <w:t>(</w:t>
      </w:r>
      <w:r w:rsidRPr="000A4159">
        <w:rPr>
          <w:rStyle w:val="FootnoteReference"/>
          <w:rFonts w:cs="Taher"/>
          <w:rtl/>
        </w:rPr>
        <w:footnoteReference w:id="65"/>
      </w:r>
      <w:r w:rsidRPr="000A4159">
        <w:rPr>
          <w:rFonts w:cs="Taher"/>
          <w:vertAlign w:val="superscript"/>
          <w:rtl/>
        </w:rPr>
        <w:t>)</w:t>
      </w:r>
      <w:r w:rsidRPr="00822CE9">
        <w:rPr>
          <w:rtl/>
        </w:rPr>
        <w:t>.</w:t>
      </w:r>
    </w:p>
    <w:p w14:paraId="36D9A256" w14:textId="77777777" w:rsidR="000A4159" w:rsidRPr="00822CE9" w:rsidRDefault="000A4159" w:rsidP="007E79D2">
      <w:pPr>
        <w:pStyle w:val="normal930"/>
        <w:rPr>
          <w:rtl/>
        </w:rPr>
      </w:pPr>
      <w:r w:rsidRPr="00822CE9">
        <w:rPr>
          <w:rFonts w:hint="cs"/>
          <w:rtl/>
        </w:rPr>
        <w:t>والرواية ذات دلالة على مدح حركته وتأييدها واعتباره شهيداً، لكن</w:t>
      </w:r>
      <w:r w:rsidR="008745E3">
        <w:rPr>
          <w:rFonts w:hint="cs"/>
          <w:rtl/>
        </w:rPr>
        <w:t>ّ</w:t>
      </w:r>
      <w:r w:rsidRPr="00822CE9">
        <w:rPr>
          <w:rFonts w:hint="cs"/>
          <w:rtl/>
        </w:rPr>
        <w:t xml:space="preserve"> في السند</w:t>
      </w:r>
      <w:r w:rsidR="004662A9">
        <w:rPr>
          <w:rFonts w:hint="cs"/>
          <w:rtl/>
        </w:rPr>
        <w:t xml:space="preserve"> عبد الله </w:t>
      </w:r>
      <w:r w:rsidRPr="00822CE9">
        <w:rPr>
          <w:rFonts w:hint="cs"/>
          <w:rtl/>
        </w:rPr>
        <w:t>بن سي</w:t>
      </w:r>
      <w:r w:rsidR="004662A9">
        <w:rPr>
          <w:rFonts w:hint="cs"/>
          <w:rtl/>
        </w:rPr>
        <w:t>ّ</w:t>
      </w:r>
      <w:r w:rsidRPr="00822CE9">
        <w:rPr>
          <w:rFonts w:hint="cs"/>
          <w:rtl/>
        </w:rPr>
        <w:t>ابة</w:t>
      </w:r>
      <w:r w:rsidR="004662A9">
        <w:rPr>
          <w:rFonts w:hint="cs"/>
          <w:rtl/>
        </w:rPr>
        <w:t>، وهو أخو عبد الرحمن بن سيابة الذي وردت له رواية متقدّمة آنفاً، وعبد الله مجهول الحال جدّاً.</w:t>
      </w:r>
      <w:r w:rsidRPr="00822CE9">
        <w:rPr>
          <w:rFonts w:hint="cs"/>
          <w:rtl/>
        </w:rPr>
        <w:t xml:space="preserve"> وهناك أيضاً عمرو بن خالد الزيدي الذي تقد</w:t>
      </w:r>
      <w:r w:rsidR="008745E3">
        <w:rPr>
          <w:rFonts w:hint="cs"/>
          <w:rtl/>
        </w:rPr>
        <w:t>ّ</w:t>
      </w:r>
      <w:r w:rsidRPr="00822CE9">
        <w:rPr>
          <w:rFonts w:hint="cs"/>
          <w:rtl/>
        </w:rPr>
        <w:t>م عدم الوثوق بروايات</w:t>
      </w:r>
      <w:r w:rsidR="004662A9">
        <w:rPr>
          <w:rFonts w:hint="cs"/>
          <w:rtl/>
        </w:rPr>
        <w:t xml:space="preserve"> مثله </w:t>
      </w:r>
      <w:r w:rsidRPr="00822CE9">
        <w:rPr>
          <w:rFonts w:hint="cs"/>
          <w:rtl/>
        </w:rPr>
        <w:t>عن الصادق في هذا المضما</w:t>
      </w:r>
      <w:r w:rsidR="004662A9">
        <w:rPr>
          <w:rFonts w:hint="cs"/>
          <w:rtl/>
        </w:rPr>
        <w:t>ر</w:t>
      </w:r>
      <w:r w:rsidR="008745E3">
        <w:rPr>
          <w:rFonts w:hint="cs"/>
          <w:rtl/>
        </w:rPr>
        <w:t xml:space="preserve"> المختلف فيه بين الزيدية وخصومهم</w:t>
      </w:r>
      <w:r w:rsidRPr="00822CE9">
        <w:rPr>
          <w:rFonts w:hint="cs"/>
          <w:rtl/>
        </w:rPr>
        <w:t>، كما أن</w:t>
      </w:r>
      <w:r w:rsidR="008745E3">
        <w:rPr>
          <w:rFonts w:hint="cs"/>
          <w:rtl/>
        </w:rPr>
        <w:t>ّ</w:t>
      </w:r>
      <w:r w:rsidRPr="00822CE9">
        <w:rPr>
          <w:rFonts w:hint="cs"/>
          <w:rtl/>
        </w:rPr>
        <w:t xml:space="preserve"> في سند الرواية جعفر بن محمد بن عمار</w:t>
      </w:r>
      <w:r w:rsidR="00FE1B5E">
        <w:rPr>
          <w:rFonts w:hint="cs"/>
          <w:rtl/>
        </w:rPr>
        <w:t>ة</w:t>
      </w:r>
      <w:r w:rsidRPr="00822CE9">
        <w:rPr>
          <w:rFonts w:hint="cs"/>
          <w:rtl/>
        </w:rPr>
        <w:t>، وهو رجل</w:t>
      </w:r>
      <w:r w:rsidR="00FE1B5E">
        <w:rPr>
          <w:rFonts w:hint="cs"/>
          <w:rtl/>
        </w:rPr>
        <w:t>ٌ</w:t>
      </w:r>
      <w:r w:rsidRPr="00822CE9">
        <w:rPr>
          <w:rFonts w:hint="cs"/>
          <w:rtl/>
        </w:rPr>
        <w:t xml:space="preserve"> مهمل في كتب الرجال السن</w:t>
      </w:r>
      <w:r w:rsidR="00FE1B5E">
        <w:rPr>
          <w:rFonts w:hint="cs"/>
          <w:rtl/>
        </w:rPr>
        <w:t>ّ</w:t>
      </w:r>
      <w:r w:rsidRPr="00822CE9">
        <w:rPr>
          <w:rFonts w:hint="cs"/>
          <w:rtl/>
        </w:rPr>
        <w:t>ية والشيعي</w:t>
      </w:r>
      <w:r w:rsidR="00FE1B5E">
        <w:rPr>
          <w:rFonts w:hint="cs"/>
          <w:rtl/>
        </w:rPr>
        <w:t>ّ</w:t>
      </w:r>
      <w:r w:rsidRPr="00822CE9">
        <w:rPr>
          <w:rFonts w:hint="cs"/>
          <w:rtl/>
        </w:rPr>
        <w:t>ة</w:t>
      </w:r>
      <w:r w:rsidRPr="000A4159">
        <w:rPr>
          <w:rFonts w:cs="Taher"/>
          <w:vertAlign w:val="superscript"/>
          <w:rtl/>
        </w:rPr>
        <w:t>(</w:t>
      </w:r>
      <w:r w:rsidRPr="000A4159">
        <w:rPr>
          <w:rStyle w:val="FootnoteReference"/>
          <w:rFonts w:cs="Taher"/>
          <w:rtl/>
        </w:rPr>
        <w:footnoteReference w:id="66"/>
      </w:r>
      <w:r w:rsidRPr="000A4159">
        <w:rPr>
          <w:rFonts w:cs="Taher"/>
          <w:vertAlign w:val="superscript"/>
          <w:rtl/>
        </w:rPr>
        <w:t>)</w:t>
      </w:r>
      <w:r w:rsidRPr="00822CE9">
        <w:rPr>
          <w:rtl/>
        </w:rPr>
        <w:t xml:space="preserve">، </w:t>
      </w:r>
      <w:r w:rsidRPr="00822CE9">
        <w:rPr>
          <w:rFonts w:hint="cs"/>
          <w:rtl/>
        </w:rPr>
        <w:t>وكذلك الحسن بن علي السكري فهو مهمل</w:t>
      </w:r>
      <w:r w:rsidRPr="000A4159">
        <w:rPr>
          <w:rFonts w:cs="Taher"/>
          <w:vertAlign w:val="superscript"/>
          <w:rtl/>
        </w:rPr>
        <w:t>(</w:t>
      </w:r>
      <w:r w:rsidRPr="000A4159">
        <w:rPr>
          <w:rStyle w:val="FootnoteReference"/>
          <w:rFonts w:cs="Taher"/>
          <w:rtl/>
        </w:rPr>
        <w:footnoteReference w:id="67"/>
      </w:r>
      <w:r w:rsidRPr="000A4159">
        <w:rPr>
          <w:rFonts w:cs="Taher"/>
          <w:vertAlign w:val="superscript"/>
          <w:rtl/>
        </w:rPr>
        <w:t>)</w:t>
      </w:r>
      <w:r w:rsidRPr="00822CE9">
        <w:rPr>
          <w:rtl/>
        </w:rPr>
        <w:t xml:space="preserve">، </w:t>
      </w:r>
      <w:r w:rsidRPr="00822CE9">
        <w:rPr>
          <w:rFonts w:hint="cs"/>
          <w:rtl/>
        </w:rPr>
        <w:t>فالرواية في غاية الضعف، كما أن</w:t>
      </w:r>
      <w:r w:rsidR="00FE1B5E">
        <w:rPr>
          <w:rFonts w:hint="cs"/>
          <w:rtl/>
        </w:rPr>
        <w:t>ّ</w:t>
      </w:r>
      <w:r w:rsidRPr="00822CE9">
        <w:rPr>
          <w:rFonts w:hint="cs"/>
          <w:rtl/>
        </w:rPr>
        <w:t xml:space="preserve">ها لم ترد في كتب التاريخ ولا في كتب الحديث الكبرى عند الشيعة والسنّة، فلم يذكرها سوى الصدوق في عيون أخبار الرضا، وعنه نقلها </w:t>
      </w:r>
      <w:r w:rsidR="00FE1B5E">
        <w:rPr>
          <w:rFonts w:hint="cs"/>
          <w:rtl/>
        </w:rPr>
        <w:t xml:space="preserve">أمثال </w:t>
      </w:r>
      <w:r w:rsidRPr="00822CE9">
        <w:rPr>
          <w:rFonts w:hint="cs"/>
          <w:rtl/>
        </w:rPr>
        <w:t>العلامة المجلسي</w:t>
      </w:r>
      <w:r w:rsidR="00A1571F">
        <w:rPr>
          <w:rFonts w:hint="cs"/>
          <w:rtl/>
        </w:rPr>
        <w:t>ّ</w:t>
      </w:r>
      <w:r w:rsidRPr="00822CE9">
        <w:rPr>
          <w:rFonts w:hint="cs"/>
          <w:rtl/>
        </w:rPr>
        <w:t>.</w:t>
      </w:r>
    </w:p>
    <w:p w14:paraId="563595E2" w14:textId="77777777" w:rsidR="000A4159" w:rsidRPr="00822CE9" w:rsidRDefault="000A4159" w:rsidP="006D555B">
      <w:pPr>
        <w:spacing w:line="214" w:lineRule="auto"/>
        <w:rPr>
          <w:rtl/>
        </w:rPr>
      </w:pPr>
      <w:r w:rsidRPr="006D555B">
        <w:rPr>
          <w:rFonts w:hint="cs"/>
          <w:b/>
          <w:bCs/>
          <w:rtl/>
        </w:rPr>
        <w:t>الرواية الثامنة: خبر الفضيل بن يسار</w:t>
      </w:r>
      <w:r w:rsidR="006D555B">
        <w:rPr>
          <w:rFonts w:hint="cs"/>
          <w:rtl/>
        </w:rPr>
        <w:t>،</w:t>
      </w:r>
      <w:r w:rsidRPr="00822CE9">
        <w:rPr>
          <w:rFonts w:hint="cs"/>
          <w:rtl/>
        </w:rPr>
        <w:t xml:space="preserve"> قال:.. سمعته ـ أي الصادق </w:t>
      </w:r>
      <w:r w:rsidR="006D555B">
        <w:rPr>
          <w:rFonts w:hint="cs"/>
          <w:rtl/>
        </w:rPr>
        <w:t xml:space="preserve">ـ </w:t>
      </w:r>
      <w:r w:rsidRPr="00822CE9">
        <w:rPr>
          <w:rFonts w:hint="cs"/>
          <w:rtl/>
        </w:rPr>
        <w:t>يقول</w:t>
      </w:r>
      <w:r w:rsidR="006D555B">
        <w:rPr>
          <w:rFonts w:hint="cs"/>
          <w:rtl/>
        </w:rPr>
        <w:t xml:space="preserve">: </w:t>
      </w:r>
      <w:r w:rsidR="006D555B">
        <w:rPr>
          <w:rFonts w:hint="eastAsia"/>
          <w:rtl/>
        </w:rPr>
        <w:t>«</w:t>
      </w:r>
      <w:r w:rsidRPr="00822CE9">
        <w:rPr>
          <w:rFonts w:hint="cs"/>
          <w:rtl/>
        </w:rPr>
        <w:t>أشركني الله في تلك الدماء، مضى والله زيد عم</w:t>
      </w:r>
      <w:r w:rsidR="006D555B">
        <w:rPr>
          <w:rFonts w:hint="cs"/>
          <w:rtl/>
        </w:rPr>
        <w:t>ّ</w:t>
      </w:r>
      <w:r w:rsidRPr="00822CE9">
        <w:rPr>
          <w:rFonts w:hint="cs"/>
          <w:rtl/>
        </w:rPr>
        <w:t>ي وأصحابه شهداء، مثلما مضى عليه علي</w:t>
      </w:r>
      <w:r w:rsidR="006D555B">
        <w:rPr>
          <w:rFonts w:hint="cs"/>
          <w:rtl/>
        </w:rPr>
        <w:t>ّ</w:t>
      </w:r>
      <w:r w:rsidRPr="00822CE9">
        <w:rPr>
          <w:rFonts w:hint="cs"/>
          <w:rtl/>
        </w:rPr>
        <w:t xml:space="preserve"> بن أبي طالب وأصحابه»</w:t>
      </w:r>
      <w:r w:rsidRPr="000A4159">
        <w:rPr>
          <w:rFonts w:cs="Taher"/>
          <w:vertAlign w:val="superscript"/>
          <w:rtl/>
        </w:rPr>
        <w:t>(</w:t>
      </w:r>
      <w:r w:rsidRPr="000A4159">
        <w:rPr>
          <w:rStyle w:val="FootnoteReference"/>
          <w:rFonts w:cs="Taher"/>
          <w:rtl/>
        </w:rPr>
        <w:footnoteReference w:id="68"/>
      </w:r>
      <w:r w:rsidRPr="000A4159">
        <w:rPr>
          <w:rFonts w:cs="Taher"/>
          <w:vertAlign w:val="superscript"/>
          <w:rtl/>
        </w:rPr>
        <w:t>)</w:t>
      </w:r>
      <w:r w:rsidRPr="00822CE9">
        <w:rPr>
          <w:rtl/>
        </w:rPr>
        <w:t>.</w:t>
      </w:r>
    </w:p>
    <w:p w14:paraId="60C3D45E" w14:textId="77777777" w:rsidR="000A4159" w:rsidRPr="00822CE9" w:rsidRDefault="000A4159" w:rsidP="007E79D2">
      <w:pPr>
        <w:spacing w:line="221" w:lineRule="auto"/>
        <w:rPr>
          <w:rtl/>
        </w:rPr>
      </w:pPr>
      <w:r w:rsidRPr="00A1571F">
        <w:rPr>
          <w:rFonts w:hint="cs"/>
          <w:b/>
          <w:bCs/>
          <w:rtl/>
        </w:rPr>
        <w:t>ودلالة هذه الرواية كدلالة التي سبقتها، لكن</w:t>
      </w:r>
      <w:r w:rsidR="006D555B" w:rsidRPr="00A1571F">
        <w:rPr>
          <w:rFonts w:hint="cs"/>
          <w:b/>
          <w:bCs/>
          <w:rtl/>
        </w:rPr>
        <w:t>ّ</w:t>
      </w:r>
      <w:r w:rsidRPr="00A1571F">
        <w:rPr>
          <w:rFonts w:hint="cs"/>
          <w:b/>
          <w:bCs/>
          <w:rtl/>
        </w:rPr>
        <w:t>ها ضعيفة السند،</w:t>
      </w:r>
      <w:r w:rsidRPr="00822CE9">
        <w:rPr>
          <w:rFonts w:hint="cs"/>
          <w:rtl/>
        </w:rPr>
        <w:t xml:space="preserve"> فقد جاء في سندها محم</w:t>
      </w:r>
      <w:r w:rsidR="006D555B">
        <w:rPr>
          <w:rFonts w:hint="cs"/>
          <w:rtl/>
        </w:rPr>
        <w:t>ّ</w:t>
      </w:r>
      <w:r w:rsidRPr="00822CE9">
        <w:rPr>
          <w:rFonts w:hint="cs"/>
          <w:rtl/>
        </w:rPr>
        <w:t>د بن الحسن بن شمّون الضعيف الكذ</w:t>
      </w:r>
      <w:r w:rsidR="006D555B">
        <w:rPr>
          <w:rFonts w:hint="cs"/>
          <w:rtl/>
        </w:rPr>
        <w:t>ّ</w:t>
      </w:r>
      <w:r w:rsidRPr="00822CE9">
        <w:rPr>
          <w:rFonts w:hint="cs"/>
          <w:rtl/>
        </w:rPr>
        <w:t>اب، كما ذكر علماء الجرح والتعديل</w:t>
      </w:r>
      <w:r w:rsidRPr="000A4159">
        <w:rPr>
          <w:rFonts w:cs="Taher"/>
          <w:vertAlign w:val="superscript"/>
          <w:rtl/>
        </w:rPr>
        <w:t>(</w:t>
      </w:r>
      <w:r w:rsidRPr="000A4159">
        <w:rPr>
          <w:rStyle w:val="FootnoteReference"/>
          <w:rFonts w:cs="Taher"/>
          <w:rtl/>
        </w:rPr>
        <w:footnoteReference w:id="69"/>
      </w:r>
      <w:r w:rsidRPr="000A4159">
        <w:rPr>
          <w:rFonts w:cs="Taher"/>
          <w:vertAlign w:val="superscript"/>
          <w:rtl/>
        </w:rPr>
        <w:t>)</w:t>
      </w:r>
      <w:r w:rsidRPr="00822CE9">
        <w:rPr>
          <w:rtl/>
        </w:rPr>
        <w:t xml:space="preserve">، </w:t>
      </w:r>
      <w:r w:rsidRPr="00822CE9">
        <w:rPr>
          <w:rFonts w:hint="cs"/>
          <w:rtl/>
        </w:rPr>
        <w:t>إضافةً إلى أن</w:t>
      </w:r>
      <w:r w:rsidR="006D555B">
        <w:rPr>
          <w:rFonts w:hint="cs"/>
          <w:rtl/>
        </w:rPr>
        <w:t>ّ</w:t>
      </w:r>
      <w:r w:rsidRPr="00822CE9">
        <w:rPr>
          <w:rFonts w:hint="cs"/>
          <w:rtl/>
        </w:rPr>
        <w:t>ها لم تذكر في مصادر التاريخ ولا الحديث الشيعي</w:t>
      </w:r>
      <w:r w:rsidR="006D555B">
        <w:rPr>
          <w:rFonts w:hint="cs"/>
          <w:rtl/>
        </w:rPr>
        <w:t>ّ</w:t>
      </w:r>
      <w:r w:rsidRPr="00822CE9">
        <w:rPr>
          <w:rFonts w:hint="cs"/>
          <w:rtl/>
        </w:rPr>
        <w:t xml:space="preserve">ة والسنية، فلم ينقلها سوى الصدوق في أماليه وفي عيون </w:t>
      </w:r>
      <w:r w:rsidRPr="00822CE9">
        <w:rPr>
          <w:rFonts w:hint="cs"/>
          <w:rtl/>
        </w:rPr>
        <w:lastRenderedPageBreak/>
        <w:t xml:space="preserve">أخبار الرضا، وعنه نقلها </w:t>
      </w:r>
      <w:r w:rsidR="006D555B">
        <w:rPr>
          <w:rFonts w:hint="cs"/>
          <w:rtl/>
        </w:rPr>
        <w:t xml:space="preserve">أمثال </w:t>
      </w:r>
      <w:r w:rsidRPr="00822CE9">
        <w:rPr>
          <w:rFonts w:hint="cs"/>
          <w:rtl/>
        </w:rPr>
        <w:t>صاحب البحار.</w:t>
      </w:r>
    </w:p>
    <w:p w14:paraId="53B70F1C" w14:textId="77777777" w:rsidR="000A4159" w:rsidRPr="00822CE9" w:rsidRDefault="000A4159" w:rsidP="00A1571F">
      <w:pPr>
        <w:spacing w:line="214" w:lineRule="auto"/>
        <w:rPr>
          <w:rtl/>
        </w:rPr>
      </w:pPr>
      <w:r w:rsidRPr="006D555B">
        <w:rPr>
          <w:rFonts w:hint="cs"/>
          <w:b/>
          <w:bCs/>
          <w:rtl/>
        </w:rPr>
        <w:t>الرواية التاسعة: خبر م</w:t>
      </w:r>
      <w:r w:rsidR="00AF0D2C">
        <w:rPr>
          <w:rFonts w:hint="cs"/>
          <w:b/>
          <w:bCs/>
          <w:rtl/>
        </w:rPr>
        <w:t>ِ</w:t>
      </w:r>
      <w:r w:rsidRPr="006D555B">
        <w:rPr>
          <w:rFonts w:hint="cs"/>
          <w:b/>
          <w:bCs/>
          <w:rtl/>
        </w:rPr>
        <w:t>ه</w:t>
      </w:r>
      <w:r w:rsidR="00AF0D2C">
        <w:rPr>
          <w:rFonts w:hint="cs"/>
          <w:b/>
          <w:bCs/>
          <w:rtl/>
        </w:rPr>
        <w:t>ْ</w:t>
      </w:r>
      <w:r w:rsidRPr="006D555B">
        <w:rPr>
          <w:rFonts w:hint="cs"/>
          <w:b/>
          <w:bCs/>
          <w:rtl/>
        </w:rPr>
        <w:t>ز</w:t>
      </w:r>
      <w:r w:rsidR="00AF0D2C">
        <w:rPr>
          <w:rFonts w:hint="cs"/>
          <w:b/>
          <w:bCs/>
          <w:rtl/>
        </w:rPr>
        <w:t>َ</w:t>
      </w:r>
      <w:r w:rsidRPr="006D555B">
        <w:rPr>
          <w:rFonts w:hint="cs"/>
          <w:b/>
          <w:bCs/>
          <w:rtl/>
        </w:rPr>
        <w:t>م بن أبي بردة الأسدي،</w:t>
      </w:r>
      <w:r w:rsidRPr="00822CE9">
        <w:rPr>
          <w:rFonts w:hint="cs"/>
          <w:rtl/>
        </w:rPr>
        <w:t xml:space="preserve"> قال: دخلت المدينة ح</w:t>
      </w:r>
      <w:r w:rsidR="00AB3429">
        <w:rPr>
          <w:rFonts w:hint="cs"/>
          <w:rtl/>
        </w:rPr>
        <w:t>َ</w:t>
      </w:r>
      <w:r w:rsidRPr="00822CE9">
        <w:rPr>
          <w:rFonts w:hint="cs"/>
          <w:rtl/>
        </w:rPr>
        <w:t>د</w:t>
      </w:r>
      <w:r w:rsidR="00AB3429">
        <w:rPr>
          <w:rFonts w:hint="cs"/>
          <w:rtl/>
        </w:rPr>
        <w:t>َ</w:t>
      </w:r>
      <w:r w:rsidRPr="00822CE9">
        <w:rPr>
          <w:rFonts w:hint="cs"/>
          <w:rtl/>
        </w:rPr>
        <w:t>ثان</w:t>
      </w:r>
      <w:r w:rsidR="00AB3429" w:rsidRPr="000A4159">
        <w:rPr>
          <w:rFonts w:cs="Taher"/>
          <w:vertAlign w:val="superscript"/>
          <w:rtl/>
        </w:rPr>
        <w:t>(</w:t>
      </w:r>
      <w:r w:rsidR="00AB3429" w:rsidRPr="000A4159">
        <w:rPr>
          <w:rStyle w:val="FootnoteReference"/>
          <w:rFonts w:cs="Taher"/>
          <w:rtl/>
        </w:rPr>
        <w:footnoteReference w:id="70"/>
      </w:r>
      <w:r w:rsidR="00AB3429" w:rsidRPr="000A4159">
        <w:rPr>
          <w:rFonts w:cs="Taher"/>
          <w:vertAlign w:val="superscript"/>
          <w:rtl/>
        </w:rPr>
        <w:t>)</w:t>
      </w:r>
      <w:r w:rsidRPr="00822CE9">
        <w:rPr>
          <w:rFonts w:hint="cs"/>
          <w:rtl/>
        </w:rPr>
        <w:t xml:space="preserve"> </w:t>
      </w:r>
      <w:r w:rsidR="006D555B">
        <w:rPr>
          <w:rFonts w:hint="cs"/>
          <w:rtl/>
        </w:rPr>
        <w:t>ص</w:t>
      </w:r>
      <w:r w:rsidRPr="00822CE9">
        <w:rPr>
          <w:rFonts w:hint="cs"/>
          <w:rtl/>
        </w:rPr>
        <w:t>لب زيد</w:t>
      </w:r>
      <w:r w:rsidR="006D555B">
        <w:rPr>
          <w:rFonts w:hint="cs"/>
          <w:rtl/>
        </w:rPr>
        <w:t xml:space="preserve"> ـ رضي الله عنه ـ.</w:t>
      </w:r>
      <w:r w:rsidRPr="00822CE9">
        <w:rPr>
          <w:rFonts w:hint="cs"/>
          <w:rtl/>
        </w:rPr>
        <w:t xml:space="preserve"> قال: فدخلت على أبي عبد الله</w:t>
      </w:r>
      <w:r w:rsidR="009A1626" w:rsidRPr="00822CE9">
        <w:rPr>
          <w:rFonts w:hint="cs"/>
          <w:rtl/>
        </w:rPr>
        <w:t>×</w:t>
      </w:r>
      <w:r w:rsidRPr="00822CE9">
        <w:rPr>
          <w:rFonts w:hint="cs"/>
          <w:rtl/>
        </w:rPr>
        <w:t xml:space="preserve">، </w:t>
      </w:r>
      <w:r w:rsidR="006D555B">
        <w:rPr>
          <w:rFonts w:hint="cs"/>
          <w:rtl/>
        </w:rPr>
        <w:t>فس</w:t>
      </w:r>
      <w:r w:rsidRPr="00822CE9">
        <w:rPr>
          <w:rFonts w:hint="cs"/>
          <w:rtl/>
        </w:rPr>
        <w:t xml:space="preserve">اعة رآني، قال: </w:t>
      </w:r>
      <w:r w:rsidR="006D555B">
        <w:rPr>
          <w:rFonts w:hint="eastAsia"/>
          <w:rtl/>
        </w:rPr>
        <w:t>«</w:t>
      </w:r>
      <w:r w:rsidRPr="00822CE9">
        <w:rPr>
          <w:rFonts w:hint="cs"/>
          <w:rtl/>
        </w:rPr>
        <w:t>يا مهزم! ما فعل زيد</w:t>
      </w:r>
      <w:r w:rsidR="00302DD9">
        <w:rPr>
          <w:rFonts w:hint="cs"/>
          <w:rtl/>
        </w:rPr>
        <w:t xml:space="preserve"> (بزيد)</w:t>
      </w:r>
      <w:r w:rsidRPr="00822CE9">
        <w:rPr>
          <w:rFonts w:hint="cs"/>
          <w:rtl/>
        </w:rPr>
        <w:t>؟</w:t>
      </w:r>
      <w:r w:rsidR="006D555B">
        <w:rPr>
          <w:rFonts w:hint="eastAsia"/>
          <w:rtl/>
        </w:rPr>
        <w:t>»</w:t>
      </w:r>
      <w:r w:rsidRPr="00822CE9">
        <w:rPr>
          <w:rFonts w:hint="cs"/>
          <w:rtl/>
        </w:rPr>
        <w:t xml:space="preserve"> قال: قلت: ص</w:t>
      </w:r>
      <w:r w:rsidR="006D555B">
        <w:rPr>
          <w:rFonts w:hint="cs"/>
          <w:rtl/>
        </w:rPr>
        <w:t>ُ</w:t>
      </w:r>
      <w:r w:rsidRPr="00822CE9">
        <w:rPr>
          <w:rFonts w:hint="cs"/>
          <w:rtl/>
        </w:rPr>
        <w:t xml:space="preserve">لب. قال: </w:t>
      </w:r>
      <w:r w:rsidR="006D555B">
        <w:rPr>
          <w:rFonts w:hint="eastAsia"/>
          <w:rtl/>
        </w:rPr>
        <w:t>«</w:t>
      </w:r>
      <w:r w:rsidRPr="00822CE9">
        <w:rPr>
          <w:rFonts w:hint="cs"/>
          <w:rtl/>
        </w:rPr>
        <w:t>أين؟</w:t>
      </w:r>
      <w:r w:rsidR="006D555B">
        <w:rPr>
          <w:rFonts w:hint="eastAsia"/>
          <w:rtl/>
        </w:rPr>
        <w:t>»</w:t>
      </w:r>
      <w:r w:rsidRPr="00822CE9">
        <w:rPr>
          <w:rFonts w:hint="cs"/>
          <w:rtl/>
        </w:rPr>
        <w:t xml:space="preserve"> قال: قلت: في كناسة بني أسد. قال: </w:t>
      </w:r>
      <w:r w:rsidR="006D555B">
        <w:rPr>
          <w:rFonts w:hint="eastAsia"/>
          <w:rtl/>
        </w:rPr>
        <w:t>«</w:t>
      </w:r>
      <w:r w:rsidRPr="00822CE9">
        <w:rPr>
          <w:rFonts w:hint="cs"/>
          <w:rtl/>
        </w:rPr>
        <w:t>رأيت</w:t>
      </w:r>
      <w:r w:rsidR="006D555B">
        <w:rPr>
          <w:rFonts w:hint="cs"/>
          <w:rtl/>
        </w:rPr>
        <w:t>َ</w:t>
      </w:r>
      <w:r w:rsidRPr="00822CE9">
        <w:rPr>
          <w:rFonts w:hint="cs"/>
          <w:rtl/>
        </w:rPr>
        <w:t>ه مصلوباً في كناسة بني أسد؟</w:t>
      </w:r>
      <w:r w:rsidR="006D555B">
        <w:rPr>
          <w:rFonts w:hint="eastAsia"/>
          <w:rtl/>
        </w:rPr>
        <w:t>»</w:t>
      </w:r>
      <w:r w:rsidRPr="00822CE9">
        <w:rPr>
          <w:rFonts w:hint="cs"/>
          <w:rtl/>
        </w:rPr>
        <w:t xml:space="preserve"> قال: قلت: نعم، قال: فبكى حتى بكى النساء خلف الستور..</w:t>
      </w:r>
      <w:r w:rsidRPr="000A4159">
        <w:rPr>
          <w:rFonts w:cs="Taher"/>
          <w:vertAlign w:val="superscript"/>
          <w:rtl/>
        </w:rPr>
        <w:t>(</w:t>
      </w:r>
      <w:r w:rsidRPr="000A4159">
        <w:rPr>
          <w:rStyle w:val="FootnoteReference"/>
          <w:rFonts w:cs="Taher"/>
          <w:rtl/>
        </w:rPr>
        <w:footnoteReference w:id="71"/>
      </w:r>
      <w:r w:rsidRPr="000A4159">
        <w:rPr>
          <w:rFonts w:cs="Taher"/>
          <w:vertAlign w:val="superscript"/>
          <w:rtl/>
        </w:rPr>
        <w:t>)</w:t>
      </w:r>
      <w:r w:rsidR="006D555B">
        <w:rPr>
          <w:rtl/>
        </w:rPr>
        <w:t>.</w:t>
      </w:r>
    </w:p>
    <w:p w14:paraId="30CB93C4" w14:textId="77777777" w:rsidR="006D555B" w:rsidRDefault="000A4159" w:rsidP="006D555B">
      <w:pPr>
        <w:spacing w:line="214" w:lineRule="auto"/>
        <w:rPr>
          <w:rtl/>
        </w:rPr>
      </w:pPr>
      <w:r w:rsidRPr="00822CE9">
        <w:rPr>
          <w:rFonts w:hint="cs"/>
          <w:rtl/>
        </w:rPr>
        <w:t>حيث يفهم ـ كما ذكر بعضهم</w:t>
      </w:r>
      <w:r w:rsidRPr="000A4159">
        <w:rPr>
          <w:rFonts w:cs="Taher"/>
          <w:vertAlign w:val="superscript"/>
          <w:rtl/>
        </w:rPr>
        <w:t>(</w:t>
      </w:r>
      <w:r w:rsidRPr="000A4159">
        <w:rPr>
          <w:rStyle w:val="FootnoteReference"/>
          <w:rFonts w:cs="Taher"/>
          <w:rtl/>
        </w:rPr>
        <w:footnoteReference w:id="72"/>
      </w:r>
      <w:r w:rsidRPr="000A4159">
        <w:rPr>
          <w:rFonts w:cs="Taher"/>
          <w:vertAlign w:val="superscript"/>
          <w:rtl/>
        </w:rPr>
        <w:t>)</w:t>
      </w:r>
      <w:r w:rsidRPr="00822CE9">
        <w:rPr>
          <w:rtl/>
        </w:rPr>
        <w:t xml:space="preserve"> </w:t>
      </w:r>
      <w:r w:rsidRPr="00822CE9">
        <w:rPr>
          <w:rFonts w:hint="cs"/>
          <w:rtl/>
        </w:rPr>
        <w:t>ـ أن</w:t>
      </w:r>
      <w:r w:rsidR="006D555B">
        <w:rPr>
          <w:rFonts w:hint="cs"/>
          <w:rtl/>
        </w:rPr>
        <w:t>ّ</w:t>
      </w:r>
      <w:r w:rsidRPr="00822CE9">
        <w:rPr>
          <w:rFonts w:hint="cs"/>
          <w:rtl/>
        </w:rPr>
        <w:t xml:space="preserve"> الإمام الصادق كان متعاطفاً مع ثورة زيد متفاعلاً معها، وهي مؤشرات تؤك</w:t>
      </w:r>
      <w:r w:rsidR="006D555B">
        <w:rPr>
          <w:rFonts w:hint="cs"/>
          <w:rtl/>
        </w:rPr>
        <w:t>ّ</w:t>
      </w:r>
      <w:r w:rsidRPr="00822CE9">
        <w:rPr>
          <w:rFonts w:hint="cs"/>
          <w:rtl/>
        </w:rPr>
        <w:t>د رضاه عنها.</w:t>
      </w:r>
    </w:p>
    <w:p w14:paraId="0CF0A3F1" w14:textId="77777777" w:rsidR="000A4159" w:rsidRPr="00822CE9" w:rsidRDefault="006D555B" w:rsidP="007E79D2">
      <w:pPr>
        <w:pStyle w:val="normal870"/>
        <w:rPr>
          <w:rtl/>
        </w:rPr>
      </w:pPr>
      <w:r w:rsidRPr="006D555B">
        <w:rPr>
          <w:rFonts w:hint="cs"/>
          <w:b/>
          <w:bCs/>
          <w:rtl/>
        </w:rPr>
        <w:t xml:space="preserve">لكن ربما </w:t>
      </w:r>
      <w:r w:rsidR="000A4159" w:rsidRPr="006D555B">
        <w:rPr>
          <w:rFonts w:hint="cs"/>
          <w:b/>
          <w:bCs/>
          <w:rtl/>
        </w:rPr>
        <w:t>يمكننا أن نقول:</w:t>
      </w:r>
      <w:r w:rsidR="000A4159" w:rsidRPr="00822CE9">
        <w:rPr>
          <w:rFonts w:hint="cs"/>
          <w:rtl/>
        </w:rPr>
        <w:t xml:space="preserve"> إن</w:t>
      </w:r>
      <w:r>
        <w:rPr>
          <w:rFonts w:hint="cs"/>
          <w:rtl/>
        </w:rPr>
        <w:t>ّ</w:t>
      </w:r>
      <w:r w:rsidR="000A4159" w:rsidRPr="00822CE9">
        <w:rPr>
          <w:rFonts w:hint="cs"/>
          <w:rtl/>
        </w:rPr>
        <w:t xml:space="preserve"> مجرّد هذا القدر من التفاعل العاطفي لا يؤك</w:t>
      </w:r>
      <w:r>
        <w:rPr>
          <w:rFonts w:hint="cs"/>
          <w:rtl/>
        </w:rPr>
        <w:t>ّ</w:t>
      </w:r>
      <w:r w:rsidR="000A4159" w:rsidRPr="00822CE9">
        <w:rPr>
          <w:rFonts w:hint="cs"/>
          <w:rtl/>
        </w:rPr>
        <w:t>د تبن</w:t>
      </w:r>
      <w:r>
        <w:rPr>
          <w:rFonts w:hint="cs"/>
          <w:rtl/>
        </w:rPr>
        <w:t>ّ</w:t>
      </w:r>
      <w:r w:rsidR="000A4159" w:rsidRPr="00822CE9">
        <w:rPr>
          <w:rFonts w:hint="cs"/>
          <w:rtl/>
        </w:rPr>
        <w:t>ي الإمام الصادق لثورة زيد وشرعنته لها، إذ قد يكون زيد رجلاً صادقاً مخلصاً لكن</w:t>
      </w:r>
      <w:r>
        <w:rPr>
          <w:rFonts w:hint="cs"/>
          <w:rtl/>
        </w:rPr>
        <w:t>ّ</w:t>
      </w:r>
      <w:r w:rsidR="000A4159" w:rsidRPr="00822CE9">
        <w:rPr>
          <w:rFonts w:hint="cs"/>
          <w:rtl/>
        </w:rPr>
        <w:t xml:space="preserve">ه اشتبه في اجتهاده، فبكى الصادق عليه وأسف وحزن علماً منه بصدق نوايا الرجل ومكانته وعظم </w:t>
      </w:r>
      <w:r>
        <w:rPr>
          <w:rFonts w:hint="cs"/>
          <w:rtl/>
        </w:rPr>
        <w:t xml:space="preserve">الأمر </w:t>
      </w:r>
      <w:r w:rsidR="000A4159" w:rsidRPr="00822CE9">
        <w:rPr>
          <w:rFonts w:hint="cs"/>
          <w:rtl/>
        </w:rPr>
        <w:t>الذي حلّ بالمؤمنين في الكوفة، فلو كانت هذه الرواية لوحدها لربما صعب جعلها نص</w:t>
      </w:r>
      <w:r>
        <w:rPr>
          <w:rFonts w:hint="cs"/>
          <w:rtl/>
        </w:rPr>
        <w:t>ّ</w:t>
      </w:r>
      <w:r w:rsidR="000A4159" w:rsidRPr="00822CE9">
        <w:rPr>
          <w:rFonts w:hint="cs"/>
          <w:rtl/>
        </w:rPr>
        <w:t>اً في تحديد موقف</w:t>
      </w:r>
      <w:r>
        <w:rPr>
          <w:rFonts w:hint="cs"/>
          <w:rtl/>
        </w:rPr>
        <w:t>ٍ</w:t>
      </w:r>
      <w:r w:rsidR="000A4159" w:rsidRPr="00822CE9">
        <w:rPr>
          <w:rFonts w:hint="cs"/>
          <w:rtl/>
        </w:rPr>
        <w:t xml:space="preserve"> سياسي بهذه الأهمي</w:t>
      </w:r>
      <w:r>
        <w:rPr>
          <w:rFonts w:hint="cs"/>
          <w:rtl/>
        </w:rPr>
        <w:t>ّ</w:t>
      </w:r>
      <w:r w:rsidR="000A4159" w:rsidRPr="00822CE9">
        <w:rPr>
          <w:rFonts w:hint="cs"/>
          <w:rtl/>
        </w:rPr>
        <w:t>ة من الصادق</w:t>
      </w:r>
      <w:r>
        <w:rPr>
          <w:rFonts w:hint="cs"/>
          <w:rtl/>
        </w:rPr>
        <w:t>.</w:t>
      </w:r>
      <w:r w:rsidR="000A4159" w:rsidRPr="00822CE9">
        <w:rPr>
          <w:rFonts w:hint="cs"/>
          <w:rtl/>
        </w:rPr>
        <w:t xml:space="preserve"> هذا فضلاً عن ضعف سند الرواية بجهالة مهزم الذي رواها</w:t>
      </w:r>
      <w:r w:rsidR="000A4159" w:rsidRPr="000A4159">
        <w:rPr>
          <w:rFonts w:cs="Taher"/>
          <w:vertAlign w:val="superscript"/>
          <w:rtl/>
        </w:rPr>
        <w:t>(</w:t>
      </w:r>
      <w:r w:rsidR="000A4159" w:rsidRPr="000A4159">
        <w:rPr>
          <w:rStyle w:val="FootnoteReference"/>
          <w:rFonts w:cs="Taher"/>
          <w:rtl/>
        </w:rPr>
        <w:footnoteReference w:id="73"/>
      </w:r>
      <w:r w:rsidR="000A4159" w:rsidRPr="000A4159">
        <w:rPr>
          <w:rFonts w:cs="Taher"/>
          <w:vertAlign w:val="superscript"/>
          <w:rtl/>
        </w:rPr>
        <w:t>)</w:t>
      </w:r>
      <w:r w:rsidR="000A4159" w:rsidRPr="00822CE9">
        <w:rPr>
          <w:rtl/>
        </w:rPr>
        <w:t>.</w:t>
      </w:r>
    </w:p>
    <w:p w14:paraId="06CE10F2" w14:textId="77777777" w:rsidR="000A4159" w:rsidRPr="00822CE9" w:rsidRDefault="000A4159" w:rsidP="007E79D2">
      <w:pPr>
        <w:pStyle w:val="normal870"/>
        <w:rPr>
          <w:rtl/>
        </w:rPr>
      </w:pPr>
      <w:r w:rsidRPr="006D555B">
        <w:rPr>
          <w:rFonts w:hint="cs"/>
          <w:b/>
          <w:bCs/>
          <w:rtl/>
        </w:rPr>
        <w:t>الرواية العاشرة: خبر سليمان بن خالد،</w:t>
      </w:r>
      <w:r w:rsidRPr="00822CE9">
        <w:rPr>
          <w:rFonts w:hint="cs"/>
          <w:rtl/>
        </w:rPr>
        <w:t xml:space="preserve"> قال: سألني أبو عبد الله</w:t>
      </w:r>
      <w:r w:rsidR="009A1626" w:rsidRPr="00822CE9">
        <w:rPr>
          <w:rFonts w:hint="cs"/>
          <w:rtl/>
        </w:rPr>
        <w:t>×</w:t>
      </w:r>
      <w:r w:rsidRPr="00822CE9">
        <w:rPr>
          <w:rFonts w:hint="cs"/>
          <w:rtl/>
        </w:rPr>
        <w:t>، فقال: «ما دعاكم إلى الموضع الذي وضعتم فيه زيداً؟ قال: قلت: خصال ثلاث: أم</w:t>
      </w:r>
      <w:r w:rsidR="006D555B">
        <w:rPr>
          <w:rFonts w:hint="cs"/>
          <w:rtl/>
        </w:rPr>
        <w:t>ّ</w:t>
      </w:r>
      <w:r w:rsidRPr="00822CE9">
        <w:rPr>
          <w:rFonts w:hint="cs"/>
          <w:rtl/>
        </w:rPr>
        <w:t>ا إحداهن</w:t>
      </w:r>
      <w:r w:rsidR="006D555B">
        <w:rPr>
          <w:rFonts w:hint="cs"/>
          <w:rtl/>
        </w:rPr>
        <w:t>ّ</w:t>
      </w:r>
      <w:r w:rsidRPr="00822CE9">
        <w:rPr>
          <w:rFonts w:hint="cs"/>
          <w:rtl/>
        </w:rPr>
        <w:t xml:space="preserve">.. فقال: «كم </w:t>
      </w:r>
      <w:r w:rsidR="006D555B">
        <w:rPr>
          <w:rFonts w:hint="cs"/>
          <w:rtl/>
        </w:rPr>
        <w:t xml:space="preserve">إلى </w:t>
      </w:r>
      <w:r w:rsidRPr="00822CE9">
        <w:rPr>
          <w:rFonts w:hint="cs"/>
          <w:rtl/>
        </w:rPr>
        <w:t>الفرات من الموضع الذي وضعتموه فيه؟» قلت: قذفة حجر، فقال: «سبحان الله</w:t>
      </w:r>
      <w:r w:rsidR="006D555B">
        <w:rPr>
          <w:rFonts w:hint="cs"/>
          <w:rtl/>
        </w:rPr>
        <w:t>،</w:t>
      </w:r>
      <w:r w:rsidRPr="00822CE9">
        <w:rPr>
          <w:rFonts w:hint="cs"/>
          <w:rtl/>
        </w:rPr>
        <w:t xml:space="preserve"> أفلا كنتم أوقرتموه حديداً وقذفتموه في الفرات، وكان أفضل» فقلت: جعلت فداك، لا والله ما طقنا لهذا، فقال: «أي شيء كنتم يوم خرجتم مع زيد؟»</w:t>
      </w:r>
      <w:r w:rsidR="006D555B">
        <w:rPr>
          <w:rFonts w:hint="cs"/>
          <w:rtl/>
        </w:rPr>
        <w:t>، قلت: مؤمنين، قال: «فما كان عد</w:t>
      </w:r>
      <w:r w:rsidRPr="00822CE9">
        <w:rPr>
          <w:rFonts w:hint="cs"/>
          <w:rtl/>
        </w:rPr>
        <w:t>و</w:t>
      </w:r>
      <w:r w:rsidR="006D555B">
        <w:rPr>
          <w:rFonts w:hint="cs"/>
          <w:rtl/>
        </w:rPr>
        <w:t>ّ</w:t>
      </w:r>
      <w:r w:rsidRPr="00822CE9">
        <w:rPr>
          <w:rFonts w:hint="cs"/>
          <w:rtl/>
        </w:rPr>
        <w:t>كم؟»، قلت: كف</w:t>
      </w:r>
      <w:r w:rsidR="006D555B">
        <w:rPr>
          <w:rFonts w:hint="cs"/>
          <w:rtl/>
        </w:rPr>
        <w:t>ّ</w:t>
      </w:r>
      <w:r w:rsidRPr="00822CE9">
        <w:rPr>
          <w:rFonts w:hint="cs"/>
          <w:rtl/>
        </w:rPr>
        <w:t xml:space="preserve">اراً، </w:t>
      </w:r>
      <w:r w:rsidRPr="00822CE9">
        <w:rPr>
          <w:rFonts w:hint="cs"/>
          <w:rtl/>
        </w:rPr>
        <w:lastRenderedPageBreak/>
        <w:t>قال: «فإن</w:t>
      </w:r>
      <w:r w:rsidR="006D555B">
        <w:rPr>
          <w:rFonts w:hint="cs"/>
          <w:rtl/>
        </w:rPr>
        <w:t>ّ</w:t>
      </w:r>
      <w:r w:rsidRPr="00822CE9">
        <w:rPr>
          <w:rFonts w:hint="cs"/>
          <w:rtl/>
        </w:rPr>
        <w:t>ي أجد في كتاب الله عز</w:t>
      </w:r>
      <w:r w:rsidR="006D555B">
        <w:rPr>
          <w:rFonts w:hint="cs"/>
          <w:rtl/>
        </w:rPr>
        <w:t>ّ</w:t>
      </w:r>
      <w:r w:rsidRPr="00822CE9">
        <w:rPr>
          <w:rFonts w:hint="cs"/>
          <w:rtl/>
        </w:rPr>
        <w:t xml:space="preserve"> وجل يا أيها الذين آمنوا</w:t>
      </w:r>
      <w:r w:rsidR="006D555B">
        <w:rPr>
          <w:rFonts w:hint="cs"/>
          <w:rtl/>
        </w:rPr>
        <w:t xml:space="preserve"> إذا</w:t>
      </w:r>
      <w:r w:rsidRPr="000A4159">
        <w:rPr>
          <w:rFonts w:cs="Taher"/>
          <w:vertAlign w:val="superscript"/>
          <w:rtl/>
        </w:rPr>
        <w:t>(</w:t>
      </w:r>
      <w:r w:rsidRPr="000A4159">
        <w:rPr>
          <w:rStyle w:val="FootnoteReference"/>
          <w:rFonts w:cs="Taher"/>
          <w:rtl/>
        </w:rPr>
        <w:footnoteReference w:id="74"/>
      </w:r>
      <w:r w:rsidRPr="000A4159">
        <w:rPr>
          <w:rFonts w:cs="Taher"/>
          <w:vertAlign w:val="superscript"/>
          <w:rtl/>
        </w:rPr>
        <w:t>)</w:t>
      </w:r>
      <w:r w:rsidRPr="00822CE9">
        <w:rPr>
          <w:rtl/>
        </w:rPr>
        <w:t>﴿</w:t>
      </w:r>
      <w:r w:rsidRPr="006D555B">
        <w:rPr>
          <w:rFonts w:hint="cs"/>
          <w:b/>
          <w:bCs/>
          <w:rtl/>
        </w:rPr>
        <w:t>فَإِذَا لَقِيتُمُ الَّذِينَ كَفَرُوا فَضَرْبَ الرِّقَابِ حَتَّى إِذَا أَثْخَنْتُمُوهُمْ فَشُدُّوا الْوَثَاقَ فَإِمَّا مَنّاً بَعْدُ وَإِمَّا فِدَاءً حَتَّى تَضَعَ الْحَرْبُ أَوْزَاها</w:t>
      </w:r>
      <w:r w:rsidRPr="00822CE9">
        <w:rPr>
          <w:rtl/>
        </w:rPr>
        <w:t>﴾</w:t>
      </w:r>
      <w:r w:rsidRPr="00822CE9">
        <w:rPr>
          <w:rFonts w:hint="cs"/>
          <w:rtl/>
        </w:rPr>
        <w:t xml:space="preserve"> (محم</w:t>
      </w:r>
      <w:r w:rsidR="006D555B">
        <w:rPr>
          <w:rFonts w:hint="cs"/>
          <w:rtl/>
        </w:rPr>
        <w:t>ّ</w:t>
      </w:r>
      <w:r w:rsidRPr="00822CE9">
        <w:rPr>
          <w:rFonts w:hint="cs"/>
          <w:rtl/>
        </w:rPr>
        <w:t>د: 4)، فابتدأ</w:t>
      </w:r>
      <w:r w:rsidR="006D555B">
        <w:rPr>
          <w:rFonts w:hint="cs"/>
          <w:rtl/>
        </w:rPr>
        <w:t>تم</w:t>
      </w:r>
      <w:r w:rsidRPr="00822CE9">
        <w:rPr>
          <w:rFonts w:hint="cs"/>
          <w:rtl/>
        </w:rPr>
        <w:t xml:space="preserve"> أنتم بتخلية م</w:t>
      </w:r>
      <w:r w:rsidR="006D555B">
        <w:rPr>
          <w:rFonts w:hint="cs"/>
          <w:rtl/>
        </w:rPr>
        <w:t>ن أسرتم، سبحان الله ما استطعتم أ</w:t>
      </w:r>
      <w:r w:rsidRPr="00822CE9">
        <w:rPr>
          <w:rFonts w:hint="cs"/>
          <w:rtl/>
        </w:rPr>
        <w:t>ن تسيروا بالعدل ساعة»</w:t>
      </w:r>
      <w:r w:rsidRPr="000A4159">
        <w:rPr>
          <w:rFonts w:cs="Taher"/>
          <w:vertAlign w:val="superscript"/>
          <w:rtl/>
        </w:rPr>
        <w:t>(</w:t>
      </w:r>
      <w:r w:rsidRPr="000A4159">
        <w:rPr>
          <w:rStyle w:val="FootnoteReference"/>
          <w:rFonts w:cs="Taher"/>
          <w:rtl/>
        </w:rPr>
        <w:footnoteReference w:id="75"/>
      </w:r>
      <w:r w:rsidRPr="000A4159">
        <w:rPr>
          <w:rFonts w:cs="Taher"/>
          <w:vertAlign w:val="superscript"/>
          <w:rtl/>
        </w:rPr>
        <w:t>)</w:t>
      </w:r>
      <w:r w:rsidRPr="00822CE9">
        <w:rPr>
          <w:rtl/>
        </w:rPr>
        <w:t>.</w:t>
      </w:r>
    </w:p>
    <w:p w14:paraId="2A6CD6D4" w14:textId="77777777" w:rsidR="000A4159" w:rsidRPr="00822CE9" w:rsidRDefault="000A4159" w:rsidP="004662A9">
      <w:pPr>
        <w:spacing w:line="214" w:lineRule="auto"/>
        <w:rPr>
          <w:rtl/>
        </w:rPr>
      </w:pPr>
      <w:r w:rsidRPr="00822CE9">
        <w:rPr>
          <w:rFonts w:hint="cs"/>
          <w:rtl/>
        </w:rPr>
        <w:t>هذه الرواية تؤك</w:t>
      </w:r>
      <w:r w:rsidR="006D555B">
        <w:rPr>
          <w:rFonts w:hint="cs"/>
          <w:rtl/>
        </w:rPr>
        <w:t>ّ</w:t>
      </w:r>
      <w:r w:rsidRPr="00822CE9">
        <w:rPr>
          <w:rFonts w:hint="cs"/>
          <w:rtl/>
        </w:rPr>
        <w:t xml:space="preserve">د اهتمام </w:t>
      </w:r>
      <w:r w:rsidR="006D555B">
        <w:rPr>
          <w:rFonts w:hint="cs"/>
          <w:rtl/>
        </w:rPr>
        <w:t xml:space="preserve">الإمام جعفر </w:t>
      </w:r>
      <w:r w:rsidRPr="00822CE9">
        <w:rPr>
          <w:rFonts w:hint="cs"/>
          <w:rtl/>
        </w:rPr>
        <w:t>الصادق بعمّه زيد</w:t>
      </w:r>
      <w:r w:rsidR="004662A9">
        <w:rPr>
          <w:rFonts w:hint="cs"/>
          <w:rtl/>
        </w:rPr>
        <w:t xml:space="preserve"> بن علي</w:t>
      </w:r>
      <w:r w:rsidRPr="00822CE9">
        <w:rPr>
          <w:rFonts w:hint="cs"/>
          <w:rtl/>
        </w:rPr>
        <w:t xml:space="preserve"> ومصيره ومصير ثورته، بل تؤك</w:t>
      </w:r>
      <w:r w:rsidR="006D555B">
        <w:rPr>
          <w:rFonts w:hint="cs"/>
          <w:rtl/>
        </w:rPr>
        <w:t>ّد أ</w:t>
      </w:r>
      <w:r w:rsidRPr="00822CE9">
        <w:rPr>
          <w:rFonts w:hint="cs"/>
          <w:rtl/>
        </w:rPr>
        <w:t>ن</w:t>
      </w:r>
      <w:r w:rsidR="006D555B">
        <w:rPr>
          <w:rFonts w:hint="cs"/>
          <w:rtl/>
        </w:rPr>
        <w:t>ّ</w:t>
      </w:r>
      <w:r w:rsidRPr="00822CE9">
        <w:rPr>
          <w:rFonts w:hint="cs"/>
          <w:rtl/>
        </w:rPr>
        <w:t xml:space="preserve"> الطرف الآخر كافر</w:t>
      </w:r>
      <w:r w:rsidR="006D555B">
        <w:rPr>
          <w:rFonts w:hint="cs"/>
          <w:rtl/>
        </w:rPr>
        <w:t>ٌ</w:t>
      </w:r>
      <w:r w:rsidRPr="00822CE9">
        <w:rPr>
          <w:rFonts w:hint="cs"/>
          <w:rtl/>
        </w:rPr>
        <w:t xml:space="preserve"> ينبغي أن ي</w:t>
      </w:r>
      <w:r w:rsidR="006D555B">
        <w:rPr>
          <w:rFonts w:hint="cs"/>
          <w:rtl/>
        </w:rPr>
        <w:t>ُ</w:t>
      </w:r>
      <w:r w:rsidRPr="00822CE9">
        <w:rPr>
          <w:rFonts w:hint="cs"/>
          <w:rtl/>
        </w:rPr>
        <w:t>حكم عليه بقتل أسر</w:t>
      </w:r>
      <w:r w:rsidR="006D555B">
        <w:rPr>
          <w:rFonts w:hint="cs"/>
          <w:rtl/>
        </w:rPr>
        <w:t>ا</w:t>
      </w:r>
      <w:r w:rsidRPr="00822CE9">
        <w:rPr>
          <w:rFonts w:hint="cs"/>
          <w:rtl/>
        </w:rPr>
        <w:t>ه</w:t>
      </w:r>
      <w:r w:rsidR="001B4F51">
        <w:rPr>
          <w:rFonts w:hint="cs"/>
          <w:rtl/>
        </w:rPr>
        <w:t xml:space="preserve"> قبل الإثخان لا إطلاق سراح هؤلاء الأسرى</w:t>
      </w:r>
      <w:r w:rsidRPr="00822CE9">
        <w:rPr>
          <w:rFonts w:hint="cs"/>
          <w:rtl/>
        </w:rPr>
        <w:t>. وهذا كلّه تأييد</w:t>
      </w:r>
      <w:r w:rsidR="006D555B">
        <w:rPr>
          <w:rFonts w:hint="cs"/>
          <w:rtl/>
        </w:rPr>
        <w:t>ٌ</w:t>
      </w:r>
      <w:r w:rsidRPr="00822CE9">
        <w:rPr>
          <w:rFonts w:hint="cs"/>
          <w:rtl/>
        </w:rPr>
        <w:t xml:space="preserve"> لثورة زيد الشهيد.</w:t>
      </w:r>
    </w:p>
    <w:p w14:paraId="2C7A3E5C" w14:textId="77777777" w:rsidR="000A4159" w:rsidRPr="006D555B" w:rsidRDefault="006D555B" w:rsidP="00A079D6">
      <w:pPr>
        <w:spacing w:line="214" w:lineRule="auto"/>
        <w:rPr>
          <w:b/>
          <w:bCs/>
          <w:rtl/>
        </w:rPr>
      </w:pPr>
      <w:r>
        <w:rPr>
          <w:rFonts w:hint="cs"/>
          <w:b/>
          <w:bCs/>
          <w:rtl/>
        </w:rPr>
        <w:t>إلا</w:t>
      </w:r>
      <w:r w:rsidR="000A4159" w:rsidRPr="006D555B">
        <w:rPr>
          <w:rFonts w:hint="cs"/>
          <w:b/>
          <w:bCs/>
          <w:rtl/>
        </w:rPr>
        <w:t xml:space="preserve"> أن</w:t>
      </w:r>
      <w:r>
        <w:rPr>
          <w:rFonts w:hint="cs"/>
          <w:b/>
          <w:bCs/>
          <w:rtl/>
        </w:rPr>
        <w:t>ّ</w:t>
      </w:r>
      <w:r w:rsidR="000A4159" w:rsidRPr="006D555B">
        <w:rPr>
          <w:rFonts w:hint="cs"/>
          <w:b/>
          <w:bCs/>
          <w:rtl/>
        </w:rPr>
        <w:t xml:space="preserve"> الرواية يمكن مناقشتها:</w:t>
      </w:r>
    </w:p>
    <w:p w14:paraId="68B723DD" w14:textId="77777777" w:rsidR="000A4159" w:rsidRPr="00822CE9" w:rsidRDefault="000A4159" w:rsidP="0071781D">
      <w:pPr>
        <w:spacing w:line="214" w:lineRule="auto"/>
        <w:rPr>
          <w:rtl/>
        </w:rPr>
      </w:pPr>
      <w:r w:rsidRPr="006D555B">
        <w:rPr>
          <w:rFonts w:hint="cs"/>
          <w:b/>
          <w:bCs/>
          <w:rtl/>
        </w:rPr>
        <w:t>أو</w:t>
      </w:r>
      <w:r w:rsidR="006D555B">
        <w:rPr>
          <w:rFonts w:hint="cs"/>
          <w:b/>
          <w:bCs/>
          <w:rtl/>
        </w:rPr>
        <w:t>ّ</w:t>
      </w:r>
      <w:r w:rsidRPr="006D555B">
        <w:rPr>
          <w:rFonts w:hint="cs"/>
          <w:b/>
          <w:bCs/>
          <w:rtl/>
        </w:rPr>
        <w:t>لاً:</w:t>
      </w:r>
      <w:r w:rsidRPr="00822CE9">
        <w:rPr>
          <w:rFonts w:hint="cs"/>
          <w:rtl/>
        </w:rPr>
        <w:t xml:space="preserve"> إن</w:t>
      </w:r>
      <w:r w:rsidR="006D555B">
        <w:rPr>
          <w:rFonts w:hint="cs"/>
          <w:rtl/>
        </w:rPr>
        <w:t>ّ</w:t>
      </w:r>
      <w:r w:rsidRPr="00822CE9">
        <w:rPr>
          <w:rFonts w:hint="cs"/>
          <w:rtl/>
        </w:rPr>
        <w:t xml:space="preserve"> مجرّد اهتمام الإمام بأمر جنازة زيد ليس دليلاً على تأييد ثورته و</w:t>
      </w:r>
      <w:r w:rsidR="006D555B">
        <w:rPr>
          <w:rFonts w:hint="cs"/>
          <w:rtl/>
        </w:rPr>
        <w:t>ت</w:t>
      </w:r>
      <w:r w:rsidRPr="00822CE9">
        <w:rPr>
          <w:rFonts w:hint="cs"/>
          <w:rtl/>
        </w:rPr>
        <w:t>فاعله العاطفي معها كما يراه بعضهم</w:t>
      </w:r>
      <w:r w:rsidRPr="000A4159">
        <w:rPr>
          <w:rFonts w:cs="Taher"/>
          <w:vertAlign w:val="superscript"/>
          <w:rtl/>
        </w:rPr>
        <w:t>(</w:t>
      </w:r>
      <w:r w:rsidRPr="000A4159">
        <w:rPr>
          <w:rStyle w:val="FootnoteReference"/>
          <w:rFonts w:cs="Taher"/>
          <w:rtl/>
        </w:rPr>
        <w:footnoteReference w:id="76"/>
      </w:r>
      <w:r w:rsidRPr="000A4159">
        <w:rPr>
          <w:rFonts w:cs="Taher"/>
          <w:vertAlign w:val="superscript"/>
          <w:rtl/>
        </w:rPr>
        <w:t>)</w:t>
      </w:r>
      <w:r w:rsidRPr="00822CE9">
        <w:rPr>
          <w:rtl/>
        </w:rPr>
        <w:t xml:space="preserve">، </w:t>
      </w:r>
      <w:r w:rsidRPr="00822CE9">
        <w:rPr>
          <w:rFonts w:hint="cs"/>
          <w:rtl/>
        </w:rPr>
        <w:t>فقد يرى الإمام أن</w:t>
      </w:r>
      <w:r w:rsidR="006D555B">
        <w:rPr>
          <w:rFonts w:hint="cs"/>
          <w:rtl/>
        </w:rPr>
        <w:t>ّ</w:t>
      </w:r>
      <w:r w:rsidRPr="00822CE9">
        <w:rPr>
          <w:rFonts w:hint="cs"/>
          <w:rtl/>
        </w:rPr>
        <w:t xml:space="preserve"> زيداً اجتهد فأخطأ أو التبس عليه الأمر، مما يجعل التعاطف مع وفاته والمجزرة التي </w:t>
      </w:r>
      <w:r w:rsidR="006D555B">
        <w:rPr>
          <w:rFonts w:hint="cs"/>
          <w:rtl/>
        </w:rPr>
        <w:t>ح</w:t>
      </w:r>
      <w:r w:rsidRPr="00822CE9">
        <w:rPr>
          <w:rFonts w:hint="cs"/>
          <w:rtl/>
        </w:rPr>
        <w:t>لّت بالبيت الهاشمي</w:t>
      </w:r>
      <w:r w:rsidR="0071781D">
        <w:rPr>
          <w:rFonts w:hint="cs"/>
          <w:rtl/>
        </w:rPr>
        <w:t>،</w:t>
      </w:r>
      <w:r w:rsidRPr="00822CE9">
        <w:rPr>
          <w:rFonts w:hint="cs"/>
          <w:rtl/>
        </w:rPr>
        <w:t xml:space="preserve"> أمراً طبيعي</w:t>
      </w:r>
      <w:r w:rsidR="006D555B">
        <w:rPr>
          <w:rFonts w:hint="cs"/>
          <w:rtl/>
        </w:rPr>
        <w:t>ّ</w:t>
      </w:r>
      <w:r w:rsidRPr="00822CE9">
        <w:rPr>
          <w:rFonts w:hint="cs"/>
          <w:rtl/>
        </w:rPr>
        <w:t>اً.</w:t>
      </w:r>
    </w:p>
    <w:p w14:paraId="54E7CA52" w14:textId="77777777" w:rsidR="00412086" w:rsidRDefault="000A4159" w:rsidP="00412086">
      <w:pPr>
        <w:spacing w:line="214" w:lineRule="auto"/>
        <w:rPr>
          <w:rtl/>
        </w:rPr>
      </w:pPr>
      <w:r w:rsidRPr="006D555B">
        <w:rPr>
          <w:rFonts w:hint="cs"/>
          <w:b/>
          <w:bCs/>
          <w:rtl/>
        </w:rPr>
        <w:t xml:space="preserve">ثانياً: </w:t>
      </w:r>
      <w:r w:rsidRPr="00822CE9">
        <w:rPr>
          <w:rFonts w:hint="cs"/>
          <w:rtl/>
        </w:rPr>
        <w:t>إن</w:t>
      </w:r>
      <w:r w:rsidR="00412086">
        <w:rPr>
          <w:rFonts w:hint="cs"/>
          <w:rtl/>
        </w:rPr>
        <w:t>ّ</w:t>
      </w:r>
      <w:r w:rsidRPr="00822CE9">
        <w:rPr>
          <w:rFonts w:hint="cs"/>
          <w:rtl/>
        </w:rPr>
        <w:t xml:space="preserve"> ذيل الرواية قد يوحي بعكس ما يريده المستدل</w:t>
      </w:r>
      <w:r w:rsidR="00412086">
        <w:rPr>
          <w:rFonts w:hint="cs"/>
          <w:rtl/>
        </w:rPr>
        <w:t>ّ؛</w:t>
      </w:r>
      <w:r w:rsidRPr="00822CE9">
        <w:rPr>
          <w:rFonts w:hint="cs"/>
          <w:rtl/>
        </w:rPr>
        <w:t xml:space="preserve"> لأن</w:t>
      </w:r>
      <w:r w:rsidR="00412086">
        <w:rPr>
          <w:rFonts w:hint="cs"/>
          <w:rtl/>
        </w:rPr>
        <w:t>ّ</w:t>
      </w:r>
      <w:r w:rsidRPr="00822CE9">
        <w:rPr>
          <w:rFonts w:hint="cs"/>
          <w:rtl/>
        </w:rPr>
        <w:t xml:space="preserve"> الإمام كان قد سأل سليمان بن خالد عما كانوا يرونه في جنود الشام، فلما بيّن له سليمان أن</w:t>
      </w:r>
      <w:r w:rsidR="00412086">
        <w:rPr>
          <w:rFonts w:hint="cs"/>
          <w:rtl/>
        </w:rPr>
        <w:t>ّ</w:t>
      </w:r>
      <w:r w:rsidRPr="00822CE9">
        <w:rPr>
          <w:rFonts w:hint="cs"/>
          <w:rtl/>
        </w:rPr>
        <w:t xml:space="preserve"> المعركة في نظرهم كانت معركة كفر وإيمان، ألزمه الصادق بالآية، إذ كيف أطلقوا الأسرى قبل أن ت</w:t>
      </w:r>
      <w:r w:rsidR="00412086">
        <w:rPr>
          <w:rFonts w:hint="cs"/>
          <w:rtl/>
        </w:rPr>
        <w:t xml:space="preserve">ُحسم </w:t>
      </w:r>
      <w:r w:rsidRPr="00822CE9">
        <w:rPr>
          <w:rFonts w:hint="cs"/>
          <w:rtl/>
        </w:rPr>
        <w:t>الأمور لصالحهم، مع أن</w:t>
      </w:r>
      <w:r w:rsidR="00412086">
        <w:rPr>
          <w:rFonts w:hint="cs"/>
          <w:rtl/>
        </w:rPr>
        <w:t>ّ</w:t>
      </w:r>
      <w:r w:rsidRPr="00822CE9">
        <w:rPr>
          <w:rFonts w:hint="cs"/>
          <w:rtl/>
        </w:rPr>
        <w:t xml:space="preserve"> المفروض ممارسة ضرب الرقاب بحسب تعبير الآية، ثم </w:t>
      </w:r>
      <w:r w:rsidR="00412086">
        <w:rPr>
          <w:rFonts w:hint="cs"/>
          <w:rtl/>
        </w:rPr>
        <w:t xml:space="preserve">عيّره </w:t>
      </w:r>
      <w:r w:rsidRPr="00822CE9">
        <w:rPr>
          <w:rFonts w:hint="cs"/>
          <w:rtl/>
        </w:rPr>
        <w:t>الإمام أخيراً بأن</w:t>
      </w:r>
      <w:r w:rsidR="00412086">
        <w:rPr>
          <w:rFonts w:hint="cs"/>
          <w:rtl/>
        </w:rPr>
        <w:t>ّ</w:t>
      </w:r>
      <w:r w:rsidRPr="00822CE9">
        <w:rPr>
          <w:rFonts w:hint="cs"/>
          <w:rtl/>
        </w:rPr>
        <w:t>هم م</w:t>
      </w:r>
      <w:r w:rsidR="00412086">
        <w:rPr>
          <w:rFonts w:hint="cs"/>
          <w:rtl/>
        </w:rPr>
        <w:t>ا</w:t>
      </w:r>
      <w:r w:rsidRPr="00822CE9">
        <w:rPr>
          <w:rFonts w:hint="cs"/>
          <w:rtl/>
        </w:rPr>
        <w:t xml:space="preserve"> استطاعوا السير ساعة في العدل، وهذا كلّه نحو</w:t>
      </w:r>
      <w:r w:rsidR="00412086">
        <w:rPr>
          <w:rFonts w:hint="cs"/>
          <w:rtl/>
        </w:rPr>
        <w:t>ٌ</w:t>
      </w:r>
      <w:r w:rsidRPr="00822CE9">
        <w:rPr>
          <w:rFonts w:hint="cs"/>
          <w:rtl/>
        </w:rPr>
        <w:t xml:space="preserve"> من أنحاء الغمز بهم</w:t>
      </w:r>
      <w:r w:rsidR="00412086">
        <w:rPr>
          <w:rFonts w:hint="cs"/>
          <w:rtl/>
        </w:rPr>
        <w:t>.</w:t>
      </w:r>
    </w:p>
    <w:p w14:paraId="5B49A15A" w14:textId="77777777" w:rsidR="000A4159" w:rsidRPr="00822CE9" w:rsidRDefault="000A4159" w:rsidP="00412086">
      <w:pPr>
        <w:spacing w:line="214" w:lineRule="auto"/>
        <w:rPr>
          <w:rtl/>
        </w:rPr>
      </w:pPr>
      <w:r w:rsidRPr="005860C9">
        <w:rPr>
          <w:rFonts w:hint="cs"/>
          <w:b/>
          <w:bCs/>
          <w:rtl/>
        </w:rPr>
        <w:t>ونحن لا نرى أن</w:t>
      </w:r>
      <w:r w:rsidR="00412086" w:rsidRPr="005860C9">
        <w:rPr>
          <w:rFonts w:hint="cs"/>
          <w:b/>
          <w:bCs/>
          <w:rtl/>
        </w:rPr>
        <w:t>ّ</w:t>
      </w:r>
      <w:r w:rsidRPr="005860C9">
        <w:rPr>
          <w:rFonts w:hint="cs"/>
          <w:b/>
          <w:bCs/>
          <w:rtl/>
        </w:rPr>
        <w:t xml:space="preserve"> المقطع الثاني من الرواية دليلاً على رفض الإمام الصادق لهذه الثورة</w:t>
      </w:r>
      <w:r w:rsidR="00412086" w:rsidRPr="005860C9">
        <w:rPr>
          <w:rFonts w:hint="cs"/>
          <w:b/>
          <w:bCs/>
          <w:rtl/>
        </w:rPr>
        <w:t>،</w:t>
      </w:r>
      <w:r w:rsidRPr="005860C9">
        <w:rPr>
          <w:rFonts w:hint="cs"/>
          <w:b/>
          <w:bCs/>
          <w:rtl/>
        </w:rPr>
        <w:t xml:space="preserve"> لكن</w:t>
      </w:r>
      <w:r w:rsidR="00412086" w:rsidRPr="005860C9">
        <w:rPr>
          <w:rFonts w:hint="cs"/>
          <w:b/>
          <w:bCs/>
          <w:rtl/>
        </w:rPr>
        <w:t>ّ</w:t>
      </w:r>
      <w:r w:rsidRPr="005860C9">
        <w:rPr>
          <w:rFonts w:hint="cs"/>
          <w:b/>
          <w:bCs/>
          <w:rtl/>
        </w:rPr>
        <w:t>نا نجده يعي</w:t>
      </w:r>
      <w:r w:rsidR="00412086" w:rsidRPr="005860C9">
        <w:rPr>
          <w:rFonts w:hint="cs"/>
          <w:b/>
          <w:bCs/>
          <w:rtl/>
        </w:rPr>
        <w:t>ق</w:t>
      </w:r>
      <w:r w:rsidRPr="005860C9">
        <w:rPr>
          <w:rFonts w:hint="cs"/>
          <w:b/>
          <w:bCs/>
          <w:rtl/>
        </w:rPr>
        <w:t xml:space="preserve"> الاستدلال بالمقطع الأو</w:t>
      </w:r>
      <w:r w:rsidR="00412086" w:rsidRPr="005860C9">
        <w:rPr>
          <w:rFonts w:hint="cs"/>
          <w:b/>
          <w:bCs/>
          <w:rtl/>
        </w:rPr>
        <w:t>ّ</w:t>
      </w:r>
      <w:r w:rsidRPr="005860C9">
        <w:rPr>
          <w:rFonts w:hint="cs"/>
          <w:b/>
          <w:bCs/>
          <w:rtl/>
        </w:rPr>
        <w:t>ل،</w:t>
      </w:r>
      <w:r w:rsidRPr="00822CE9">
        <w:rPr>
          <w:rFonts w:hint="cs"/>
          <w:rtl/>
        </w:rPr>
        <w:t xml:space="preserve"> ولا شاهد على أنّ الإمام قد رضي باعتبار أهل الشام كفاراً، فلعلّ احتجاجه كان على نحو التبكيت وإلزام الحج</w:t>
      </w:r>
      <w:r w:rsidR="00412086">
        <w:rPr>
          <w:rFonts w:hint="cs"/>
          <w:rtl/>
        </w:rPr>
        <w:t>ّ</w:t>
      </w:r>
      <w:r w:rsidRPr="00822CE9">
        <w:rPr>
          <w:rFonts w:hint="cs"/>
          <w:rtl/>
        </w:rPr>
        <w:t>ة كما بي</w:t>
      </w:r>
      <w:r w:rsidR="00412086">
        <w:rPr>
          <w:rFonts w:hint="cs"/>
          <w:rtl/>
        </w:rPr>
        <w:t>ّ</w:t>
      </w:r>
      <w:r w:rsidRPr="00822CE9">
        <w:rPr>
          <w:rFonts w:hint="cs"/>
          <w:rtl/>
        </w:rPr>
        <w:t>نا.</w:t>
      </w:r>
    </w:p>
    <w:p w14:paraId="32BFD350" w14:textId="77777777" w:rsidR="000A4159" w:rsidRPr="00822CE9" w:rsidRDefault="000A4159" w:rsidP="00A079D6">
      <w:pPr>
        <w:spacing w:line="214" w:lineRule="auto"/>
        <w:rPr>
          <w:rtl/>
        </w:rPr>
      </w:pPr>
      <w:r w:rsidRPr="00412086">
        <w:rPr>
          <w:rFonts w:hint="cs"/>
          <w:b/>
          <w:bCs/>
          <w:rtl/>
        </w:rPr>
        <w:t xml:space="preserve">ثالثاً: </w:t>
      </w:r>
      <w:r w:rsidR="00412086">
        <w:rPr>
          <w:rFonts w:hint="cs"/>
          <w:rtl/>
        </w:rPr>
        <w:t>إ</w:t>
      </w:r>
      <w:r w:rsidRPr="00822CE9">
        <w:rPr>
          <w:rFonts w:hint="cs"/>
          <w:rtl/>
        </w:rPr>
        <w:t>ن</w:t>
      </w:r>
      <w:r w:rsidR="00412086">
        <w:rPr>
          <w:rFonts w:hint="cs"/>
          <w:rtl/>
        </w:rPr>
        <w:t>ّ</w:t>
      </w:r>
      <w:r w:rsidRPr="00822CE9">
        <w:rPr>
          <w:rFonts w:hint="cs"/>
          <w:rtl/>
        </w:rPr>
        <w:t xml:space="preserve"> الرواية تام</w:t>
      </w:r>
      <w:r w:rsidR="00412086">
        <w:rPr>
          <w:rFonts w:hint="cs"/>
          <w:rtl/>
        </w:rPr>
        <w:t>ّة السند إلا</w:t>
      </w:r>
      <w:r w:rsidRPr="00822CE9">
        <w:rPr>
          <w:rFonts w:hint="cs"/>
          <w:rtl/>
        </w:rPr>
        <w:t xml:space="preserve"> من أبي المستهل، فإذا كان هو الكميت الشاعر ففي وثاقته نظر</w:t>
      </w:r>
      <w:r w:rsidR="00412086">
        <w:rPr>
          <w:rFonts w:hint="cs"/>
          <w:rtl/>
        </w:rPr>
        <w:t>ٌ</w:t>
      </w:r>
      <w:r w:rsidRPr="00822CE9">
        <w:rPr>
          <w:rFonts w:hint="cs"/>
          <w:rtl/>
        </w:rPr>
        <w:t xml:space="preserve"> وتعليق.</w:t>
      </w:r>
    </w:p>
    <w:p w14:paraId="041A60D5" w14:textId="77777777" w:rsidR="00A84DDC" w:rsidRDefault="000A4159" w:rsidP="005860C9">
      <w:pPr>
        <w:spacing w:line="214" w:lineRule="auto"/>
        <w:rPr>
          <w:rtl/>
        </w:rPr>
      </w:pPr>
      <w:r w:rsidRPr="00412086">
        <w:rPr>
          <w:rFonts w:hint="cs"/>
          <w:b/>
          <w:bCs/>
          <w:rtl/>
        </w:rPr>
        <w:lastRenderedPageBreak/>
        <w:t>الرواية الحادية عشرة: خبر معمر،</w:t>
      </w:r>
      <w:r w:rsidR="00123503">
        <w:rPr>
          <w:rFonts w:hint="cs"/>
          <w:b/>
          <w:bCs/>
          <w:rtl/>
        </w:rPr>
        <w:t xml:space="preserve"> </w:t>
      </w:r>
      <w:r w:rsidRPr="00822CE9">
        <w:rPr>
          <w:rFonts w:hint="cs"/>
          <w:rtl/>
        </w:rPr>
        <w:t>قال: كنت جالساً عند الصادق جعفر بن محم</w:t>
      </w:r>
      <w:r w:rsidR="00A31A0E">
        <w:rPr>
          <w:rFonts w:hint="cs"/>
          <w:rtl/>
        </w:rPr>
        <w:t>ّ</w:t>
      </w:r>
      <w:r w:rsidRPr="00822CE9">
        <w:rPr>
          <w:rFonts w:hint="cs"/>
          <w:rtl/>
        </w:rPr>
        <w:t>د، فجاء زيد</w:t>
      </w:r>
      <w:r w:rsidR="00A31A0E">
        <w:rPr>
          <w:rFonts w:hint="cs"/>
          <w:rtl/>
        </w:rPr>
        <w:t>ُ</w:t>
      </w:r>
      <w:r w:rsidRPr="00822CE9">
        <w:rPr>
          <w:rFonts w:hint="cs"/>
          <w:rtl/>
        </w:rPr>
        <w:t xml:space="preserve"> بن علي بن الحسين، فأخذ بع</w:t>
      </w:r>
      <w:r w:rsidR="0071781D">
        <w:rPr>
          <w:rFonts w:hint="cs"/>
          <w:rtl/>
        </w:rPr>
        <w:t>ِ</w:t>
      </w:r>
      <w:r w:rsidRPr="00822CE9">
        <w:rPr>
          <w:rFonts w:hint="cs"/>
          <w:rtl/>
        </w:rPr>
        <w:t>ضادتي الباب</w:t>
      </w:r>
      <w:r w:rsidR="0071781D" w:rsidRPr="000A4159">
        <w:rPr>
          <w:rFonts w:cs="Taher"/>
          <w:vertAlign w:val="superscript"/>
          <w:rtl/>
        </w:rPr>
        <w:t>(</w:t>
      </w:r>
      <w:r w:rsidR="0071781D" w:rsidRPr="000A4159">
        <w:rPr>
          <w:rStyle w:val="FootnoteReference"/>
          <w:rFonts w:cs="Taher"/>
          <w:rtl/>
        </w:rPr>
        <w:footnoteReference w:id="77"/>
      </w:r>
      <w:r w:rsidR="0071781D" w:rsidRPr="000A4159">
        <w:rPr>
          <w:rFonts w:cs="Taher"/>
          <w:vertAlign w:val="superscript"/>
          <w:rtl/>
        </w:rPr>
        <w:t>)</w:t>
      </w:r>
      <w:r w:rsidRPr="00822CE9">
        <w:rPr>
          <w:rFonts w:hint="cs"/>
          <w:rtl/>
        </w:rPr>
        <w:t>، فقال له الصادق</w:t>
      </w:r>
      <w:r w:rsidR="009A1626" w:rsidRPr="00822CE9">
        <w:rPr>
          <w:rFonts w:hint="cs"/>
          <w:rtl/>
        </w:rPr>
        <w:t>×</w:t>
      </w:r>
      <w:r w:rsidRPr="00822CE9">
        <w:rPr>
          <w:rFonts w:hint="cs"/>
          <w:rtl/>
        </w:rPr>
        <w:t>: «يا عم</w:t>
      </w:r>
      <w:r w:rsidR="00A31A0E">
        <w:rPr>
          <w:rFonts w:hint="cs"/>
          <w:rtl/>
        </w:rPr>
        <w:t>ّ،</w:t>
      </w:r>
      <w:r w:rsidRPr="00822CE9">
        <w:rPr>
          <w:rFonts w:hint="cs"/>
          <w:rtl/>
        </w:rPr>
        <w:t xml:space="preserve"> أعيذك بالله أن تكون المصلوب بالك</w:t>
      </w:r>
      <w:r w:rsidR="00200151">
        <w:rPr>
          <w:rFonts w:hint="cs"/>
          <w:rtl/>
        </w:rPr>
        <w:t>ُ</w:t>
      </w:r>
      <w:r w:rsidRPr="00822CE9">
        <w:rPr>
          <w:rFonts w:hint="cs"/>
          <w:rtl/>
        </w:rPr>
        <w:t>ناسة»، فقالت له أم</w:t>
      </w:r>
      <w:r w:rsidR="00A31A0E">
        <w:rPr>
          <w:rFonts w:hint="cs"/>
          <w:rtl/>
        </w:rPr>
        <w:t>ّ</w:t>
      </w:r>
      <w:r w:rsidRPr="00822CE9">
        <w:rPr>
          <w:rFonts w:hint="cs"/>
          <w:rtl/>
        </w:rPr>
        <w:t xml:space="preserve"> زيد: والله ما يحملك على هذا القول غير الحسد لابني</w:t>
      </w:r>
      <w:r w:rsidR="00A31A0E">
        <w:rPr>
          <w:rFonts w:hint="cs"/>
          <w:rtl/>
        </w:rPr>
        <w:t>،</w:t>
      </w:r>
      <w:r w:rsidRPr="00822CE9">
        <w:rPr>
          <w:rFonts w:hint="cs"/>
          <w:rtl/>
        </w:rPr>
        <w:t xml:space="preserve"> فقال: «يا ليته حسد، يا ليته حسد، ثلاثاً»، ثم</w:t>
      </w:r>
      <w:r w:rsidR="00A31A0E">
        <w:rPr>
          <w:rFonts w:hint="cs"/>
          <w:rtl/>
        </w:rPr>
        <w:t>ّ</w:t>
      </w:r>
      <w:r w:rsidRPr="00822CE9">
        <w:rPr>
          <w:rFonts w:hint="cs"/>
          <w:rtl/>
        </w:rPr>
        <w:t xml:space="preserve"> قال: «حد</w:t>
      </w:r>
      <w:r w:rsidR="00A31A0E">
        <w:rPr>
          <w:rFonts w:hint="cs"/>
          <w:rtl/>
        </w:rPr>
        <w:t>ّ</w:t>
      </w:r>
      <w:r w:rsidRPr="00822CE9">
        <w:rPr>
          <w:rFonts w:hint="cs"/>
          <w:rtl/>
        </w:rPr>
        <w:t>ثني أبي عن جد</w:t>
      </w:r>
      <w:r w:rsidR="00A31A0E">
        <w:rPr>
          <w:rFonts w:hint="cs"/>
          <w:rtl/>
        </w:rPr>
        <w:t>ّ</w:t>
      </w:r>
      <w:r w:rsidRPr="00822CE9">
        <w:rPr>
          <w:rFonts w:hint="cs"/>
          <w:rtl/>
        </w:rPr>
        <w:t>ي</w:t>
      </w:r>
      <w:r w:rsidR="00A31A0E">
        <w:rPr>
          <w:rFonts w:hint="cs"/>
          <w:rtl/>
        </w:rPr>
        <w:t xml:space="preserve"> أ</w:t>
      </w:r>
      <w:r w:rsidRPr="00822CE9">
        <w:rPr>
          <w:rFonts w:hint="cs"/>
          <w:rtl/>
        </w:rPr>
        <w:t>ن</w:t>
      </w:r>
      <w:r w:rsidR="00A31A0E">
        <w:rPr>
          <w:rFonts w:hint="cs"/>
          <w:rtl/>
        </w:rPr>
        <w:t>ّ</w:t>
      </w:r>
      <w:r w:rsidRPr="00822CE9">
        <w:rPr>
          <w:rFonts w:hint="cs"/>
          <w:rtl/>
        </w:rPr>
        <w:t>ه يخرج من ولده رجل يقال له</w:t>
      </w:r>
      <w:r w:rsidR="00A31A0E">
        <w:rPr>
          <w:rFonts w:hint="cs"/>
          <w:rtl/>
        </w:rPr>
        <w:t>:</w:t>
      </w:r>
      <w:r w:rsidRPr="00822CE9">
        <w:rPr>
          <w:rFonts w:hint="cs"/>
          <w:rtl/>
        </w:rPr>
        <w:t xml:space="preserve"> زيد، ي</w:t>
      </w:r>
      <w:r w:rsidR="00A31A0E">
        <w:rPr>
          <w:rFonts w:hint="cs"/>
          <w:rtl/>
        </w:rPr>
        <w:t>ُ</w:t>
      </w:r>
      <w:r w:rsidRPr="00822CE9">
        <w:rPr>
          <w:rFonts w:hint="cs"/>
          <w:rtl/>
        </w:rPr>
        <w:t>قتل بالكوفة، وي</w:t>
      </w:r>
      <w:r w:rsidR="00A31A0E">
        <w:rPr>
          <w:rFonts w:hint="cs"/>
          <w:rtl/>
        </w:rPr>
        <w:t>ُ</w:t>
      </w:r>
      <w:r w:rsidRPr="00822CE9">
        <w:rPr>
          <w:rFonts w:hint="cs"/>
          <w:rtl/>
        </w:rPr>
        <w:t>صلب بالكناسة يخرج من قبره نبشاً، تفتح لروحه أبواب السماء، يبتهج به أهل السماوات، تجعل روحه في حوصلة طير أخضر</w:t>
      </w:r>
      <w:r w:rsidR="00A31A0E">
        <w:rPr>
          <w:rFonts w:hint="cs"/>
          <w:rtl/>
        </w:rPr>
        <w:t>،</w:t>
      </w:r>
      <w:r w:rsidRPr="00822CE9">
        <w:rPr>
          <w:rFonts w:hint="cs"/>
          <w:rtl/>
        </w:rPr>
        <w:t xml:space="preserve"> يسر</w:t>
      </w:r>
      <w:r w:rsidR="00A31A0E">
        <w:rPr>
          <w:rFonts w:hint="cs"/>
          <w:rtl/>
        </w:rPr>
        <w:t>ح</w:t>
      </w:r>
      <w:r w:rsidRPr="00822CE9">
        <w:rPr>
          <w:rFonts w:hint="cs"/>
          <w:rtl/>
        </w:rPr>
        <w:t xml:space="preserve"> في الجنّة حيث يشاء»</w:t>
      </w:r>
      <w:r w:rsidRPr="000A4159">
        <w:rPr>
          <w:rFonts w:cs="Taher"/>
          <w:vertAlign w:val="superscript"/>
          <w:rtl/>
        </w:rPr>
        <w:t>(</w:t>
      </w:r>
      <w:r w:rsidRPr="000A4159">
        <w:rPr>
          <w:rStyle w:val="FootnoteReference"/>
          <w:rFonts w:cs="Taher"/>
          <w:rtl/>
        </w:rPr>
        <w:footnoteReference w:id="78"/>
      </w:r>
      <w:r w:rsidRPr="000A4159">
        <w:rPr>
          <w:rFonts w:cs="Taher"/>
          <w:vertAlign w:val="superscript"/>
          <w:rtl/>
        </w:rPr>
        <w:t>)</w:t>
      </w:r>
      <w:r w:rsidRPr="00822CE9">
        <w:rPr>
          <w:rtl/>
        </w:rPr>
        <w:t>.</w:t>
      </w:r>
    </w:p>
    <w:p w14:paraId="03018AC6" w14:textId="77777777" w:rsidR="000A4159" w:rsidRPr="00822CE9" w:rsidRDefault="000A4159" w:rsidP="005860C9">
      <w:pPr>
        <w:spacing w:line="214" w:lineRule="auto"/>
        <w:rPr>
          <w:rtl/>
        </w:rPr>
      </w:pPr>
      <w:r w:rsidRPr="00822CE9">
        <w:rPr>
          <w:rFonts w:hint="cs"/>
          <w:rtl/>
        </w:rPr>
        <w:t>فالرواية بمدحها زيداً وشهادته تشير إلى الرضا عن حركته الثوري</w:t>
      </w:r>
      <w:r w:rsidR="00A31A0E">
        <w:rPr>
          <w:rFonts w:hint="cs"/>
          <w:rtl/>
        </w:rPr>
        <w:t>ّ</w:t>
      </w:r>
      <w:r w:rsidRPr="00822CE9">
        <w:rPr>
          <w:rFonts w:hint="cs"/>
          <w:rtl/>
        </w:rPr>
        <w:t>ة.</w:t>
      </w:r>
    </w:p>
    <w:p w14:paraId="6D3574AA" w14:textId="77777777" w:rsidR="000A4159" w:rsidRPr="00A31A0E" w:rsidRDefault="000A4159" w:rsidP="00A079D6">
      <w:pPr>
        <w:spacing w:line="214" w:lineRule="auto"/>
        <w:rPr>
          <w:b/>
          <w:bCs/>
          <w:rtl/>
        </w:rPr>
      </w:pPr>
      <w:r w:rsidRPr="00A31A0E">
        <w:rPr>
          <w:rFonts w:hint="cs"/>
          <w:b/>
          <w:bCs/>
          <w:rtl/>
        </w:rPr>
        <w:t>لكن</w:t>
      </w:r>
      <w:r w:rsidR="00A31A0E" w:rsidRPr="00A31A0E">
        <w:rPr>
          <w:rFonts w:hint="cs"/>
          <w:b/>
          <w:bCs/>
          <w:rtl/>
        </w:rPr>
        <w:t>ّ</w:t>
      </w:r>
      <w:r w:rsidRPr="00A31A0E">
        <w:rPr>
          <w:rFonts w:hint="cs"/>
          <w:b/>
          <w:bCs/>
          <w:rtl/>
        </w:rPr>
        <w:t xml:space="preserve"> الرواية:</w:t>
      </w:r>
    </w:p>
    <w:p w14:paraId="36C99A71" w14:textId="77777777" w:rsidR="005C1AE2" w:rsidRPr="00822CE9" w:rsidRDefault="000A4159" w:rsidP="00555D2F">
      <w:pPr>
        <w:pStyle w:val="normal930"/>
        <w:rPr>
          <w:rtl/>
        </w:rPr>
      </w:pPr>
      <w:r w:rsidRPr="00A31A0E">
        <w:rPr>
          <w:rFonts w:hint="cs"/>
          <w:b/>
          <w:bCs/>
          <w:rtl/>
        </w:rPr>
        <w:t>أ ـ</w:t>
      </w:r>
      <w:r w:rsidRPr="00822CE9">
        <w:rPr>
          <w:rFonts w:hint="cs"/>
          <w:rtl/>
        </w:rPr>
        <w:t xml:space="preserve"> غير صريحة في تأييد الثورة، بل قد تكون أقرب إلى المدح في شخصه</w:t>
      </w:r>
      <w:r w:rsidR="00A31A0E">
        <w:rPr>
          <w:rFonts w:hint="cs"/>
          <w:rtl/>
        </w:rPr>
        <w:t>.</w:t>
      </w:r>
      <w:r w:rsidRPr="00822CE9">
        <w:rPr>
          <w:rFonts w:hint="cs"/>
          <w:rtl/>
        </w:rPr>
        <w:t xml:space="preserve"> ولعلّ هذا ما يفسّر استعاذة الإمام الصادق أو</w:t>
      </w:r>
      <w:r w:rsidR="00A31A0E">
        <w:rPr>
          <w:rFonts w:hint="cs"/>
          <w:rtl/>
        </w:rPr>
        <w:t>ّ</w:t>
      </w:r>
      <w:r w:rsidRPr="00822CE9">
        <w:rPr>
          <w:rFonts w:hint="cs"/>
          <w:rtl/>
        </w:rPr>
        <w:t>لاً، ثم بيان أشياء لا تستدعي الاستعاذة</w:t>
      </w:r>
      <w:r w:rsidR="00A31A0E">
        <w:rPr>
          <w:rFonts w:hint="cs"/>
          <w:rtl/>
        </w:rPr>
        <w:t xml:space="preserve"> ثانياً</w:t>
      </w:r>
      <w:r w:rsidR="005C1AE2">
        <w:rPr>
          <w:rFonts w:hint="cs"/>
          <w:rtl/>
        </w:rPr>
        <w:t>، فإنّ بين الاستعاذة أوّلاً وما ذكره ثانياً نوع من المنافرة، ويشهد له أنّ أمَّ زيد فهمت نوعاً من النقد من الاستعاذة، فانتقدت الإمام جعفر الصادق على قوله، إلا إذا قيل بأنّ هذا التعبير بالاستعاذة ليس إلا من باب التفاعل العاطفي لا أكثر!</w:t>
      </w:r>
    </w:p>
    <w:p w14:paraId="6F36B531" w14:textId="77777777" w:rsidR="000A4159" w:rsidRPr="00822CE9" w:rsidRDefault="000A4159" w:rsidP="00555D2F">
      <w:pPr>
        <w:pStyle w:val="normal930"/>
        <w:rPr>
          <w:rtl/>
        </w:rPr>
      </w:pPr>
      <w:r w:rsidRPr="00A31A0E">
        <w:rPr>
          <w:rFonts w:hint="cs"/>
          <w:b/>
          <w:bCs/>
          <w:rtl/>
        </w:rPr>
        <w:t>ب ـ</w:t>
      </w:r>
      <w:r w:rsidRPr="00822CE9">
        <w:rPr>
          <w:rFonts w:hint="cs"/>
          <w:rtl/>
        </w:rPr>
        <w:t xml:space="preserve"> إن</w:t>
      </w:r>
      <w:r w:rsidR="00A31A0E">
        <w:rPr>
          <w:rFonts w:hint="cs"/>
          <w:rtl/>
        </w:rPr>
        <w:t>ّ</w:t>
      </w:r>
      <w:r w:rsidRPr="00822CE9">
        <w:rPr>
          <w:rFonts w:hint="cs"/>
          <w:rtl/>
        </w:rPr>
        <w:t xml:space="preserve"> سعيد بن خيثم (خثيم) راوي الخبر، وكذلك أخوه معمر راوي الخبر، ضعيفان، وكانا من دعاة زيد</w:t>
      </w:r>
      <w:r w:rsidR="00A31A0E">
        <w:rPr>
          <w:rFonts w:hint="cs"/>
          <w:rtl/>
        </w:rPr>
        <w:t>،</w:t>
      </w:r>
      <w:r w:rsidRPr="00822CE9">
        <w:rPr>
          <w:rFonts w:hint="cs"/>
          <w:rtl/>
        </w:rPr>
        <w:t xml:space="preserve"> وقد ضع</w:t>
      </w:r>
      <w:r w:rsidR="00A31A0E">
        <w:rPr>
          <w:rFonts w:hint="cs"/>
          <w:rtl/>
        </w:rPr>
        <w:t>ّ</w:t>
      </w:r>
      <w:r w:rsidRPr="00822CE9">
        <w:rPr>
          <w:rFonts w:hint="cs"/>
          <w:rtl/>
        </w:rPr>
        <w:t>فهما النجاشي و</w:t>
      </w:r>
      <w:r w:rsidR="005860C9">
        <w:rPr>
          <w:rFonts w:hint="cs"/>
          <w:rtl/>
        </w:rPr>
        <w:t xml:space="preserve">ابن </w:t>
      </w:r>
      <w:r w:rsidRPr="00822CE9">
        <w:rPr>
          <w:rFonts w:hint="cs"/>
          <w:rtl/>
        </w:rPr>
        <w:t>الغضائري</w:t>
      </w:r>
      <w:r w:rsidRPr="000A4159">
        <w:rPr>
          <w:rFonts w:cs="Taher"/>
          <w:vertAlign w:val="superscript"/>
          <w:rtl/>
        </w:rPr>
        <w:t>(</w:t>
      </w:r>
      <w:r w:rsidRPr="000A4159">
        <w:rPr>
          <w:rStyle w:val="FootnoteReference"/>
          <w:rFonts w:cs="Taher"/>
          <w:rtl/>
        </w:rPr>
        <w:footnoteReference w:id="79"/>
      </w:r>
      <w:r w:rsidRPr="000A4159">
        <w:rPr>
          <w:rFonts w:cs="Taher"/>
          <w:vertAlign w:val="superscript"/>
          <w:rtl/>
        </w:rPr>
        <w:t>)</w:t>
      </w:r>
      <w:r w:rsidRPr="00822CE9">
        <w:rPr>
          <w:rtl/>
        </w:rPr>
        <w:t xml:space="preserve">، </w:t>
      </w:r>
      <w:r w:rsidRPr="00822CE9">
        <w:rPr>
          <w:rFonts w:hint="cs"/>
          <w:rtl/>
        </w:rPr>
        <w:t>فتكون الرواية ضعيفة يصعب الاستناد إليها</w:t>
      </w:r>
      <w:r w:rsidR="005860C9">
        <w:rPr>
          <w:rFonts w:hint="cs"/>
          <w:rtl/>
        </w:rPr>
        <w:t xml:space="preserve"> منفردةً</w:t>
      </w:r>
      <w:r w:rsidRPr="00822CE9">
        <w:rPr>
          <w:rFonts w:hint="cs"/>
          <w:rtl/>
        </w:rPr>
        <w:t>.</w:t>
      </w:r>
    </w:p>
    <w:p w14:paraId="20D21855" w14:textId="77777777" w:rsidR="000A4159" w:rsidRPr="00822CE9" w:rsidRDefault="000A4159" w:rsidP="00A31A0E">
      <w:pPr>
        <w:spacing w:line="214" w:lineRule="auto"/>
        <w:rPr>
          <w:rtl/>
        </w:rPr>
      </w:pPr>
      <w:r w:rsidRPr="00A31A0E">
        <w:rPr>
          <w:rFonts w:hint="cs"/>
          <w:b/>
          <w:bCs/>
          <w:rtl/>
        </w:rPr>
        <w:t>الرواية الثانية عشرة: خبر جابر بن يزيد الجعفي،</w:t>
      </w:r>
      <w:r w:rsidRPr="00822CE9">
        <w:rPr>
          <w:rFonts w:hint="cs"/>
          <w:rtl/>
        </w:rPr>
        <w:t xml:space="preserve"> عن أبي جعفر محم</w:t>
      </w:r>
      <w:r w:rsidR="00A31A0E">
        <w:rPr>
          <w:rFonts w:hint="cs"/>
          <w:rtl/>
        </w:rPr>
        <w:t>ّ</w:t>
      </w:r>
      <w:r w:rsidRPr="00822CE9">
        <w:rPr>
          <w:rFonts w:hint="cs"/>
          <w:rtl/>
        </w:rPr>
        <w:t>د بن علي الباقر، عن آبائه، قال: قال رسول الله</w:t>
      </w:r>
      <w:r w:rsidR="00A31A0E">
        <w:rPr>
          <w:rFonts w:hint="cs"/>
          <w:rtl/>
        </w:rPr>
        <w:t>‘</w:t>
      </w:r>
      <w:r w:rsidRPr="00822CE9">
        <w:rPr>
          <w:rFonts w:hint="cs"/>
          <w:rtl/>
        </w:rPr>
        <w:t xml:space="preserve"> للحسين</w:t>
      </w:r>
      <w:r w:rsidR="009A1626" w:rsidRPr="00822CE9">
        <w:rPr>
          <w:rFonts w:hint="cs"/>
          <w:rtl/>
        </w:rPr>
        <w:t>×</w:t>
      </w:r>
      <w:r w:rsidRPr="00822CE9">
        <w:rPr>
          <w:rFonts w:hint="cs"/>
          <w:rtl/>
        </w:rPr>
        <w:t>: «يا حسين</w:t>
      </w:r>
      <w:r w:rsidR="00A31A0E">
        <w:rPr>
          <w:rFonts w:hint="cs"/>
          <w:rtl/>
        </w:rPr>
        <w:t>،</w:t>
      </w:r>
      <w:r w:rsidRPr="00822CE9">
        <w:rPr>
          <w:rFonts w:hint="cs"/>
          <w:rtl/>
        </w:rPr>
        <w:t xml:space="preserve"> يخرج من صلبك رجل يقال له: زيد، يتخط</w:t>
      </w:r>
      <w:r w:rsidR="00200151">
        <w:rPr>
          <w:rFonts w:hint="cs"/>
          <w:rtl/>
        </w:rPr>
        <w:t>ّ</w:t>
      </w:r>
      <w:r w:rsidRPr="00822CE9">
        <w:rPr>
          <w:rFonts w:hint="cs"/>
          <w:rtl/>
        </w:rPr>
        <w:t>ى هو وأصحابه يوم القيامة رقاب الناس، غر</w:t>
      </w:r>
      <w:r w:rsidR="00A31A0E">
        <w:rPr>
          <w:rFonts w:hint="cs"/>
          <w:rtl/>
        </w:rPr>
        <w:t>ّ</w:t>
      </w:r>
      <w:r w:rsidRPr="00822CE9">
        <w:rPr>
          <w:rFonts w:hint="cs"/>
          <w:rtl/>
        </w:rPr>
        <w:t>اً محج</w:t>
      </w:r>
      <w:r w:rsidR="00A31A0E">
        <w:rPr>
          <w:rFonts w:hint="cs"/>
          <w:rtl/>
        </w:rPr>
        <w:t>ّ</w:t>
      </w:r>
      <w:r w:rsidRPr="00822CE9">
        <w:rPr>
          <w:rFonts w:hint="cs"/>
          <w:rtl/>
        </w:rPr>
        <w:t>لين يدخلون الجن</w:t>
      </w:r>
      <w:r w:rsidR="005860C9">
        <w:rPr>
          <w:rFonts w:hint="cs"/>
          <w:rtl/>
        </w:rPr>
        <w:t>ّ</w:t>
      </w:r>
      <w:r w:rsidRPr="00822CE9">
        <w:rPr>
          <w:rFonts w:hint="cs"/>
          <w:rtl/>
        </w:rPr>
        <w:t>ة بلا حساب»</w:t>
      </w:r>
      <w:r w:rsidRPr="000A4159">
        <w:rPr>
          <w:rFonts w:cs="Taher"/>
          <w:vertAlign w:val="superscript"/>
          <w:rtl/>
        </w:rPr>
        <w:t>(</w:t>
      </w:r>
      <w:r w:rsidRPr="000A4159">
        <w:rPr>
          <w:rStyle w:val="FootnoteReference"/>
          <w:rFonts w:cs="Taher"/>
          <w:rtl/>
        </w:rPr>
        <w:footnoteReference w:id="80"/>
      </w:r>
      <w:r w:rsidRPr="000A4159">
        <w:rPr>
          <w:rFonts w:cs="Taher"/>
          <w:vertAlign w:val="superscript"/>
          <w:rtl/>
        </w:rPr>
        <w:t>)</w:t>
      </w:r>
      <w:r w:rsidRPr="00822CE9">
        <w:rPr>
          <w:rtl/>
        </w:rPr>
        <w:t>.</w:t>
      </w:r>
    </w:p>
    <w:p w14:paraId="36FC2E5A" w14:textId="77777777" w:rsidR="000A4159" w:rsidRPr="00822CE9" w:rsidRDefault="000A4159" w:rsidP="00555D2F">
      <w:pPr>
        <w:pStyle w:val="normal930"/>
        <w:rPr>
          <w:rtl/>
        </w:rPr>
      </w:pPr>
      <w:r w:rsidRPr="00822CE9">
        <w:rPr>
          <w:rFonts w:hint="cs"/>
          <w:rtl/>
        </w:rPr>
        <w:lastRenderedPageBreak/>
        <w:t>وبضم</w:t>
      </w:r>
      <w:r w:rsidR="00A31A0E">
        <w:rPr>
          <w:rFonts w:hint="cs"/>
          <w:rtl/>
        </w:rPr>
        <w:t>ّ أ</w:t>
      </w:r>
      <w:r w:rsidRPr="00822CE9">
        <w:rPr>
          <w:rFonts w:hint="cs"/>
          <w:rtl/>
        </w:rPr>
        <w:t>صحابه إليه يستفاد الرضا عن حركته</w:t>
      </w:r>
      <w:r w:rsidR="00A31A0E">
        <w:rPr>
          <w:rFonts w:hint="cs"/>
          <w:rtl/>
        </w:rPr>
        <w:t>،</w:t>
      </w:r>
      <w:r w:rsidRPr="00822CE9">
        <w:rPr>
          <w:rFonts w:hint="cs"/>
          <w:rtl/>
        </w:rPr>
        <w:t xml:space="preserve"> وأن</w:t>
      </w:r>
      <w:r w:rsidR="00A31A0E">
        <w:rPr>
          <w:rFonts w:hint="cs"/>
          <w:rtl/>
        </w:rPr>
        <w:t>ّ</w:t>
      </w:r>
      <w:r w:rsidRPr="00822CE9">
        <w:rPr>
          <w:rFonts w:hint="cs"/>
          <w:rtl/>
        </w:rPr>
        <w:t>ها أوجبت لهم الجن</w:t>
      </w:r>
      <w:r w:rsidR="00A31A0E">
        <w:rPr>
          <w:rFonts w:hint="cs"/>
          <w:rtl/>
        </w:rPr>
        <w:t>ّ</w:t>
      </w:r>
      <w:r w:rsidRPr="00822CE9">
        <w:rPr>
          <w:rFonts w:hint="cs"/>
          <w:rtl/>
        </w:rPr>
        <w:t>ة</w:t>
      </w:r>
      <w:r w:rsidR="00A31A0E">
        <w:rPr>
          <w:rFonts w:hint="cs"/>
          <w:rtl/>
        </w:rPr>
        <w:t>،</w:t>
      </w:r>
      <w:r w:rsidRPr="00822CE9">
        <w:rPr>
          <w:rFonts w:hint="cs"/>
          <w:rtl/>
        </w:rPr>
        <w:t xml:space="preserve"> فتكون دلالتها أفضل من التي سبقتها، لكن</w:t>
      </w:r>
      <w:r w:rsidR="00A31A0E">
        <w:rPr>
          <w:rFonts w:hint="cs"/>
          <w:rtl/>
        </w:rPr>
        <w:t>ّ</w:t>
      </w:r>
      <w:r w:rsidRPr="00822CE9">
        <w:rPr>
          <w:rFonts w:hint="cs"/>
          <w:rtl/>
        </w:rPr>
        <w:t xml:space="preserve"> الرواية ضعيفة بجهالة داود بن عبد الجبار</w:t>
      </w:r>
      <w:r w:rsidRPr="000A4159">
        <w:rPr>
          <w:rFonts w:cs="Taher"/>
          <w:vertAlign w:val="superscript"/>
          <w:rtl/>
        </w:rPr>
        <w:t>(</w:t>
      </w:r>
      <w:r w:rsidRPr="000A4159">
        <w:rPr>
          <w:rStyle w:val="FootnoteReference"/>
          <w:rFonts w:cs="Taher"/>
          <w:rtl/>
        </w:rPr>
        <w:footnoteReference w:id="81"/>
      </w:r>
      <w:r w:rsidRPr="000A4159">
        <w:rPr>
          <w:rFonts w:cs="Taher"/>
          <w:vertAlign w:val="superscript"/>
          <w:rtl/>
        </w:rPr>
        <w:t>)</w:t>
      </w:r>
      <w:r w:rsidRPr="00822CE9">
        <w:rPr>
          <w:rtl/>
        </w:rPr>
        <w:t xml:space="preserve"> </w:t>
      </w:r>
      <w:r w:rsidRPr="00822CE9">
        <w:rPr>
          <w:rFonts w:hint="cs"/>
          <w:rtl/>
        </w:rPr>
        <w:t>الوارد في سندها.</w:t>
      </w:r>
    </w:p>
    <w:p w14:paraId="038AF263" w14:textId="77777777" w:rsidR="000A4159" w:rsidRPr="00822CE9" w:rsidRDefault="000A4159" w:rsidP="00200151">
      <w:pPr>
        <w:spacing w:line="214" w:lineRule="auto"/>
        <w:rPr>
          <w:rtl/>
        </w:rPr>
      </w:pPr>
      <w:r w:rsidRPr="005C1AE2">
        <w:rPr>
          <w:rFonts w:hint="cs"/>
          <w:b/>
          <w:bCs/>
          <w:rtl/>
        </w:rPr>
        <w:t xml:space="preserve">هذه هي </w:t>
      </w:r>
      <w:r w:rsidR="00200151" w:rsidRPr="005C1AE2">
        <w:rPr>
          <w:rFonts w:hint="cs"/>
          <w:b/>
          <w:bCs/>
          <w:rtl/>
        </w:rPr>
        <w:t xml:space="preserve">أهمّ </w:t>
      </w:r>
      <w:r w:rsidRPr="005C1AE2">
        <w:rPr>
          <w:rFonts w:hint="cs"/>
          <w:b/>
          <w:bCs/>
          <w:rtl/>
        </w:rPr>
        <w:t>الروايات التي تؤي</w:t>
      </w:r>
      <w:r w:rsidR="00A31A0E" w:rsidRPr="005C1AE2">
        <w:rPr>
          <w:rFonts w:hint="cs"/>
          <w:b/>
          <w:bCs/>
          <w:rtl/>
        </w:rPr>
        <w:t>ّ</w:t>
      </w:r>
      <w:r w:rsidRPr="005C1AE2">
        <w:rPr>
          <w:rFonts w:hint="cs"/>
          <w:b/>
          <w:bCs/>
          <w:rtl/>
        </w:rPr>
        <w:t xml:space="preserve">د ثورة زيد بن علي، </w:t>
      </w:r>
      <w:r w:rsidR="005C1AE2" w:rsidRPr="005C1AE2">
        <w:rPr>
          <w:rFonts w:hint="cs"/>
          <w:b/>
          <w:bCs/>
          <w:rtl/>
        </w:rPr>
        <w:t xml:space="preserve">وغيرها صار مفهوماً ممّا علقناه عليها. </w:t>
      </w:r>
      <w:r w:rsidRPr="005C1AE2">
        <w:rPr>
          <w:rFonts w:hint="cs"/>
          <w:b/>
          <w:bCs/>
          <w:rtl/>
        </w:rPr>
        <w:t>وقد ظهر</w:t>
      </w:r>
      <w:r w:rsidRPr="00822CE9">
        <w:rPr>
          <w:rFonts w:hint="cs"/>
          <w:rtl/>
        </w:rPr>
        <w:t xml:space="preserve"> أنّ الصحيح سنداً ودلال</w:t>
      </w:r>
      <w:r w:rsidR="00CA156E">
        <w:rPr>
          <w:rFonts w:hint="cs"/>
          <w:rtl/>
        </w:rPr>
        <w:t xml:space="preserve">ةً فيها رواية واحدة، هي صحيحة </w:t>
      </w:r>
      <w:r w:rsidRPr="00822CE9">
        <w:rPr>
          <w:rFonts w:hint="cs"/>
          <w:rtl/>
        </w:rPr>
        <w:t>ع</w:t>
      </w:r>
      <w:r w:rsidR="00CA156E">
        <w:rPr>
          <w:rFonts w:hint="cs"/>
          <w:rtl/>
        </w:rPr>
        <w:t>ِ</w:t>
      </w:r>
      <w:r w:rsidRPr="00822CE9">
        <w:rPr>
          <w:rFonts w:hint="cs"/>
          <w:rtl/>
        </w:rPr>
        <w:t xml:space="preserve">يص بن القاسم، كما أنّ التام دلالةً </w:t>
      </w:r>
      <w:r w:rsidR="00A31A0E">
        <w:rPr>
          <w:rFonts w:hint="cs"/>
          <w:rtl/>
        </w:rPr>
        <w:t>بقطع النظر عن الأسانيد هو ثماني روايات فقط من بين ا</w:t>
      </w:r>
      <w:r w:rsidRPr="00822CE9">
        <w:rPr>
          <w:rFonts w:hint="cs"/>
          <w:rtl/>
        </w:rPr>
        <w:t xml:space="preserve">ثنتي عشرة رواية، </w:t>
      </w:r>
      <w:r w:rsidRPr="005860C9">
        <w:rPr>
          <w:rFonts w:hint="cs"/>
          <w:b/>
          <w:bCs/>
          <w:rtl/>
        </w:rPr>
        <w:t>وقد لاحظنا أنّ أغلب هذه الروايات تقريباً ذكره الصدوق وحده في مصن</w:t>
      </w:r>
      <w:r w:rsidR="00A31A0E" w:rsidRPr="005860C9">
        <w:rPr>
          <w:rFonts w:hint="cs"/>
          <w:b/>
          <w:bCs/>
          <w:rtl/>
        </w:rPr>
        <w:t>ّ</w:t>
      </w:r>
      <w:r w:rsidRPr="005860C9">
        <w:rPr>
          <w:rFonts w:hint="cs"/>
          <w:b/>
          <w:bCs/>
          <w:rtl/>
        </w:rPr>
        <w:t>فاته «الأمالي ـ العيون» ولم ترد في مصادر التاريخ ولا الحديث السن</w:t>
      </w:r>
      <w:r w:rsidR="00A31A0E" w:rsidRPr="005860C9">
        <w:rPr>
          <w:rFonts w:hint="cs"/>
          <w:b/>
          <w:bCs/>
          <w:rtl/>
        </w:rPr>
        <w:t>ّ</w:t>
      </w:r>
      <w:r w:rsidRPr="005860C9">
        <w:rPr>
          <w:rFonts w:hint="cs"/>
          <w:b/>
          <w:bCs/>
          <w:rtl/>
        </w:rPr>
        <w:t>ي والشيعي الكبرى</w:t>
      </w:r>
      <w:r w:rsidR="00A31A0E" w:rsidRPr="005860C9">
        <w:rPr>
          <w:rFonts w:hint="cs"/>
          <w:b/>
          <w:bCs/>
          <w:rtl/>
        </w:rPr>
        <w:t>،</w:t>
      </w:r>
      <w:r w:rsidRPr="005860C9">
        <w:rPr>
          <w:rFonts w:hint="cs"/>
          <w:b/>
          <w:bCs/>
          <w:rtl/>
        </w:rPr>
        <w:t xml:space="preserve"> كما أن</w:t>
      </w:r>
      <w:r w:rsidR="00A31A0E" w:rsidRPr="005860C9">
        <w:rPr>
          <w:rFonts w:hint="cs"/>
          <w:b/>
          <w:bCs/>
          <w:rtl/>
        </w:rPr>
        <w:t>ّ</w:t>
      </w:r>
      <w:r w:rsidRPr="005860C9">
        <w:rPr>
          <w:rFonts w:hint="cs"/>
          <w:b/>
          <w:bCs/>
          <w:rtl/>
        </w:rPr>
        <w:t xml:space="preserve"> بعض هذه الروايات جاء في أسانيده رجال </w:t>
      </w:r>
      <w:r w:rsidR="00A31A0E" w:rsidRPr="005860C9">
        <w:rPr>
          <w:rFonts w:hint="cs"/>
          <w:b/>
          <w:bCs/>
          <w:rtl/>
        </w:rPr>
        <w:t>من</w:t>
      </w:r>
      <w:r w:rsidRPr="005860C9">
        <w:rPr>
          <w:rFonts w:hint="cs"/>
          <w:b/>
          <w:bCs/>
          <w:rtl/>
        </w:rPr>
        <w:t xml:space="preserve"> الزيدية</w:t>
      </w:r>
      <w:r w:rsidR="00A31A0E" w:rsidRPr="005860C9">
        <w:rPr>
          <w:rFonts w:hint="cs"/>
          <w:b/>
          <w:bCs/>
          <w:rtl/>
        </w:rPr>
        <w:t>،</w:t>
      </w:r>
      <w:r w:rsidRPr="005860C9">
        <w:rPr>
          <w:rFonts w:hint="cs"/>
          <w:b/>
          <w:bCs/>
          <w:rtl/>
        </w:rPr>
        <w:t xml:space="preserve"> وبعضها رجال وصفوا بالكذب وال</w:t>
      </w:r>
      <w:r w:rsidR="00A31A0E" w:rsidRPr="005860C9">
        <w:rPr>
          <w:rFonts w:hint="cs"/>
          <w:b/>
          <w:bCs/>
          <w:rtl/>
        </w:rPr>
        <w:t>ض</w:t>
      </w:r>
      <w:r w:rsidRPr="005860C9">
        <w:rPr>
          <w:rFonts w:hint="cs"/>
          <w:b/>
          <w:bCs/>
          <w:rtl/>
        </w:rPr>
        <w:t>عف،</w:t>
      </w:r>
      <w:r w:rsidRPr="00822CE9">
        <w:rPr>
          <w:rFonts w:hint="cs"/>
          <w:rtl/>
        </w:rPr>
        <w:t xml:space="preserve"> لكن</w:t>
      </w:r>
      <w:r w:rsidR="00A31A0E">
        <w:rPr>
          <w:rFonts w:hint="cs"/>
          <w:rtl/>
        </w:rPr>
        <w:t>ّنا لا نبتّ الآن بأمر هذه الروايات، إلا</w:t>
      </w:r>
      <w:r w:rsidRPr="00822CE9">
        <w:rPr>
          <w:rFonts w:hint="cs"/>
          <w:rtl/>
        </w:rPr>
        <w:t xml:space="preserve"> بعد ملاحظة الروايات التي ذكر أن</w:t>
      </w:r>
      <w:r w:rsidR="00A31A0E">
        <w:rPr>
          <w:rFonts w:hint="cs"/>
          <w:rtl/>
        </w:rPr>
        <w:t>ّ</w:t>
      </w:r>
      <w:r w:rsidRPr="00822CE9">
        <w:rPr>
          <w:rFonts w:hint="cs"/>
          <w:rtl/>
        </w:rPr>
        <w:t>ها ذم</w:t>
      </w:r>
      <w:r w:rsidR="00A31A0E">
        <w:rPr>
          <w:rFonts w:hint="cs"/>
          <w:rtl/>
        </w:rPr>
        <w:t>ّ</w:t>
      </w:r>
      <w:r w:rsidRPr="00822CE9">
        <w:rPr>
          <w:rFonts w:hint="cs"/>
          <w:rtl/>
        </w:rPr>
        <w:t>ت زيداً وحركته، لكي نخرج باستنتاج</w:t>
      </w:r>
      <w:r w:rsidR="00A31A0E">
        <w:rPr>
          <w:rFonts w:hint="cs"/>
          <w:rtl/>
        </w:rPr>
        <w:t>ٍ</w:t>
      </w:r>
      <w:r w:rsidRPr="00822CE9">
        <w:rPr>
          <w:rFonts w:hint="cs"/>
          <w:rtl/>
        </w:rPr>
        <w:t xml:space="preserve"> نهائي يحدّد الموقف.</w:t>
      </w:r>
    </w:p>
    <w:p w14:paraId="04818294" w14:textId="77777777" w:rsidR="000A4159" w:rsidRPr="00A31A0E" w:rsidRDefault="00A31A0E" w:rsidP="00BF0865">
      <w:pPr>
        <w:pStyle w:val="Heading3"/>
        <w:rPr>
          <w:rtl/>
        </w:rPr>
      </w:pPr>
      <w:bookmarkStart w:id="42" w:name="_Toc143804111"/>
      <w:bookmarkStart w:id="43" w:name="_Toc238123236"/>
      <w:r>
        <w:rPr>
          <w:rFonts w:hint="cs"/>
          <w:rtl/>
        </w:rPr>
        <w:t>المجموعة الثانية: ال</w:t>
      </w:r>
      <w:r w:rsidR="000A4159" w:rsidRPr="00A31A0E">
        <w:rPr>
          <w:rFonts w:hint="cs"/>
          <w:rtl/>
        </w:rPr>
        <w:t>نصوص الرافض</w:t>
      </w:r>
      <w:r w:rsidR="00B02CC1">
        <w:rPr>
          <w:rFonts w:hint="cs"/>
          <w:rtl/>
        </w:rPr>
        <w:t>ة</w:t>
      </w:r>
      <w:r w:rsidR="000A4159" w:rsidRPr="00A31A0E">
        <w:rPr>
          <w:rFonts w:hint="cs"/>
          <w:rtl/>
        </w:rPr>
        <w:t xml:space="preserve"> لثورة زيد </w:t>
      </w:r>
      <w:r>
        <w:rPr>
          <w:rFonts w:hint="cs"/>
          <w:rtl/>
        </w:rPr>
        <w:t>بن عليّ</w:t>
      </w:r>
      <w:bookmarkEnd w:id="42"/>
      <w:bookmarkEnd w:id="43"/>
    </w:p>
    <w:p w14:paraId="777B2D99" w14:textId="77777777" w:rsidR="000A4159" w:rsidRDefault="000A4159" w:rsidP="00B02CC1">
      <w:pPr>
        <w:spacing w:line="214" w:lineRule="auto"/>
        <w:rPr>
          <w:b/>
          <w:bCs/>
          <w:rtl/>
        </w:rPr>
      </w:pPr>
      <w:r w:rsidRPr="00822CE9">
        <w:rPr>
          <w:rFonts w:hint="cs"/>
          <w:rtl/>
        </w:rPr>
        <w:t>ثم</w:t>
      </w:r>
      <w:r w:rsidR="00A31A0E">
        <w:rPr>
          <w:rFonts w:hint="cs"/>
          <w:rtl/>
        </w:rPr>
        <w:t>ّ</w:t>
      </w:r>
      <w:r w:rsidRPr="00822CE9">
        <w:rPr>
          <w:rFonts w:hint="cs"/>
          <w:rtl/>
        </w:rPr>
        <w:t>ة نصوص عدّة دلّت على موقف</w:t>
      </w:r>
      <w:r w:rsidR="00A31A0E">
        <w:rPr>
          <w:rFonts w:hint="cs"/>
          <w:rtl/>
        </w:rPr>
        <w:t>ٍ</w:t>
      </w:r>
      <w:r w:rsidRPr="00822CE9">
        <w:rPr>
          <w:rFonts w:hint="cs"/>
          <w:rtl/>
        </w:rPr>
        <w:t xml:space="preserve"> سلبي ل</w:t>
      </w:r>
      <w:r w:rsidR="009A1626" w:rsidRPr="00822CE9">
        <w:rPr>
          <w:rFonts w:hint="cs"/>
          <w:rtl/>
        </w:rPr>
        <w:t>أ</w:t>
      </w:r>
      <w:r w:rsidR="00A31A0E">
        <w:rPr>
          <w:rFonts w:hint="cs"/>
          <w:rtl/>
        </w:rPr>
        <w:t>ئمّة أ</w:t>
      </w:r>
      <w:r w:rsidR="009A1626" w:rsidRPr="00822CE9">
        <w:rPr>
          <w:rFonts w:hint="cs"/>
          <w:rtl/>
        </w:rPr>
        <w:t>هل البيت</w:t>
      </w:r>
      <w:r w:rsidRPr="00822CE9">
        <w:rPr>
          <w:rFonts w:hint="cs"/>
          <w:rtl/>
        </w:rPr>
        <w:t xml:space="preserve"> من حركة زيد، ولن نتعرّض لنصوص ذم</w:t>
      </w:r>
      <w:r w:rsidR="00A31A0E">
        <w:rPr>
          <w:rFonts w:hint="cs"/>
          <w:rtl/>
        </w:rPr>
        <w:t>ّ</w:t>
      </w:r>
      <w:r w:rsidRPr="00822CE9">
        <w:rPr>
          <w:rFonts w:hint="cs"/>
          <w:rtl/>
        </w:rPr>
        <w:t xml:space="preserve"> زيد</w:t>
      </w:r>
      <w:r w:rsidR="00A31A0E">
        <w:rPr>
          <w:rFonts w:hint="cs"/>
          <w:rtl/>
        </w:rPr>
        <w:t>ٍ</w:t>
      </w:r>
      <w:r w:rsidRPr="00822CE9">
        <w:rPr>
          <w:rFonts w:hint="cs"/>
          <w:rtl/>
        </w:rPr>
        <w:t xml:space="preserve"> في شخصه أو.. وإن</w:t>
      </w:r>
      <w:r w:rsidR="00A31A0E">
        <w:rPr>
          <w:rFonts w:hint="cs"/>
          <w:rtl/>
        </w:rPr>
        <w:t>ّما سنقتصر على ما يتعلّق بتح</w:t>
      </w:r>
      <w:r w:rsidRPr="00822CE9">
        <w:rPr>
          <w:rFonts w:hint="cs"/>
          <w:rtl/>
        </w:rPr>
        <w:t xml:space="preserve">ديد موقفهم من الثورة والخروج المسلّح، </w:t>
      </w:r>
      <w:r w:rsidRPr="00B02CC1">
        <w:rPr>
          <w:rFonts w:hint="cs"/>
          <w:b/>
          <w:bCs/>
          <w:rtl/>
        </w:rPr>
        <w:t>و</w:t>
      </w:r>
      <w:r w:rsidR="00B02CC1" w:rsidRPr="00B02CC1">
        <w:rPr>
          <w:rFonts w:hint="cs"/>
          <w:b/>
          <w:bCs/>
          <w:rtl/>
        </w:rPr>
        <w:t xml:space="preserve">مهمّ </w:t>
      </w:r>
      <w:r w:rsidRPr="00B02CC1">
        <w:rPr>
          <w:rFonts w:hint="cs"/>
          <w:b/>
          <w:bCs/>
          <w:rtl/>
        </w:rPr>
        <w:t>هذه الروايات ه</w:t>
      </w:r>
      <w:r w:rsidR="00B02CC1" w:rsidRPr="00B02CC1">
        <w:rPr>
          <w:rFonts w:hint="cs"/>
          <w:b/>
          <w:bCs/>
          <w:rtl/>
        </w:rPr>
        <w:t>و الآتي</w:t>
      </w:r>
      <w:r w:rsidRPr="00B02CC1">
        <w:rPr>
          <w:rFonts w:hint="cs"/>
          <w:b/>
          <w:bCs/>
          <w:rtl/>
        </w:rPr>
        <w:t>:</w:t>
      </w:r>
    </w:p>
    <w:p w14:paraId="4B912B83" w14:textId="77777777" w:rsidR="00205919" w:rsidRPr="00205919" w:rsidRDefault="00205919" w:rsidP="0096148C">
      <w:pPr>
        <w:pStyle w:val="Heading3"/>
        <w:rPr>
          <w:rtl/>
        </w:rPr>
      </w:pPr>
      <w:bookmarkStart w:id="44" w:name="_Toc143804112"/>
      <w:bookmarkStart w:id="45" w:name="_Toc238123237"/>
      <w:r w:rsidRPr="00205919">
        <w:rPr>
          <w:rFonts w:hint="cs"/>
          <w:rtl/>
        </w:rPr>
        <w:t xml:space="preserve">وقفة مع حوار </w:t>
      </w:r>
      <w:r>
        <w:rPr>
          <w:rFonts w:hint="cs"/>
          <w:rtl/>
        </w:rPr>
        <w:t>الإمامين: زيد و</w:t>
      </w:r>
      <w:r w:rsidRPr="00205919">
        <w:rPr>
          <w:rFonts w:hint="cs"/>
          <w:rtl/>
        </w:rPr>
        <w:t>الباقر</w:t>
      </w:r>
      <w:bookmarkEnd w:id="44"/>
      <w:bookmarkEnd w:id="45"/>
    </w:p>
    <w:p w14:paraId="1B3F0DD8" w14:textId="77777777" w:rsidR="000A4159" w:rsidRPr="00822CE9" w:rsidRDefault="000A4159" w:rsidP="00B1403A">
      <w:pPr>
        <w:spacing w:line="214" w:lineRule="auto"/>
        <w:rPr>
          <w:rtl/>
        </w:rPr>
      </w:pPr>
      <w:r w:rsidRPr="00B1403A">
        <w:rPr>
          <w:rFonts w:hint="cs"/>
          <w:b/>
          <w:bCs/>
          <w:rtl/>
        </w:rPr>
        <w:t>الرواية الأولى: خبر موسى بن بكر بن دأب [داب ـ ذئاب ـ ذاب]،</w:t>
      </w:r>
      <w:r w:rsidRPr="00822CE9">
        <w:rPr>
          <w:rFonts w:hint="cs"/>
          <w:rtl/>
        </w:rPr>
        <w:t xml:space="preserve"> عمّن حدّثه، عن أبي جعفر</w:t>
      </w:r>
      <w:r w:rsidR="00B1403A">
        <w:rPr>
          <w:rFonts w:hint="cs"/>
          <w:rtl/>
        </w:rPr>
        <w:t>،</w:t>
      </w:r>
      <w:r w:rsidRPr="00822CE9">
        <w:rPr>
          <w:rFonts w:hint="cs"/>
          <w:rtl/>
        </w:rPr>
        <w:t xml:space="preserve"> أن</w:t>
      </w:r>
      <w:r w:rsidR="00B1403A">
        <w:rPr>
          <w:rFonts w:hint="cs"/>
          <w:rtl/>
        </w:rPr>
        <w:t>ّ</w:t>
      </w:r>
      <w:r w:rsidRPr="00822CE9">
        <w:rPr>
          <w:rFonts w:hint="cs"/>
          <w:rtl/>
        </w:rPr>
        <w:t xml:space="preserve"> زيد بن علي بن الحسين دخل على أبي جعفر محم</w:t>
      </w:r>
      <w:r w:rsidR="00B1403A">
        <w:rPr>
          <w:rFonts w:hint="cs"/>
          <w:rtl/>
        </w:rPr>
        <w:t>ّ</w:t>
      </w:r>
      <w:r w:rsidRPr="00822CE9">
        <w:rPr>
          <w:rFonts w:hint="cs"/>
          <w:rtl/>
        </w:rPr>
        <w:t>د بن علي، ومعه كتب من أهل الكوفة، يدعونه فيها إلى أنفسهم ويخبرونه باجتماعهم ويأمرونه بالخروج، فقال له أبو جعفر</w:t>
      </w:r>
      <w:r w:rsidR="009A1626" w:rsidRPr="00822CE9">
        <w:rPr>
          <w:rFonts w:hint="cs"/>
          <w:rtl/>
        </w:rPr>
        <w:t>×</w:t>
      </w:r>
      <w:r w:rsidRPr="00822CE9">
        <w:rPr>
          <w:rFonts w:hint="cs"/>
          <w:rtl/>
        </w:rPr>
        <w:t>: «هذه الكتب ابتداء منهم.. إن</w:t>
      </w:r>
      <w:r w:rsidR="00B1403A">
        <w:rPr>
          <w:rFonts w:hint="cs"/>
          <w:rtl/>
        </w:rPr>
        <w:t>ّ</w:t>
      </w:r>
      <w:r w:rsidRPr="00822CE9">
        <w:rPr>
          <w:rFonts w:hint="cs"/>
          <w:rtl/>
        </w:rPr>
        <w:t xml:space="preserve"> الطاعة مفروضة من الله عز وجل وسنّة أمضاها في الأولين.. فلا يستخفن</w:t>
      </w:r>
      <w:r w:rsidR="00B1403A">
        <w:rPr>
          <w:rFonts w:hint="cs"/>
          <w:rtl/>
        </w:rPr>
        <w:t>ّ</w:t>
      </w:r>
      <w:r w:rsidRPr="00822CE9">
        <w:rPr>
          <w:rFonts w:hint="cs"/>
          <w:rtl/>
        </w:rPr>
        <w:t>ك ال</w:t>
      </w:r>
      <w:r w:rsidR="00B1403A">
        <w:rPr>
          <w:rFonts w:hint="cs"/>
          <w:rtl/>
        </w:rPr>
        <w:t>ذ</w:t>
      </w:r>
      <w:r w:rsidRPr="00822CE9">
        <w:rPr>
          <w:rFonts w:hint="cs"/>
          <w:rtl/>
        </w:rPr>
        <w:t>ين لا يوقنون</w:t>
      </w:r>
      <w:r w:rsidR="00B1403A">
        <w:rPr>
          <w:rFonts w:hint="cs"/>
          <w:rtl/>
        </w:rPr>
        <w:t>،</w:t>
      </w:r>
      <w:r w:rsidRPr="00822CE9">
        <w:rPr>
          <w:rFonts w:hint="cs"/>
          <w:rtl/>
        </w:rPr>
        <w:t xml:space="preserve"> إن</w:t>
      </w:r>
      <w:r w:rsidR="00B1403A">
        <w:rPr>
          <w:rFonts w:hint="cs"/>
          <w:rtl/>
        </w:rPr>
        <w:t>ّ</w:t>
      </w:r>
      <w:r w:rsidRPr="00822CE9">
        <w:rPr>
          <w:rFonts w:hint="cs"/>
          <w:rtl/>
        </w:rPr>
        <w:t>هم لن يغنوا عنك من الله شيئاً، فلا تعجل، فإن</w:t>
      </w:r>
      <w:r w:rsidR="00B1403A">
        <w:rPr>
          <w:rFonts w:hint="cs"/>
          <w:rtl/>
        </w:rPr>
        <w:t>ّ</w:t>
      </w:r>
      <w:r w:rsidRPr="00822CE9">
        <w:rPr>
          <w:rFonts w:hint="cs"/>
          <w:rtl/>
        </w:rPr>
        <w:t xml:space="preserve"> الله لا يعجل لعجلة </w:t>
      </w:r>
      <w:r w:rsidRPr="00822CE9">
        <w:rPr>
          <w:rFonts w:hint="cs"/>
          <w:rtl/>
        </w:rPr>
        <w:lastRenderedPageBreak/>
        <w:t>العباد ولا تسبقنّ الله فتعجزك البلي</w:t>
      </w:r>
      <w:r w:rsidR="00B1403A">
        <w:rPr>
          <w:rFonts w:hint="cs"/>
          <w:rtl/>
        </w:rPr>
        <w:t>ّ</w:t>
      </w:r>
      <w:r w:rsidRPr="00822CE9">
        <w:rPr>
          <w:rFonts w:hint="cs"/>
          <w:rtl/>
        </w:rPr>
        <w:t>ة فتصرعك</w:t>
      </w:r>
      <w:r w:rsidR="00B1403A">
        <w:rPr>
          <w:rFonts w:hint="eastAsia"/>
          <w:rtl/>
        </w:rPr>
        <w:t>»</w:t>
      </w:r>
      <w:r w:rsidRPr="00822CE9">
        <w:rPr>
          <w:rFonts w:hint="cs"/>
          <w:rtl/>
        </w:rPr>
        <w:t>، قال: فغضب زيد عند ذلك، ثم</w:t>
      </w:r>
      <w:r w:rsidR="00B1403A">
        <w:rPr>
          <w:rFonts w:hint="cs"/>
          <w:rtl/>
        </w:rPr>
        <w:t>ّ</w:t>
      </w:r>
      <w:r w:rsidRPr="00822CE9">
        <w:rPr>
          <w:rFonts w:hint="cs"/>
          <w:rtl/>
        </w:rPr>
        <w:t xml:space="preserve"> قال: ليس الإمام منّا من جلس في بيته وأر</w:t>
      </w:r>
      <w:r w:rsidR="00B1403A">
        <w:rPr>
          <w:rFonts w:hint="cs"/>
          <w:rtl/>
        </w:rPr>
        <w:t>خى</w:t>
      </w:r>
      <w:r w:rsidRPr="00822CE9">
        <w:rPr>
          <w:rFonts w:hint="cs"/>
          <w:rtl/>
        </w:rPr>
        <w:t xml:space="preserve"> ستره وثب</w:t>
      </w:r>
      <w:r w:rsidR="00B1403A">
        <w:rPr>
          <w:rFonts w:hint="cs"/>
          <w:rtl/>
        </w:rPr>
        <w:t>ّ</w:t>
      </w:r>
      <w:r w:rsidRPr="00822CE9">
        <w:rPr>
          <w:rFonts w:hint="cs"/>
          <w:rtl/>
        </w:rPr>
        <w:t>ط عن الجهاد، ولكن</w:t>
      </w:r>
      <w:r w:rsidR="00B1403A">
        <w:rPr>
          <w:rFonts w:hint="cs"/>
          <w:rtl/>
        </w:rPr>
        <w:t>ّ</w:t>
      </w:r>
      <w:r w:rsidRPr="00822CE9">
        <w:rPr>
          <w:rFonts w:hint="cs"/>
          <w:rtl/>
        </w:rPr>
        <w:t xml:space="preserve"> الإمام من</w:t>
      </w:r>
      <w:r w:rsidR="00B1403A">
        <w:rPr>
          <w:rFonts w:hint="cs"/>
          <w:rtl/>
        </w:rPr>
        <w:t>ّ</w:t>
      </w:r>
      <w:r w:rsidRPr="00822CE9">
        <w:rPr>
          <w:rFonts w:hint="cs"/>
          <w:rtl/>
        </w:rPr>
        <w:t>ا من منع حوزته، وجاهد في سبيل الله حق</w:t>
      </w:r>
      <w:r w:rsidR="00B1403A">
        <w:rPr>
          <w:rFonts w:hint="cs"/>
          <w:rtl/>
        </w:rPr>
        <w:t>ّ</w:t>
      </w:r>
      <w:r w:rsidRPr="00822CE9">
        <w:rPr>
          <w:rFonts w:hint="cs"/>
          <w:rtl/>
        </w:rPr>
        <w:t xml:space="preserve"> جهاده، ودفع عن رعيته وذب</w:t>
      </w:r>
      <w:r w:rsidR="00B1403A">
        <w:rPr>
          <w:rFonts w:hint="cs"/>
          <w:rtl/>
        </w:rPr>
        <w:t>ّ</w:t>
      </w:r>
      <w:r w:rsidRPr="00822CE9">
        <w:rPr>
          <w:rFonts w:hint="cs"/>
          <w:rtl/>
        </w:rPr>
        <w:t xml:space="preserve"> عن حريمه، قال أبو جعفر: «هل تعرف يا أخي من نفسك شيئاً مما نسبتها إليه فتج</w:t>
      </w:r>
      <w:r w:rsidR="00B1403A">
        <w:rPr>
          <w:rFonts w:hint="cs"/>
          <w:rtl/>
        </w:rPr>
        <w:t>يء</w:t>
      </w:r>
      <w:r w:rsidRPr="00822CE9">
        <w:rPr>
          <w:rFonts w:hint="cs"/>
          <w:rtl/>
        </w:rPr>
        <w:t xml:space="preserve"> عليه بشاهد</w:t>
      </w:r>
      <w:r w:rsidR="00B1403A">
        <w:rPr>
          <w:rFonts w:hint="cs"/>
          <w:rtl/>
        </w:rPr>
        <w:t>ٍ</w:t>
      </w:r>
      <w:r w:rsidRPr="00822CE9">
        <w:rPr>
          <w:rFonts w:hint="cs"/>
          <w:rtl/>
        </w:rPr>
        <w:t xml:space="preserve"> من كتاب الله أو حج</w:t>
      </w:r>
      <w:r w:rsidR="00B1403A">
        <w:rPr>
          <w:rFonts w:hint="cs"/>
          <w:rtl/>
        </w:rPr>
        <w:t>ّ</w:t>
      </w:r>
      <w:r w:rsidRPr="00822CE9">
        <w:rPr>
          <w:rFonts w:hint="cs"/>
          <w:rtl/>
        </w:rPr>
        <w:t>ة من رسول الله</w:t>
      </w:r>
      <w:r w:rsidR="00B1403A">
        <w:rPr>
          <w:rFonts w:hint="cs"/>
          <w:rtl/>
        </w:rPr>
        <w:t>‘</w:t>
      </w:r>
      <w:r w:rsidRPr="00822CE9">
        <w:rPr>
          <w:rFonts w:hint="cs"/>
          <w:rtl/>
        </w:rPr>
        <w:t xml:space="preserve"> أو تضرب به مثلاً، فإن</w:t>
      </w:r>
      <w:r w:rsidR="00B1403A">
        <w:rPr>
          <w:rFonts w:hint="cs"/>
          <w:rtl/>
        </w:rPr>
        <w:t>ّ</w:t>
      </w:r>
      <w:r w:rsidRPr="00822CE9">
        <w:rPr>
          <w:rFonts w:hint="cs"/>
          <w:rtl/>
        </w:rPr>
        <w:t xml:space="preserve"> الله عز</w:t>
      </w:r>
      <w:r w:rsidR="00B1403A">
        <w:rPr>
          <w:rFonts w:hint="cs"/>
          <w:rtl/>
        </w:rPr>
        <w:t>ّ</w:t>
      </w:r>
      <w:r w:rsidRPr="00822CE9">
        <w:rPr>
          <w:rFonts w:hint="cs"/>
          <w:rtl/>
        </w:rPr>
        <w:t xml:space="preserve"> وجل</w:t>
      </w:r>
      <w:r w:rsidR="00B1403A">
        <w:rPr>
          <w:rFonts w:hint="cs"/>
          <w:rtl/>
        </w:rPr>
        <w:t>ّ</w:t>
      </w:r>
      <w:r w:rsidRPr="00822CE9">
        <w:rPr>
          <w:rFonts w:hint="cs"/>
          <w:rtl/>
        </w:rPr>
        <w:t xml:space="preserve"> أحلّ حلالاً وحرّم حراماً، وفرض فرائض وضرب أمثالاً، وسنّ سنناً، ولم يجعل الإمام القائم بأ</w:t>
      </w:r>
      <w:r w:rsidR="00200151">
        <w:rPr>
          <w:rFonts w:hint="cs"/>
          <w:rtl/>
        </w:rPr>
        <w:t>مره شبهة فيما فرض له من الطاعة أ</w:t>
      </w:r>
      <w:r w:rsidRPr="00822CE9">
        <w:rPr>
          <w:rFonts w:hint="cs"/>
          <w:rtl/>
        </w:rPr>
        <w:t>ن يسبقه بأمر قبل محلّه، أو يجاهد فيه قبل حلوله، وقد قال الله عز</w:t>
      </w:r>
      <w:r w:rsidR="00B1403A">
        <w:rPr>
          <w:rFonts w:hint="cs"/>
          <w:rtl/>
        </w:rPr>
        <w:t>ّ</w:t>
      </w:r>
      <w:r w:rsidRPr="00822CE9">
        <w:rPr>
          <w:rFonts w:hint="cs"/>
          <w:rtl/>
        </w:rPr>
        <w:t xml:space="preserve"> وجل في الصيد: </w:t>
      </w:r>
      <w:r w:rsidRPr="00822CE9">
        <w:rPr>
          <w:rtl/>
        </w:rPr>
        <w:t>﴿</w:t>
      </w:r>
      <w:r w:rsidRPr="00B1403A">
        <w:rPr>
          <w:rFonts w:hint="cs"/>
          <w:b/>
          <w:bCs/>
          <w:rtl/>
        </w:rPr>
        <w:t>لا تَقْتُلُوا الصَّيْدَ وَأَنْتُمْ حُرُمٌ</w:t>
      </w:r>
      <w:r w:rsidRPr="00822CE9">
        <w:rPr>
          <w:rtl/>
        </w:rPr>
        <w:t>﴾</w:t>
      </w:r>
      <w:r w:rsidRPr="00822CE9">
        <w:rPr>
          <w:rFonts w:hint="cs"/>
          <w:rtl/>
        </w:rPr>
        <w:t xml:space="preserve"> (المائدة: 95)، أفقتل الصيد أعظم أم قتل النفس التي حر</w:t>
      </w:r>
      <w:r w:rsidR="00B1403A">
        <w:rPr>
          <w:rFonts w:hint="cs"/>
          <w:rtl/>
        </w:rPr>
        <w:t>ّ</w:t>
      </w:r>
      <w:r w:rsidRPr="00822CE9">
        <w:rPr>
          <w:rFonts w:hint="cs"/>
          <w:rtl/>
        </w:rPr>
        <w:t>م الله.. فجعل لكلّ شيء أجلاً، ولكل</w:t>
      </w:r>
      <w:r w:rsidR="00B1403A">
        <w:rPr>
          <w:rFonts w:hint="cs"/>
          <w:rtl/>
        </w:rPr>
        <w:t>ّ</w:t>
      </w:r>
      <w:r w:rsidRPr="00822CE9">
        <w:rPr>
          <w:rFonts w:hint="cs"/>
          <w:rtl/>
        </w:rPr>
        <w:t xml:space="preserve"> أجل كتاباً، فإن كنت على بي</w:t>
      </w:r>
      <w:r w:rsidR="00B1403A">
        <w:rPr>
          <w:rFonts w:hint="cs"/>
          <w:rtl/>
        </w:rPr>
        <w:t>ّ</w:t>
      </w:r>
      <w:r w:rsidRPr="00822CE9">
        <w:rPr>
          <w:rFonts w:hint="cs"/>
          <w:rtl/>
        </w:rPr>
        <w:t>نة من رب</w:t>
      </w:r>
      <w:r w:rsidR="00B1403A">
        <w:rPr>
          <w:rFonts w:hint="cs"/>
          <w:rtl/>
        </w:rPr>
        <w:t>ّ</w:t>
      </w:r>
      <w:r w:rsidRPr="00822CE9">
        <w:rPr>
          <w:rFonts w:hint="cs"/>
          <w:rtl/>
        </w:rPr>
        <w:t>ك ويقين من أمرك وتبي</w:t>
      </w:r>
      <w:r w:rsidR="00B1403A">
        <w:rPr>
          <w:rFonts w:hint="cs"/>
          <w:rtl/>
        </w:rPr>
        <w:t>ان من شأنك، فشأنك، وإلا فلا ترو</w:t>
      </w:r>
      <w:r w:rsidRPr="00822CE9">
        <w:rPr>
          <w:rFonts w:hint="cs"/>
          <w:rtl/>
        </w:rPr>
        <w:t>من</w:t>
      </w:r>
      <w:r w:rsidR="00B1403A">
        <w:rPr>
          <w:rFonts w:hint="cs"/>
          <w:rtl/>
        </w:rPr>
        <w:t>ّ</w:t>
      </w:r>
      <w:r w:rsidRPr="00822CE9">
        <w:rPr>
          <w:rFonts w:hint="cs"/>
          <w:rtl/>
        </w:rPr>
        <w:t xml:space="preserve"> أمراً أنت منه في شك</w:t>
      </w:r>
      <w:r w:rsidR="00B1403A">
        <w:rPr>
          <w:rFonts w:hint="cs"/>
          <w:rtl/>
        </w:rPr>
        <w:t>ّ</w:t>
      </w:r>
      <w:r w:rsidRPr="00822CE9">
        <w:rPr>
          <w:rFonts w:hint="cs"/>
          <w:rtl/>
        </w:rPr>
        <w:t xml:space="preserve"> وشبهة، ولا تتعاط</w:t>
      </w:r>
      <w:r w:rsidR="00B1403A">
        <w:rPr>
          <w:rFonts w:hint="cs"/>
          <w:rtl/>
        </w:rPr>
        <w:t>َ</w:t>
      </w:r>
      <w:r w:rsidRPr="00822CE9">
        <w:rPr>
          <w:rFonts w:hint="cs"/>
          <w:rtl/>
        </w:rPr>
        <w:t xml:space="preserve"> زوال م</w:t>
      </w:r>
      <w:r w:rsidR="00B1403A">
        <w:rPr>
          <w:rFonts w:hint="cs"/>
          <w:rtl/>
        </w:rPr>
        <w:t>ُ</w:t>
      </w:r>
      <w:r w:rsidRPr="00822CE9">
        <w:rPr>
          <w:rFonts w:hint="cs"/>
          <w:rtl/>
        </w:rPr>
        <w:t>لك لم تنقض أكله، ولم ينقطع مداه، ولم يبلغ الكتاب أجله.. أعوذ بالله من إمام ضلّ عن وقته، فكان التابع فيه</w:t>
      </w:r>
      <w:r w:rsidR="00B1403A">
        <w:rPr>
          <w:rFonts w:hint="cs"/>
          <w:rtl/>
        </w:rPr>
        <w:t xml:space="preserve"> أعلم من المتبوع، أتريد يا أخي أ</w:t>
      </w:r>
      <w:r w:rsidRPr="00822CE9">
        <w:rPr>
          <w:rFonts w:hint="cs"/>
          <w:rtl/>
        </w:rPr>
        <w:t>ن تحيي ملّة قوم قد كفروا بآيات الله وعصوا رسوله..؟ أعي</w:t>
      </w:r>
      <w:r w:rsidR="00B1403A">
        <w:rPr>
          <w:rFonts w:hint="cs"/>
          <w:rtl/>
        </w:rPr>
        <w:t>ذ</w:t>
      </w:r>
      <w:r w:rsidRPr="00822CE9">
        <w:rPr>
          <w:rFonts w:hint="cs"/>
          <w:rtl/>
        </w:rPr>
        <w:t>ك بالله يا أخي أن تكون غداً المصلوب بالك</w:t>
      </w:r>
      <w:r w:rsidR="00200151">
        <w:rPr>
          <w:rFonts w:hint="cs"/>
          <w:rtl/>
        </w:rPr>
        <w:t>ُ</w:t>
      </w:r>
      <w:r w:rsidRPr="00822CE9">
        <w:rPr>
          <w:rFonts w:hint="cs"/>
          <w:rtl/>
        </w:rPr>
        <w:t>ناسة</w:t>
      </w:r>
      <w:r w:rsidR="00B1403A">
        <w:rPr>
          <w:rFonts w:hint="eastAsia"/>
          <w:rtl/>
        </w:rPr>
        <w:t>»</w:t>
      </w:r>
      <w:r w:rsidRPr="00822CE9">
        <w:rPr>
          <w:rFonts w:hint="cs"/>
          <w:rtl/>
        </w:rPr>
        <w:t>، ثم</w:t>
      </w:r>
      <w:r w:rsidR="00B1403A">
        <w:rPr>
          <w:rFonts w:hint="cs"/>
          <w:rtl/>
        </w:rPr>
        <w:t>ّ</w:t>
      </w:r>
      <w:r w:rsidRPr="00822CE9">
        <w:rPr>
          <w:rFonts w:hint="cs"/>
          <w:rtl/>
        </w:rPr>
        <w:t xml:space="preserve"> أرفضت عيناه وسالت دموعه، ثم</w:t>
      </w:r>
      <w:r w:rsidR="00B1403A">
        <w:rPr>
          <w:rFonts w:hint="cs"/>
          <w:rtl/>
        </w:rPr>
        <w:t>ّ</w:t>
      </w:r>
      <w:r w:rsidRPr="00822CE9">
        <w:rPr>
          <w:rFonts w:hint="cs"/>
          <w:rtl/>
        </w:rPr>
        <w:t xml:space="preserve"> قال: </w:t>
      </w:r>
      <w:r w:rsidR="00B1403A">
        <w:rPr>
          <w:rFonts w:hint="eastAsia"/>
          <w:rtl/>
        </w:rPr>
        <w:t>«</w:t>
      </w:r>
      <w:r w:rsidRPr="00822CE9">
        <w:rPr>
          <w:rFonts w:hint="cs"/>
          <w:rtl/>
        </w:rPr>
        <w:t>الله بيننا وبين من هتك سترنا وجحدنا حق</w:t>
      </w:r>
      <w:r w:rsidR="00B1403A">
        <w:rPr>
          <w:rFonts w:hint="cs"/>
          <w:rtl/>
        </w:rPr>
        <w:t>ّ</w:t>
      </w:r>
      <w:r w:rsidRPr="00822CE9">
        <w:rPr>
          <w:rFonts w:hint="cs"/>
          <w:rtl/>
        </w:rPr>
        <w:t>نا وأفش</w:t>
      </w:r>
      <w:r w:rsidR="00B1403A">
        <w:rPr>
          <w:rFonts w:hint="cs"/>
          <w:rtl/>
        </w:rPr>
        <w:t>ى</w:t>
      </w:r>
      <w:r w:rsidRPr="00822CE9">
        <w:rPr>
          <w:rFonts w:hint="cs"/>
          <w:rtl/>
        </w:rPr>
        <w:t xml:space="preserve"> سرّنا، ونسبنا إلى غير جد</w:t>
      </w:r>
      <w:r w:rsidR="00B1403A">
        <w:rPr>
          <w:rFonts w:hint="cs"/>
          <w:rtl/>
        </w:rPr>
        <w:t>ّ</w:t>
      </w:r>
      <w:r w:rsidRPr="00822CE9">
        <w:rPr>
          <w:rFonts w:hint="cs"/>
          <w:rtl/>
        </w:rPr>
        <w:t>نا، وقال فينا ما لم نقله في أنفسنا»</w:t>
      </w:r>
      <w:r w:rsidRPr="000A4159">
        <w:rPr>
          <w:rFonts w:cs="Taher"/>
          <w:vertAlign w:val="superscript"/>
          <w:rtl/>
        </w:rPr>
        <w:t>(</w:t>
      </w:r>
      <w:r w:rsidRPr="000A4159">
        <w:rPr>
          <w:rStyle w:val="FootnoteReference"/>
          <w:rFonts w:cs="Taher"/>
          <w:rtl/>
        </w:rPr>
        <w:footnoteReference w:id="82"/>
      </w:r>
      <w:r w:rsidRPr="000A4159">
        <w:rPr>
          <w:rFonts w:cs="Taher"/>
          <w:vertAlign w:val="superscript"/>
          <w:rtl/>
        </w:rPr>
        <w:t>)</w:t>
      </w:r>
      <w:r w:rsidRPr="00822CE9">
        <w:rPr>
          <w:rtl/>
        </w:rPr>
        <w:t>.</w:t>
      </w:r>
    </w:p>
    <w:p w14:paraId="5D02D55C" w14:textId="77777777" w:rsidR="000A4159" w:rsidRPr="00822CE9" w:rsidRDefault="00B1403A" w:rsidP="00B1403A">
      <w:pPr>
        <w:spacing w:line="214" w:lineRule="auto"/>
        <w:rPr>
          <w:rtl/>
        </w:rPr>
      </w:pPr>
      <w:r>
        <w:rPr>
          <w:rFonts w:hint="cs"/>
          <w:rtl/>
        </w:rPr>
        <w:t xml:space="preserve">إنّ </w:t>
      </w:r>
      <w:r w:rsidR="000A4159" w:rsidRPr="00822CE9">
        <w:rPr>
          <w:rFonts w:hint="cs"/>
          <w:rtl/>
        </w:rPr>
        <w:t>هذا الحوار الطويل صريح</w:t>
      </w:r>
      <w:r>
        <w:rPr>
          <w:rFonts w:hint="cs"/>
          <w:rtl/>
        </w:rPr>
        <w:t>ٌ</w:t>
      </w:r>
      <w:r w:rsidR="000A4159" w:rsidRPr="00822CE9">
        <w:rPr>
          <w:rFonts w:hint="cs"/>
          <w:rtl/>
        </w:rPr>
        <w:t xml:space="preserve"> في رفض الإمام </w:t>
      </w:r>
      <w:r>
        <w:rPr>
          <w:rFonts w:hint="cs"/>
          <w:rtl/>
        </w:rPr>
        <w:t xml:space="preserve">محمّد </w:t>
      </w:r>
      <w:r w:rsidR="000A4159" w:rsidRPr="00822CE9">
        <w:rPr>
          <w:rFonts w:hint="cs"/>
          <w:rtl/>
        </w:rPr>
        <w:t>الباقر هذه الحركة الثوري</w:t>
      </w:r>
      <w:r>
        <w:rPr>
          <w:rFonts w:hint="cs"/>
          <w:rtl/>
        </w:rPr>
        <w:t>ّ</w:t>
      </w:r>
      <w:r w:rsidR="000A4159" w:rsidRPr="00822CE9">
        <w:rPr>
          <w:rFonts w:hint="cs"/>
          <w:rtl/>
        </w:rPr>
        <w:t>ة من زيد</w:t>
      </w:r>
      <w:r>
        <w:rPr>
          <w:rFonts w:hint="cs"/>
          <w:rtl/>
        </w:rPr>
        <w:t>،</w:t>
      </w:r>
      <w:r w:rsidR="000A4159" w:rsidRPr="00822CE9">
        <w:rPr>
          <w:rFonts w:hint="cs"/>
          <w:rtl/>
        </w:rPr>
        <w:t xml:space="preserve"> وعدم القبول بها</w:t>
      </w:r>
      <w:r>
        <w:rPr>
          <w:rFonts w:hint="cs"/>
          <w:rtl/>
        </w:rPr>
        <w:t>،</w:t>
      </w:r>
      <w:r w:rsidR="000A4159" w:rsidRPr="00822CE9">
        <w:rPr>
          <w:rFonts w:hint="cs"/>
          <w:rtl/>
        </w:rPr>
        <w:t xml:space="preserve"> وعدم تصويبها</w:t>
      </w:r>
      <w:r>
        <w:rPr>
          <w:rFonts w:hint="cs"/>
          <w:rtl/>
        </w:rPr>
        <w:t>،</w:t>
      </w:r>
      <w:r w:rsidR="000A4159" w:rsidRPr="00822CE9">
        <w:rPr>
          <w:rFonts w:hint="cs"/>
          <w:rtl/>
        </w:rPr>
        <w:t xml:space="preserve"> فدلالة الرواية واضحة على الموقف السلبي.</w:t>
      </w:r>
    </w:p>
    <w:p w14:paraId="50C0059C" w14:textId="77777777" w:rsidR="000A4159" w:rsidRPr="00B1403A" w:rsidRDefault="000A4159" w:rsidP="00A079D6">
      <w:pPr>
        <w:spacing w:line="214" w:lineRule="auto"/>
        <w:rPr>
          <w:b/>
          <w:bCs/>
          <w:rtl/>
        </w:rPr>
      </w:pPr>
      <w:r w:rsidRPr="00B1403A">
        <w:rPr>
          <w:rFonts w:hint="cs"/>
          <w:b/>
          <w:bCs/>
          <w:rtl/>
        </w:rPr>
        <w:t>وقد تناقش الرواية سنداً ودلالة من وجوه:</w:t>
      </w:r>
    </w:p>
    <w:p w14:paraId="71A40DAE" w14:textId="77777777" w:rsidR="000A4159" w:rsidRPr="00822CE9" w:rsidRDefault="000A4159" w:rsidP="00B1403A">
      <w:pPr>
        <w:spacing w:line="214" w:lineRule="auto"/>
        <w:rPr>
          <w:rtl/>
        </w:rPr>
      </w:pPr>
      <w:r w:rsidRPr="00B1403A">
        <w:rPr>
          <w:rFonts w:hint="cs"/>
          <w:b/>
          <w:bCs/>
          <w:rtl/>
        </w:rPr>
        <w:t>أو</w:t>
      </w:r>
      <w:r w:rsidR="00B1403A">
        <w:rPr>
          <w:rFonts w:hint="cs"/>
          <w:b/>
          <w:bCs/>
          <w:rtl/>
        </w:rPr>
        <w:t>ّ</w:t>
      </w:r>
      <w:r w:rsidRPr="00B1403A">
        <w:rPr>
          <w:rFonts w:hint="cs"/>
          <w:b/>
          <w:bCs/>
          <w:rtl/>
        </w:rPr>
        <w:t>لاً:</w:t>
      </w:r>
      <w:r w:rsidRPr="00822CE9">
        <w:rPr>
          <w:rFonts w:hint="cs"/>
          <w:rtl/>
        </w:rPr>
        <w:t xml:space="preserve"> ما ذكره الشيخ المنتظري</w:t>
      </w:r>
      <w:r w:rsidR="00B1403A">
        <w:rPr>
          <w:rFonts w:hint="cs"/>
          <w:rtl/>
        </w:rPr>
        <w:t>،</w:t>
      </w:r>
      <w:r w:rsidRPr="00822CE9">
        <w:rPr>
          <w:rFonts w:hint="cs"/>
          <w:rtl/>
        </w:rPr>
        <w:t xml:space="preserve"> من أنّ الرواية مروي</w:t>
      </w:r>
      <w:r w:rsidR="00B1403A">
        <w:rPr>
          <w:rFonts w:hint="cs"/>
          <w:rtl/>
        </w:rPr>
        <w:t>ّ</w:t>
      </w:r>
      <w:r w:rsidRPr="00822CE9">
        <w:rPr>
          <w:rFonts w:hint="cs"/>
          <w:rtl/>
        </w:rPr>
        <w:t>ة عن الإمام الباقر، وقد توف</w:t>
      </w:r>
      <w:r w:rsidR="00B1403A">
        <w:rPr>
          <w:rFonts w:hint="cs"/>
          <w:rtl/>
        </w:rPr>
        <w:t>ّ</w:t>
      </w:r>
      <w:r w:rsidRPr="00822CE9">
        <w:rPr>
          <w:rFonts w:hint="cs"/>
          <w:rtl/>
        </w:rPr>
        <w:t>ي عام 114هـ، وقيام زيد كان عام 121هـ، وعلى هذا فمن الممكن أن يكون تحذير الإمام من القيام في ذلك الوقت وعدم الاستعجال، أي في عام 114</w:t>
      </w:r>
      <w:r w:rsidR="00B1403A">
        <w:rPr>
          <w:rFonts w:hint="cs"/>
          <w:rtl/>
        </w:rPr>
        <w:t>هـ وما قبله، ولعلّ الظروف تغيّر</w:t>
      </w:r>
      <w:r w:rsidRPr="00822CE9">
        <w:rPr>
          <w:rFonts w:hint="cs"/>
          <w:rtl/>
        </w:rPr>
        <w:t>ت بعد مرور قرابة سبع سنوات على الأقل</w:t>
      </w:r>
      <w:r w:rsidR="00B1403A">
        <w:rPr>
          <w:rFonts w:hint="cs"/>
          <w:rtl/>
        </w:rPr>
        <w:t>ّ</w:t>
      </w:r>
      <w:r w:rsidRPr="00822CE9">
        <w:rPr>
          <w:rFonts w:hint="cs"/>
          <w:rtl/>
        </w:rPr>
        <w:t>، فيصعب الأخذ بهذه الرواية هنا</w:t>
      </w:r>
      <w:r w:rsidRPr="000A4159">
        <w:rPr>
          <w:rFonts w:cs="Taher"/>
          <w:vertAlign w:val="superscript"/>
          <w:rtl/>
        </w:rPr>
        <w:t>(</w:t>
      </w:r>
      <w:r w:rsidRPr="000A4159">
        <w:rPr>
          <w:rStyle w:val="FootnoteReference"/>
          <w:rFonts w:cs="Taher"/>
          <w:rtl/>
        </w:rPr>
        <w:footnoteReference w:id="83"/>
      </w:r>
      <w:r w:rsidRPr="000A4159">
        <w:rPr>
          <w:rFonts w:cs="Taher"/>
          <w:vertAlign w:val="superscript"/>
          <w:rtl/>
        </w:rPr>
        <w:t>)</w:t>
      </w:r>
      <w:r w:rsidRPr="00822CE9">
        <w:rPr>
          <w:rtl/>
        </w:rPr>
        <w:t>.</w:t>
      </w:r>
    </w:p>
    <w:p w14:paraId="3DADCE83" w14:textId="77777777" w:rsidR="000A4159" w:rsidRPr="00822CE9" w:rsidRDefault="000A4159" w:rsidP="00B1403A">
      <w:pPr>
        <w:spacing w:line="214" w:lineRule="auto"/>
        <w:rPr>
          <w:rtl/>
        </w:rPr>
      </w:pPr>
      <w:r w:rsidRPr="00B1403A">
        <w:rPr>
          <w:rFonts w:hint="cs"/>
          <w:b/>
          <w:bCs/>
          <w:rtl/>
        </w:rPr>
        <w:lastRenderedPageBreak/>
        <w:t>وهذا الوجه في النقاش يفيد في تكريس المنهج التاريخي في حلّ التعارض بين الروايات</w:t>
      </w:r>
      <w:r w:rsidRPr="00822CE9">
        <w:rPr>
          <w:rFonts w:hint="cs"/>
          <w:rtl/>
        </w:rPr>
        <w:t xml:space="preserve"> بأن نقول: إن</w:t>
      </w:r>
      <w:r w:rsidR="00B1403A">
        <w:rPr>
          <w:rFonts w:hint="cs"/>
          <w:rtl/>
        </w:rPr>
        <w:t>ّ</w:t>
      </w:r>
      <w:r w:rsidRPr="00822CE9">
        <w:rPr>
          <w:rFonts w:hint="cs"/>
          <w:rtl/>
        </w:rPr>
        <w:t xml:space="preserve"> الرواية الفلانية لا تعارض الرواية الثانية؛ وذلك لاختلاف الظروف التاريخي</w:t>
      </w:r>
      <w:r w:rsidR="00B1403A">
        <w:rPr>
          <w:rFonts w:hint="cs"/>
          <w:rtl/>
        </w:rPr>
        <w:t>ّ</w:t>
      </w:r>
      <w:r w:rsidRPr="00822CE9">
        <w:rPr>
          <w:rFonts w:hint="cs"/>
          <w:rtl/>
        </w:rPr>
        <w:t>ة لصدور النصّين، مثل أن يقال ـ كما قيل ـ: إن</w:t>
      </w:r>
      <w:r w:rsidR="00B1403A">
        <w:rPr>
          <w:rFonts w:hint="cs"/>
          <w:rtl/>
        </w:rPr>
        <w:t>ّ</w:t>
      </w:r>
      <w:r w:rsidRPr="00822CE9">
        <w:rPr>
          <w:rFonts w:hint="cs"/>
          <w:rtl/>
        </w:rPr>
        <w:t xml:space="preserve"> رواية الإلزام بالطواف بين الركن والمقام صدرت في فترة</w:t>
      </w:r>
      <w:r w:rsidR="00B1403A">
        <w:rPr>
          <w:rFonts w:hint="cs"/>
          <w:rtl/>
        </w:rPr>
        <w:t>ٍ</w:t>
      </w:r>
      <w:r w:rsidRPr="00822CE9">
        <w:rPr>
          <w:rFonts w:hint="cs"/>
          <w:rtl/>
        </w:rPr>
        <w:t xml:space="preserve"> سابقة حيث كان المسلمون قلّة في الحج</w:t>
      </w:r>
      <w:r w:rsidR="00B1403A">
        <w:rPr>
          <w:rFonts w:hint="cs"/>
          <w:rtl/>
        </w:rPr>
        <w:t>ّ</w:t>
      </w:r>
      <w:r w:rsidRPr="00822CE9">
        <w:rPr>
          <w:rFonts w:hint="cs"/>
          <w:rtl/>
        </w:rPr>
        <w:t>، وأم</w:t>
      </w:r>
      <w:r w:rsidR="00B1403A">
        <w:rPr>
          <w:rFonts w:hint="cs"/>
          <w:rtl/>
        </w:rPr>
        <w:t>ّ</w:t>
      </w:r>
      <w:r w:rsidRPr="00822CE9">
        <w:rPr>
          <w:rFonts w:hint="cs"/>
          <w:rtl/>
        </w:rPr>
        <w:t>ا رواية الترخيص في الطواف بعد المقام فقد جاءت في فترة</w:t>
      </w:r>
      <w:r w:rsidR="00B1403A">
        <w:rPr>
          <w:rFonts w:hint="cs"/>
          <w:rtl/>
        </w:rPr>
        <w:t>ٍ</w:t>
      </w:r>
      <w:r w:rsidRPr="00822CE9">
        <w:rPr>
          <w:rFonts w:hint="cs"/>
          <w:rtl/>
        </w:rPr>
        <w:t xml:space="preserve"> متأخ</w:t>
      </w:r>
      <w:r w:rsidR="00B1403A">
        <w:rPr>
          <w:rFonts w:hint="cs"/>
          <w:rtl/>
        </w:rPr>
        <w:t>ّ</w:t>
      </w:r>
      <w:r w:rsidRPr="00822CE9">
        <w:rPr>
          <w:rFonts w:hint="cs"/>
          <w:rtl/>
        </w:rPr>
        <w:t>رة تنسجم مع زياد</w:t>
      </w:r>
      <w:r w:rsidR="00B1403A">
        <w:rPr>
          <w:rFonts w:hint="cs"/>
          <w:rtl/>
        </w:rPr>
        <w:t>ة</w:t>
      </w:r>
      <w:r w:rsidRPr="00822CE9">
        <w:rPr>
          <w:rFonts w:hint="cs"/>
          <w:rtl/>
        </w:rPr>
        <w:t xml:space="preserve"> عدد المسلمين وازدحامهم، فنفهم من ذلك أن</w:t>
      </w:r>
      <w:r w:rsidR="00B1403A">
        <w:rPr>
          <w:rFonts w:hint="cs"/>
          <w:rtl/>
        </w:rPr>
        <w:t>ّ</w:t>
      </w:r>
      <w:r w:rsidRPr="00822CE9">
        <w:rPr>
          <w:rFonts w:hint="cs"/>
          <w:rtl/>
        </w:rPr>
        <w:t xml:space="preserve"> الحكم الثاني </w:t>
      </w:r>
      <w:r w:rsidR="00B1403A">
        <w:rPr>
          <w:rFonts w:hint="cs"/>
          <w:rtl/>
        </w:rPr>
        <w:t xml:space="preserve">ـ </w:t>
      </w:r>
      <w:r w:rsidRPr="00822CE9">
        <w:rPr>
          <w:rFonts w:hint="cs"/>
          <w:rtl/>
        </w:rPr>
        <w:t xml:space="preserve">مثلاً </w:t>
      </w:r>
      <w:r w:rsidR="00B1403A">
        <w:rPr>
          <w:rFonts w:hint="cs"/>
          <w:rtl/>
        </w:rPr>
        <w:t xml:space="preserve">ـ </w:t>
      </w:r>
      <w:r w:rsidRPr="00822CE9">
        <w:rPr>
          <w:rFonts w:hint="cs"/>
          <w:rtl/>
        </w:rPr>
        <w:t>يدور مدار الضرورة النوعي</w:t>
      </w:r>
      <w:r w:rsidR="00B1403A">
        <w:rPr>
          <w:rFonts w:hint="cs"/>
          <w:rtl/>
        </w:rPr>
        <w:t>ّ</w:t>
      </w:r>
      <w:r w:rsidRPr="00822CE9">
        <w:rPr>
          <w:rFonts w:hint="cs"/>
          <w:rtl/>
        </w:rPr>
        <w:t>ة.</w:t>
      </w:r>
    </w:p>
    <w:p w14:paraId="4FD84CA2" w14:textId="77777777" w:rsidR="000A4159" w:rsidRPr="00822CE9" w:rsidRDefault="000A4159" w:rsidP="00555D2F">
      <w:pPr>
        <w:rPr>
          <w:rtl/>
        </w:rPr>
      </w:pPr>
      <w:r w:rsidRPr="00B1403A">
        <w:rPr>
          <w:rFonts w:hint="cs"/>
          <w:b/>
          <w:bCs/>
          <w:rtl/>
        </w:rPr>
        <w:t>لكنّ هذا المنهج الذي نرتضيه من حيث المبدأ يجب أن تتحم</w:t>
      </w:r>
      <w:r w:rsidR="00B1403A">
        <w:rPr>
          <w:rFonts w:hint="cs"/>
          <w:b/>
          <w:bCs/>
          <w:rtl/>
        </w:rPr>
        <w:t>ّ</w:t>
      </w:r>
      <w:r w:rsidRPr="00B1403A">
        <w:rPr>
          <w:rFonts w:hint="cs"/>
          <w:b/>
          <w:bCs/>
          <w:rtl/>
        </w:rPr>
        <w:t>له الروايات،</w:t>
      </w:r>
      <w:r w:rsidRPr="00822CE9">
        <w:rPr>
          <w:rFonts w:hint="cs"/>
          <w:rtl/>
        </w:rPr>
        <w:t xml:space="preserve"> وهنا في هذه الرواية ثم</w:t>
      </w:r>
      <w:r w:rsidR="00B1403A">
        <w:rPr>
          <w:rFonts w:hint="cs"/>
          <w:rtl/>
        </w:rPr>
        <w:t>ّ</w:t>
      </w:r>
      <w:r w:rsidRPr="00822CE9">
        <w:rPr>
          <w:rFonts w:hint="cs"/>
          <w:rtl/>
        </w:rPr>
        <w:t>ة ما يمنع عن ذلك، مثل ما جاء في تعبير الباقر: «أع</w:t>
      </w:r>
      <w:r w:rsidR="00B1403A">
        <w:rPr>
          <w:rFonts w:hint="cs"/>
          <w:rtl/>
        </w:rPr>
        <w:t>يذ</w:t>
      </w:r>
      <w:r w:rsidRPr="00822CE9">
        <w:rPr>
          <w:rFonts w:hint="cs"/>
          <w:rtl/>
        </w:rPr>
        <w:t>ك بالله يا أخي أن تكون غداً المصلوب بالكناسة»، فإن</w:t>
      </w:r>
      <w:r w:rsidR="00B1403A">
        <w:rPr>
          <w:rFonts w:hint="cs"/>
          <w:rtl/>
        </w:rPr>
        <w:t>ّ</w:t>
      </w:r>
      <w:r w:rsidRPr="00822CE9">
        <w:rPr>
          <w:rFonts w:hint="cs"/>
          <w:rtl/>
        </w:rPr>
        <w:t xml:space="preserve"> هذا التعبير يشير إلى ثورة زيد </w:t>
      </w:r>
      <w:r w:rsidR="00B1403A">
        <w:rPr>
          <w:rFonts w:hint="cs"/>
          <w:rtl/>
        </w:rPr>
        <w:t>التي وقعت</w:t>
      </w:r>
      <w:r w:rsidR="00D75D4F">
        <w:rPr>
          <w:rFonts w:hint="cs"/>
          <w:rtl/>
        </w:rPr>
        <w:t xml:space="preserve"> لاحقاً بالفعل</w:t>
      </w:r>
      <w:r w:rsidR="00B1403A">
        <w:rPr>
          <w:rFonts w:hint="cs"/>
          <w:rtl/>
        </w:rPr>
        <w:t>، ويطلب العوذ من الله أ</w:t>
      </w:r>
      <w:r w:rsidRPr="00822CE9">
        <w:rPr>
          <w:rFonts w:hint="cs"/>
          <w:rtl/>
        </w:rPr>
        <w:t>ن تقع، وهو ظاهر في التحف</w:t>
      </w:r>
      <w:r w:rsidR="00B1403A">
        <w:rPr>
          <w:rFonts w:hint="cs"/>
          <w:rtl/>
        </w:rPr>
        <w:t>ّ</w:t>
      </w:r>
      <w:r w:rsidRPr="00822CE9">
        <w:rPr>
          <w:rFonts w:hint="cs"/>
          <w:rtl/>
        </w:rPr>
        <w:t>ظ من هذه الثورة التي حصلت، فكأن</w:t>
      </w:r>
      <w:r w:rsidR="00B1403A">
        <w:rPr>
          <w:rFonts w:hint="cs"/>
          <w:rtl/>
        </w:rPr>
        <w:t>ّ</w:t>
      </w:r>
      <w:r w:rsidRPr="00822CE9">
        <w:rPr>
          <w:rFonts w:hint="cs"/>
          <w:rtl/>
        </w:rPr>
        <w:t xml:space="preserve"> هذا المقطع من الرواية يحوّل أنظارنا ناحية ثورة زيد التي وقعت</w:t>
      </w:r>
      <w:r w:rsidR="00B1403A">
        <w:rPr>
          <w:rFonts w:hint="cs"/>
          <w:rtl/>
        </w:rPr>
        <w:t xml:space="preserve"> بالفعل</w:t>
      </w:r>
      <w:r w:rsidRPr="00822CE9">
        <w:rPr>
          <w:rFonts w:hint="cs"/>
          <w:rtl/>
        </w:rPr>
        <w:t xml:space="preserve">، لا ثورة كان يعتزم القيام بها قبل ذلك، وإلا لو كان الإمام راضياً عن الثورة التي وقعت </w:t>
      </w:r>
      <w:r w:rsidR="00D75D4F">
        <w:rPr>
          <w:rFonts w:hint="cs"/>
          <w:rtl/>
        </w:rPr>
        <w:t xml:space="preserve">بالفعل </w:t>
      </w:r>
      <w:r w:rsidRPr="00822CE9">
        <w:rPr>
          <w:rFonts w:hint="cs"/>
          <w:rtl/>
        </w:rPr>
        <w:t>لما كان هناك معنى للاستعاذة تلك، فهذه المناقشة في غير محلّها.</w:t>
      </w:r>
    </w:p>
    <w:p w14:paraId="3800C2E9" w14:textId="77777777" w:rsidR="000A4159" w:rsidRPr="00822CE9" w:rsidRDefault="000A4159" w:rsidP="00555D2F">
      <w:pPr>
        <w:pStyle w:val="normal930"/>
        <w:rPr>
          <w:rtl/>
        </w:rPr>
      </w:pPr>
      <w:r w:rsidRPr="00B1403A">
        <w:rPr>
          <w:rFonts w:hint="cs"/>
          <w:b/>
          <w:bCs/>
          <w:rtl/>
        </w:rPr>
        <w:t>ثانياً:</w:t>
      </w:r>
      <w:r w:rsidRPr="00822CE9">
        <w:rPr>
          <w:rFonts w:hint="cs"/>
          <w:rtl/>
        </w:rPr>
        <w:t xml:space="preserve"> إنّ مضمون هذه الرواية ورسالتها مما لا يمكن القبول به، فهل يشترط في الأمر بالمعروف والنهي عن المنكر وفي الجهاد أن يكون عندنا علم</w:t>
      </w:r>
      <w:r w:rsidR="00B1403A">
        <w:rPr>
          <w:rFonts w:hint="cs"/>
          <w:rtl/>
        </w:rPr>
        <w:t>ٌ</w:t>
      </w:r>
      <w:r w:rsidRPr="00822CE9">
        <w:rPr>
          <w:rFonts w:hint="cs"/>
          <w:rtl/>
        </w:rPr>
        <w:t xml:space="preserve"> غيبي</w:t>
      </w:r>
      <w:r w:rsidR="00B1403A">
        <w:rPr>
          <w:rFonts w:hint="cs"/>
          <w:rtl/>
        </w:rPr>
        <w:t>ّ</w:t>
      </w:r>
      <w:r w:rsidRPr="00822CE9">
        <w:rPr>
          <w:rFonts w:hint="cs"/>
          <w:rtl/>
        </w:rPr>
        <w:t xml:space="preserve"> يقيني بالنصر وتحقيق الأهداف، كما تريد هذه الرواية أن ت</w:t>
      </w:r>
      <w:r w:rsidR="00B1403A">
        <w:rPr>
          <w:rFonts w:hint="cs"/>
          <w:rtl/>
        </w:rPr>
        <w:t>ُ</w:t>
      </w:r>
      <w:r w:rsidRPr="00822CE9">
        <w:rPr>
          <w:rFonts w:hint="cs"/>
          <w:rtl/>
        </w:rPr>
        <w:t>فهمنا؟ وهل يمكن تصوّر شرط من هذا النوع إلا أن يعني تعطيل هاتين الفريضتين؟ ثم</w:t>
      </w:r>
      <w:r w:rsidR="00B1403A">
        <w:rPr>
          <w:rFonts w:hint="cs"/>
          <w:rtl/>
        </w:rPr>
        <w:t>ّ</w:t>
      </w:r>
      <w:r w:rsidRPr="00822CE9">
        <w:rPr>
          <w:rFonts w:hint="cs"/>
          <w:rtl/>
        </w:rPr>
        <w:t xml:space="preserve"> ألم تسبّب حروب علي</w:t>
      </w:r>
      <w:r w:rsidR="00B1403A">
        <w:rPr>
          <w:rFonts w:hint="cs"/>
          <w:rtl/>
        </w:rPr>
        <w:t>ّ</w:t>
      </w:r>
      <w:r w:rsidR="009A1626" w:rsidRPr="00822CE9">
        <w:rPr>
          <w:rFonts w:hint="cs"/>
          <w:rtl/>
        </w:rPr>
        <w:t>×</w:t>
      </w:r>
      <w:r w:rsidRPr="00822CE9">
        <w:rPr>
          <w:rFonts w:hint="cs"/>
          <w:rtl/>
        </w:rPr>
        <w:t xml:space="preserve"> الداخلية وحرب الإمام الحسين</w:t>
      </w:r>
      <w:r w:rsidR="009A1626" w:rsidRPr="00822CE9">
        <w:rPr>
          <w:rFonts w:hint="cs"/>
          <w:rtl/>
        </w:rPr>
        <w:t>×</w:t>
      </w:r>
      <w:r w:rsidRPr="00822CE9">
        <w:rPr>
          <w:rFonts w:hint="cs"/>
          <w:rtl/>
        </w:rPr>
        <w:t xml:space="preserve"> في كربلاء سفكاً لدماء المسلمين مع أن</w:t>
      </w:r>
      <w:r w:rsidR="00B1403A">
        <w:rPr>
          <w:rFonts w:hint="cs"/>
          <w:rtl/>
        </w:rPr>
        <w:t>ّ</w:t>
      </w:r>
      <w:r w:rsidRPr="00822CE9">
        <w:rPr>
          <w:rFonts w:hint="cs"/>
          <w:rtl/>
        </w:rPr>
        <w:t xml:space="preserve"> ملك بني أمية </w:t>
      </w:r>
      <w:r w:rsidR="00B1403A">
        <w:rPr>
          <w:rFonts w:hint="cs"/>
          <w:rtl/>
        </w:rPr>
        <w:t>ل</w:t>
      </w:r>
      <w:r w:rsidRPr="00822CE9">
        <w:rPr>
          <w:rFonts w:hint="cs"/>
          <w:rtl/>
        </w:rPr>
        <w:t xml:space="preserve">م </w:t>
      </w:r>
      <w:r w:rsidR="00B1403A">
        <w:rPr>
          <w:rFonts w:hint="cs"/>
          <w:rtl/>
        </w:rPr>
        <w:t>ي</w:t>
      </w:r>
      <w:r w:rsidRPr="00822CE9">
        <w:rPr>
          <w:rFonts w:hint="cs"/>
          <w:rtl/>
        </w:rPr>
        <w:t>ك</w:t>
      </w:r>
      <w:r w:rsidR="00B1403A">
        <w:rPr>
          <w:rFonts w:hint="cs"/>
          <w:rtl/>
        </w:rPr>
        <w:t>ن</w:t>
      </w:r>
      <w:r w:rsidRPr="00822CE9">
        <w:rPr>
          <w:rFonts w:hint="cs"/>
          <w:rtl/>
        </w:rPr>
        <w:t xml:space="preserve"> قد حان أوانه عند </w:t>
      </w:r>
      <w:r w:rsidR="00B1403A">
        <w:rPr>
          <w:rFonts w:hint="cs"/>
          <w:rtl/>
        </w:rPr>
        <w:t>خروج</w:t>
      </w:r>
      <w:r w:rsidRPr="00822CE9">
        <w:rPr>
          <w:rFonts w:hint="cs"/>
          <w:rtl/>
        </w:rPr>
        <w:t xml:space="preserve"> الحسين بن علي؟ فهذا المضمون غير معقول، فهل نسكت عن كل</w:t>
      </w:r>
      <w:r w:rsidR="00B1403A">
        <w:rPr>
          <w:rFonts w:hint="cs"/>
          <w:rtl/>
        </w:rPr>
        <w:t>ّ</w:t>
      </w:r>
      <w:r w:rsidRPr="00822CE9">
        <w:rPr>
          <w:rFonts w:hint="cs"/>
          <w:rtl/>
        </w:rPr>
        <w:t xml:space="preserve"> جرائم الآخرين وسفكهم للدماء ـ كما تريد الرواية ـ ونتخلّى عن مسؤولي</w:t>
      </w:r>
      <w:r w:rsidR="00B1403A">
        <w:rPr>
          <w:rFonts w:hint="cs"/>
          <w:rtl/>
        </w:rPr>
        <w:t>ّ</w:t>
      </w:r>
      <w:r w:rsidRPr="00822CE9">
        <w:rPr>
          <w:rFonts w:hint="cs"/>
          <w:rtl/>
        </w:rPr>
        <w:t>اتنا وواجباتنا؟</w:t>
      </w:r>
      <w:r w:rsidR="00B1403A">
        <w:rPr>
          <w:rFonts w:hint="cs"/>
          <w:rtl/>
        </w:rPr>
        <w:t>!</w:t>
      </w:r>
      <w:r w:rsidRPr="000A4159">
        <w:rPr>
          <w:rFonts w:cs="Taher"/>
          <w:vertAlign w:val="superscript"/>
          <w:rtl/>
        </w:rPr>
        <w:t>(</w:t>
      </w:r>
      <w:r w:rsidRPr="000A4159">
        <w:rPr>
          <w:rStyle w:val="FootnoteReference"/>
          <w:rFonts w:cs="Taher"/>
          <w:rtl/>
        </w:rPr>
        <w:footnoteReference w:id="84"/>
      </w:r>
      <w:r w:rsidRPr="000A4159">
        <w:rPr>
          <w:rFonts w:cs="Taher"/>
          <w:vertAlign w:val="superscript"/>
          <w:rtl/>
        </w:rPr>
        <w:t>)</w:t>
      </w:r>
      <w:r w:rsidR="00B1403A">
        <w:rPr>
          <w:rFonts w:hint="cs"/>
          <w:rtl/>
        </w:rPr>
        <w:t>.</w:t>
      </w:r>
    </w:p>
    <w:p w14:paraId="1042393E" w14:textId="77777777" w:rsidR="000A4159" w:rsidRPr="00822CE9" w:rsidRDefault="000A4159" w:rsidP="00A47C06">
      <w:pPr>
        <w:pStyle w:val="normal870"/>
        <w:rPr>
          <w:rtl/>
        </w:rPr>
      </w:pPr>
      <w:r w:rsidRPr="00A163EB">
        <w:rPr>
          <w:rFonts w:hint="cs"/>
          <w:rtl/>
        </w:rPr>
        <w:t>وهذه الملاحظة جديرة في الجملة، لولا ملاحظات لاحقة سوف نسج</w:t>
      </w:r>
      <w:r w:rsidR="00B1403A" w:rsidRPr="00A163EB">
        <w:rPr>
          <w:rFonts w:hint="cs"/>
          <w:rtl/>
        </w:rPr>
        <w:t>ّل</w:t>
      </w:r>
      <w:r w:rsidRPr="00A163EB">
        <w:rPr>
          <w:rFonts w:hint="cs"/>
          <w:rtl/>
        </w:rPr>
        <w:t>ها على المقدار الذي يستفاد من ذم</w:t>
      </w:r>
      <w:r w:rsidR="00B1403A" w:rsidRPr="00A163EB">
        <w:rPr>
          <w:rFonts w:hint="cs"/>
          <w:rtl/>
        </w:rPr>
        <w:t>ّ</w:t>
      </w:r>
      <w:r w:rsidRPr="00A163EB">
        <w:rPr>
          <w:rFonts w:hint="cs"/>
          <w:rtl/>
        </w:rPr>
        <w:t xml:space="preserve"> ثورة زيد أو مدحها قريباً</w:t>
      </w:r>
      <w:r w:rsidR="00B1403A" w:rsidRPr="00A163EB">
        <w:rPr>
          <w:rFonts w:hint="cs"/>
          <w:rtl/>
        </w:rPr>
        <w:t>،</w:t>
      </w:r>
      <w:r w:rsidRPr="00A163EB">
        <w:rPr>
          <w:rFonts w:hint="cs"/>
          <w:rtl/>
        </w:rPr>
        <w:t xml:space="preserve"> وسيأتي.</w:t>
      </w:r>
      <w:r w:rsidR="005C1AE2" w:rsidRPr="00A163EB">
        <w:rPr>
          <w:rFonts w:hint="cs"/>
          <w:rtl/>
        </w:rPr>
        <w:t xml:space="preserve"> ولكن نعلّق هنا</w:t>
      </w:r>
      <w:r w:rsidR="005C1AE2">
        <w:rPr>
          <w:rFonts w:hint="cs"/>
          <w:rtl/>
        </w:rPr>
        <w:t xml:space="preserve"> بأنّ ظاهر الحوار الذي جرى </w:t>
      </w:r>
      <w:r w:rsidR="005C1AE2">
        <w:rPr>
          <w:rFonts w:hint="cs"/>
          <w:rtl/>
        </w:rPr>
        <w:lastRenderedPageBreak/>
        <w:t xml:space="preserve">بين زيد ومحمّد الباقر </w:t>
      </w:r>
      <w:r w:rsidR="00F66612">
        <w:rPr>
          <w:rFonts w:hint="cs"/>
          <w:rtl/>
        </w:rPr>
        <w:t>يعطينا تصوّراً عن طريقة التفكير السياسي للرجلَين وفهمهما لمنطق حركة الدول والسلطات، ف</w:t>
      </w:r>
      <w:r w:rsidR="005C1AE2">
        <w:rPr>
          <w:rFonts w:hint="cs"/>
          <w:rtl/>
        </w:rPr>
        <w:t>الباقر كان يعتبر أنّ الخروج على الدول والأنظمة له وقت محدّد، فهذه الدول لها سني</w:t>
      </w:r>
      <w:r w:rsidR="00F66612">
        <w:rPr>
          <w:rFonts w:hint="cs"/>
          <w:rtl/>
        </w:rPr>
        <w:t>ّ</w:t>
      </w:r>
      <w:r w:rsidR="005C1AE2">
        <w:rPr>
          <w:rFonts w:hint="cs"/>
          <w:rtl/>
        </w:rPr>
        <w:t xml:space="preserve"> شباب ولها ذروة تمثل أعلى المثلث الموجود في هرمها، وفي هذه الفترة لا يكون مكتوباً لها الزوال والانقضاء، بينما لو تمّ استغلال فترة نزولها وتراجعها </w:t>
      </w:r>
      <w:r w:rsidR="00F66612">
        <w:rPr>
          <w:rFonts w:hint="cs"/>
          <w:rtl/>
        </w:rPr>
        <w:t xml:space="preserve">وشيخوختها </w:t>
      </w:r>
      <w:r w:rsidR="005C1AE2">
        <w:rPr>
          <w:rFonts w:hint="cs"/>
          <w:rtl/>
        </w:rPr>
        <w:t>لكان أفضل، في حين نجد</w:t>
      </w:r>
      <w:r w:rsidR="00F66612">
        <w:rPr>
          <w:rFonts w:hint="cs"/>
          <w:rtl/>
        </w:rPr>
        <w:t xml:space="preserve"> أنّ زيد بن علي يلاحظ الأمور من منطلق مبدئي وضرورة مواجهة الظلم والانحراف، وهذا يعني أنّ الباقر لا يريد اشتراط اليقين بالنصر بنحو العلم بالغيب، بل يريد أن يكون الخروج ضمن سياقٍ يكون احتمال نجاح الحركة فيه موثوقاً بحسب منطق التاريخ والأشياء ولا يفضّل الدخول في مجازفات.</w:t>
      </w:r>
    </w:p>
    <w:p w14:paraId="579AB5C5" w14:textId="77777777" w:rsidR="000A4159" w:rsidRPr="00822CE9" w:rsidRDefault="000A4159" w:rsidP="00A47C06">
      <w:pPr>
        <w:pStyle w:val="normal870"/>
        <w:rPr>
          <w:rtl/>
        </w:rPr>
      </w:pPr>
      <w:r w:rsidRPr="00B1403A">
        <w:rPr>
          <w:rFonts w:hint="cs"/>
          <w:b/>
          <w:bCs/>
          <w:rtl/>
        </w:rPr>
        <w:t>ثالثاً:</w:t>
      </w:r>
      <w:r w:rsidRPr="00822CE9">
        <w:rPr>
          <w:rFonts w:hint="cs"/>
          <w:rtl/>
        </w:rPr>
        <w:t xml:space="preserve"> إن</w:t>
      </w:r>
      <w:r w:rsidR="00B1403A">
        <w:rPr>
          <w:rFonts w:hint="cs"/>
          <w:rtl/>
        </w:rPr>
        <w:t>ّ</w:t>
      </w:r>
      <w:r w:rsidRPr="00822CE9">
        <w:rPr>
          <w:rFonts w:hint="cs"/>
          <w:rtl/>
        </w:rPr>
        <w:t xml:space="preserve"> هذه الرواية ضعيفة</w:t>
      </w:r>
      <w:r w:rsidR="00B1403A">
        <w:rPr>
          <w:rFonts w:hint="cs"/>
          <w:rtl/>
        </w:rPr>
        <w:t xml:space="preserve"> </w:t>
      </w:r>
      <w:r w:rsidRPr="00822CE9">
        <w:rPr>
          <w:rFonts w:hint="cs"/>
          <w:rtl/>
        </w:rPr>
        <w:t>السند جداً، فهي مبتلاة ـ من جهة أولى ـ بالإرسال</w:t>
      </w:r>
      <w:r w:rsidR="00B1403A">
        <w:rPr>
          <w:rFonts w:hint="cs"/>
          <w:rtl/>
        </w:rPr>
        <w:t>؛</w:t>
      </w:r>
      <w:r w:rsidRPr="00822CE9">
        <w:rPr>
          <w:rFonts w:hint="cs"/>
          <w:rtl/>
        </w:rPr>
        <w:t xml:space="preserve"> حيث رواها موسى بن بكر عمّن حدّثه</w:t>
      </w:r>
      <w:r w:rsidR="000A15E7">
        <w:rPr>
          <w:rFonts w:hint="cs"/>
          <w:rtl/>
        </w:rPr>
        <w:t>.</w:t>
      </w:r>
      <w:r w:rsidRPr="00822CE9">
        <w:rPr>
          <w:rFonts w:hint="cs"/>
          <w:rtl/>
        </w:rPr>
        <w:t xml:space="preserve"> كما أن</w:t>
      </w:r>
      <w:r w:rsidR="000A15E7">
        <w:rPr>
          <w:rFonts w:hint="cs"/>
          <w:rtl/>
        </w:rPr>
        <w:t>ّ</w:t>
      </w:r>
      <w:r w:rsidRPr="00822CE9">
        <w:rPr>
          <w:rFonts w:hint="cs"/>
          <w:rtl/>
        </w:rPr>
        <w:t xml:space="preserve"> موسى بن بكر بن داب نفسه مجهول، بل مهمل في كتب الرجال السن</w:t>
      </w:r>
      <w:r w:rsidR="000A15E7">
        <w:rPr>
          <w:rFonts w:hint="cs"/>
          <w:rtl/>
        </w:rPr>
        <w:t>ّ</w:t>
      </w:r>
      <w:r w:rsidRPr="00822CE9">
        <w:rPr>
          <w:rFonts w:hint="cs"/>
          <w:rtl/>
        </w:rPr>
        <w:t>ية والشيعي</w:t>
      </w:r>
      <w:r w:rsidR="000A15E7">
        <w:rPr>
          <w:rFonts w:hint="cs"/>
          <w:rtl/>
        </w:rPr>
        <w:t>ّ</w:t>
      </w:r>
      <w:r w:rsidRPr="00822CE9">
        <w:rPr>
          <w:rFonts w:hint="cs"/>
          <w:rtl/>
        </w:rPr>
        <w:t>ة</w:t>
      </w:r>
      <w:r w:rsidRPr="000A4159">
        <w:rPr>
          <w:rFonts w:cs="Taher"/>
          <w:vertAlign w:val="superscript"/>
          <w:rtl/>
        </w:rPr>
        <w:t>(</w:t>
      </w:r>
      <w:r w:rsidRPr="000A4159">
        <w:rPr>
          <w:rStyle w:val="FootnoteReference"/>
          <w:rFonts w:cs="Taher"/>
          <w:rtl/>
        </w:rPr>
        <w:footnoteReference w:id="85"/>
      </w:r>
      <w:r w:rsidRPr="000A4159">
        <w:rPr>
          <w:rFonts w:cs="Taher"/>
          <w:vertAlign w:val="superscript"/>
          <w:rtl/>
        </w:rPr>
        <w:t>)</w:t>
      </w:r>
      <w:r w:rsidRPr="00822CE9">
        <w:rPr>
          <w:rtl/>
        </w:rPr>
        <w:t xml:space="preserve">. </w:t>
      </w:r>
      <w:r w:rsidRPr="00822CE9">
        <w:rPr>
          <w:rFonts w:hint="cs"/>
          <w:rtl/>
        </w:rPr>
        <w:t xml:space="preserve">نعم احتمل </w:t>
      </w:r>
      <w:r w:rsidR="000A15E7">
        <w:rPr>
          <w:rFonts w:hint="cs"/>
          <w:rtl/>
        </w:rPr>
        <w:t xml:space="preserve">العلامة </w:t>
      </w:r>
      <w:r w:rsidRPr="00822CE9">
        <w:rPr>
          <w:rFonts w:hint="cs"/>
          <w:rtl/>
        </w:rPr>
        <w:t xml:space="preserve">التستري </w:t>
      </w:r>
      <w:r w:rsidR="000A15E7">
        <w:rPr>
          <w:rFonts w:hint="cs"/>
          <w:rtl/>
        </w:rPr>
        <w:t>أ</w:t>
      </w:r>
      <w:r w:rsidRPr="00822CE9">
        <w:rPr>
          <w:rFonts w:hint="cs"/>
          <w:rtl/>
        </w:rPr>
        <w:t>ن يكون هناك تصحيف ما قد حصل في السند، ويكون موسى بن بكر عن ابن دأب، كما أشار إلى اختلاف النسخ في اسم أبيه واسم جد</w:t>
      </w:r>
      <w:r w:rsidR="000A15E7">
        <w:rPr>
          <w:rFonts w:hint="cs"/>
          <w:rtl/>
        </w:rPr>
        <w:t>ّ</w:t>
      </w:r>
      <w:r w:rsidRPr="00822CE9">
        <w:rPr>
          <w:rFonts w:hint="cs"/>
          <w:rtl/>
        </w:rPr>
        <w:t>ه</w:t>
      </w:r>
      <w:r w:rsidRPr="000A4159">
        <w:rPr>
          <w:rFonts w:cs="Taher"/>
          <w:vertAlign w:val="superscript"/>
          <w:rtl/>
        </w:rPr>
        <w:t>(</w:t>
      </w:r>
      <w:r w:rsidRPr="000A4159">
        <w:rPr>
          <w:rStyle w:val="FootnoteReference"/>
          <w:rFonts w:cs="Taher"/>
          <w:rtl/>
        </w:rPr>
        <w:footnoteReference w:id="86"/>
      </w:r>
      <w:r w:rsidRPr="000A4159">
        <w:rPr>
          <w:rFonts w:cs="Taher"/>
          <w:vertAlign w:val="superscript"/>
          <w:rtl/>
        </w:rPr>
        <w:t>)</w:t>
      </w:r>
      <w:r w:rsidR="000A15E7">
        <w:rPr>
          <w:rtl/>
        </w:rPr>
        <w:t>.</w:t>
      </w:r>
    </w:p>
    <w:p w14:paraId="653C33E3" w14:textId="77777777" w:rsidR="000A4159" w:rsidRPr="00822CE9" w:rsidRDefault="000A4159" w:rsidP="00A47C06">
      <w:pPr>
        <w:pStyle w:val="normal84"/>
        <w:rPr>
          <w:rtl/>
        </w:rPr>
      </w:pPr>
      <w:r w:rsidRPr="00822CE9">
        <w:rPr>
          <w:rFonts w:hint="cs"/>
          <w:rtl/>
        </w:rPr>
        <w:t>لكن حتى مع ذلك، فقد بحثنا في تمام الاحتمالات التي ذكرت، فإذا أخذنا بـ«</w:t>
      </w:r>
      <w:r w:rsidR="000A15E7">
        <w:rPr>
          <w:rFonts w:hint="cs"/>
          <w:rtl/>
        </w:rPr>
        <w:t xml:space="preserve"> ابن د</w:t>
      </w:r>
      <w:r w:rsidRPr="00822CE9">
        <w:rPr>
          <w:rFonts w:hint="cs"/>
          <w:rtl/>
        </w:rPr>
        <w:t>أب» فهو مجهول</w:t>
      </w:r>
      <w:r w:rsidRPr="000A4159">
        <w:rPr>
          <w:rFonts w:cs="Taher"/>
          <w:vertAlign w:val="superscript"/>
          <w:rtl/>
        </w:rPr>
        <w:t>(</w:t>
      </w:r>
      <w:r w:rsidRPr="000A4159">
        <w:rPr>
          <w:rStyle w:val="FootnoteReference"/>
          <w:rFonts w:cs="Taher"/>
          <w:rtl/>
        </w:rPr>
        <w:footnoteReference w:id="87"/>
      </w:r>
      <w:r w:rsidRPr="000A4159">
        <w:rPr>
          <w:rFonts w:cs="Taher"/>
          <w:vertAlign w:val="superscript"/>
          <w:rtl/>
        </w:rPr>
        <w:t>)</w:t>
      </w:r>
      <w:r w:rsidRPr="00822CE9">
        <w:rPr>
          <w:rtl/>
        </w:rPr>
        <w:t xml:space="preserve">، </w:t>
      </w:r>
      <w:r w:rsidRPr="00822CE9">
        <w:rPr>
          <w:rFonts w:hint="cs"/>
          <w:rtl/>
        </w:rPr>
        <w:t>وأم</w:t>
      </w:r>
      <w:r w:rsidR="000A15E7">
        <w:rPr>
          <w:rFonts w:hint="cs"/>
          <w:rtl/>
        </w:rPr>
        <w:t>ّ</w:t>
      </w:r>
      <w:r w:rsidRPr="00822CE9">
        <w:rPr>
          <w:rFonts w:hint="cs"/>
          <w:rtl/>
        </w:rPr>
        <w:t>ا تقدير موسى بن بكر بن ذئاب فهو مهمل لم نعثر عليه، وأم</w:t>
      </w:r>
      <w:r w:rsidR="000A15E7">
        <w:rPr>
          <w:rFonts w:hint="cs"/>
          <w:rtl/>
        </w:rPr>
        <w:t>ّ</w:t>
      </w:r>
      <w:r w:rsidRPr="00822CE9">
        <w:rPr>
          <w:rFonts w:hint="cs"/>
          <w:rtl/>
        </w:rPr>
        <w:t>ا تقدير داب وذاب فعلى المنوال عينه، فالرواية ضعيفة من جهة موسى بن بكر على الاحتمالات فيه.</w:t>
      </w:r>
    </w:p>
    <w:p w14:paraId="519F65D4" w14:textId="77777777" w:rsidR="000A4159" w:rsidRPr="00822CE9" w:rsidRDefault="000A15E7" w:rsidP="00A47C06">
      <w:pPr>
        <w:pStyle w:val="normal84"/>
        <w:rPr>
          <w:rtl/>
        </w:rPr>
      </w:pPr>
      <w:r>
        <w:rPr>
          <w:rFonts w:hint="cs"/>
          <w:rtl/>
        </w:rPr>
        <w:t>أ</w:t>
      </w:r>
      <w:r w:rsidR="000A4159" w:rsidRPr="00822CE9">
        <w:rPr>
          <w:rFonts w:hint="cs"/>
          <w:rtl/>
        </w:rPr>
        <w:t xml:space="preserve">ضف إلى ذلك، </w:t>
      </w:r>
      <w:r>
        <w:rPr>
          <w:rFonts w:hint="cs"/>
          <w:rtl/>
        </w:rPr>
        <w:t xml:space="preserve">ضعف سند </w:t>
      </w:r>
      <w:r w:rsidR="000A4159" w:rsidRPr="00822CE9">
        <w:rPr>
          <w:rFonts w:hint="cs"/>
          <w:rtl/>
        </w:rPr>
        <w:t>الرواية أيضاً بجهالة الحسين بن الجارود الوارد فيه، فلم ي</w:t>
      </w:r>
      <w:r>
        <w:rPr>
          <w:rFonts w:hint="cs"/>
          <w:rtl/>
        </w:rPr>
        <w:t>ُ</w:t>
      </w:r>
      <w:r w:rsidR="000A4159" w:rsidRPr="00822CE9">
        <w:rPr>
          <w:rFonts w:hint="cs"/>
          <w:rtl/>
        </w:rPr>
        <w:t xml:space="preserve">ذكر في مصادر الرجال القديمة، بل لعلّه لم </w:t>
      </w:r>
      <w:r>
        <w:rPr>
          <w:rFonts w:hint="cs"/>
          <w:rtl/>
        </w:rPr>
        <w:t>ت</w:t>
      </w:r>
      <w:r w:rsidR="000A4159" w:rsidRPr="00822CE9">
        <w:rPr>
          <w:rFonts w:hint="cs"/>
          <w:rtl/>
        </w:rPr>
        <w:t>رد له غير هذه الرواية</w:t>
      </w:r>
      <w:r w:rsidR="000A4159" w:rsidRPr="000A4159">
        <w:rPr>
          <w:rFonts w:cs="Taher"/>
          <w:vertAlign w:val="superscript"/>
          <w:rtl/>
        </w:rPr>
        <w:t>(</w:t>
      </w:r>
      <w:r w:rsidR="000A4159" w:rsidRPr="000A4159">
        <w:rPr>
          <w:rStyle w:val="FootnoteReference"/>
          <w:rFonts w:cs="Taher"/>
          <w:rtl/>
        </w:rPr>
        <w:footnoteReference w:id="88"/>
      </w:r>
      <w:r w:rsidR="000A4159" w:rsidRPr="000A4159">
        <w:rPr>
          <w:rFonts w:cs="Taher"/>
          <w:vertAlign w:val="superscript"/>
          <w:rtl/>
        </w:rPr>
        <w:t>)</w:t>
      </w:r>
      <w:r w:rsidR="00A163EB">
        <w:rPr>
          <w:rFonts w:hint="cs"/>
          <w:rtl/>
        </w:rPr>
        <w:t>، وربما كان في الاسم تصحيف ما.</w:t>
      </w:r>
    </w:p>
    <w:p w14:paraId="6B12521A" w14:textId="77777777" w:rsidR="000A4159" w:rsidRDefault="000A4159" w:rsidP="00A47C06">
      <w:pPr>
        <w:pStyle w:val="normal84"/>
        <w:rPr>
          <w:rtl/>
        </w:rPr>
      </w:pPr>
      <w:r w:rsidRPr="00822CE9">
        <w:rPr>
          <w:rFonts w:hint="cs"/>
          <w:rtl/>
        </w:rPr>
        <w:t>وعليه</w:t>
      </w:r>
      <w:r w:rsidR="000A15E7">
        <w:rPr>
          <w:rFonts w:hint="cs"/>
          <w:rtl/>
        </w:rPr>
        <w:t>،</w:t>
      </w:r>
      <w:r w:rsidRPr="00822CE9">
        <w:rPr>
          <w:rFonts w:hint="cs"/>
          <w:rtl/>
        </w:rPr>
        <w:t xml:space="preserve"> فالرو</w:t>
      </w:r>
      <w:r w:rsidR="00200151">
        <w:rPr>
          <w:rFonts w:hint="cs"/>
          <w:rtl/>
        </w:rPr>
        <w:t>ا</w:t>
      </w:r>
      <w:r w:rsidRPr="00822CE9">
        <w:rPr>
          <w:rFonts w:hint="cs"/>
          <w:rtl/>
        </w:rPr>
        <w:t>ية ضعيفة السند بمجهولين</w:t>
      </w:r>
      <w:r w:rsidR="000A15E7">
        <w:rPr>
          <w:rFonts w:hint="cs"/>
          <w:rtl/>
        </w:rPr>
        <w:t>،</w:t>
      </w:r>
      <w:r w:rsidRPr="00822CE9">
        <w:rPr>
          <w:rFonts w:hint="cs"/>
          <w:rtl/>
        </w:rPr>
        <w:t xml:space="preserve"> بل مهملين</w:t>
      </w:r>
      <w:r w:rsidR="000A15E7">
        <w:rPr>
          <w:rFonts w:hint="cs"/>
          <w:rtl/>
        </w:rPr>
        <w:t>،</w:t>
      </w:r>
      <w:r w:rsidRPr="00822CE9">
        <w:rPr>
          <w:rFonts w:hint="cs"/>
          <w:rtl/>
        </w:rPr>
        <w:t xml:space="preserve"> وبالإرسال.</w:t>
      </w:r>
    </w:p>
    <w:p w14:paraId="38E4925A" w14:textId="77777777" w:rsidR="00205919" w:rsidRPr="00205919" w:rsidRDefault="00205919" w:rsidP="0096148C">
      <w:pPr>
        <w:pStyle w:val="Heading3"/>
        <w:rPr>
          <w:rtl/>
        </w:rPr>
      </w:pPr>
      <w:bookmarkStart w:id="46" w:name="_Toc143804113"/>
      <w:bookmarkStart w:id="47" w:name="_Toc238123238"/>
      <w:r w:rsidRPr="00205919">
        <w:rPr>
          <w:rFonts w:hint="cs"/>
          <w:rtl/>
        </w:rPr>
        <w:lastRenderedPageBreak/>
        <w:t>مع حوار</w:t>
      </w:r>
      <w:r>
        <w:rPr>
          <w:rFonts w:hint="cs"/>
          <w:rtl/>
        </w:rPr>
        <w:t>يّة</w:t>
      </w:r>
      <w:r w:rsidRPr="00205919">
        <w:rPr>
          <w:rFonts w:hint="cs"/>
          <w:rtl/>
        </w:rPr>
        <w:t xml:space="preserve"> زيد ومؤمن الطاق، القيمة والدلالات</w:t>
      </w:r>
      <w:bookmarkEnd w:id="46"/>
      <w:bookmarkEnd w:id="47"/>
    </w:p>
    <w:p w14:paraId="33CF578B" w14:textId="77777777" w:rsidR="000A4159" w:rsidRPr="00822CE9" w:rsidRDefault="000A4159" w:rsidP="00A47C06">
      <w:pPr>
        <w:pStyle w:val="normal870"/>
        <w:rPr>
          <w:rtl/>
        </w:rPr>
      </w:pPr>
      <w:r w:rsidRPr="000A15E7">
        <w:rPr>
          <w:rFonts w:hint="cs"/>
          <w:b/>
          <w:bCs/>
          <w:rtl/>
        </w:rPr>
        <w:t>الرواية الثانية: خبر أبان</w:t>
      </w:r>
      <w:r w:rsidR="000A15E7">
        <w:rPr>
          <w:rFonts w:hint="cs"/>
          <w:rtl/>
        </w:rPr>
        <w:t>،</w:t>
      </w:r>
      <w:r w:rsidRPr="00822CE9">
        <w:rPr>
          <w:rFonts w:hint="cs"/>
          <w:rtl/>
        </w:rPr>
        <w:t xml:space="preserve"> قال: أخبرني الأحول أن</w:t>
      </w:r>
      <w:r w:rsidR="000A15E7">
        <w:rPr>
          <w:rFonts w:hint="cs"/>
          <w:rtl/>
        </w:rPr>
        <w:t>ّ</w:t>
      </w:r>
      <w:r w:rsidRPr="00822CE9">
        <w:rPr>
          <w:rFonts w:hint="cs"/>
          <w:rtl/>
        </w:rPr>
        <w:t xml:space="preserve"> زيد بن علي بن الحسين بعث إليه وهو مستخف</w:t>
      </w:r>
      <w:r w:rsidR="000A15E7">
        <w:rPr>
          <w:rFonts w:hint="cs"/>
          <w:rtl/>
        </w:rPr>
        <w:t>ٍ</w:t>
      </w:r>
      <w:r w:rsidRPr="00822CE9">
        <w:rPr>
          <w:rFonts w:hint="cs"/>
          <w:rtl/>
        </w:rPr>
        <w:t>، قال: فأتيته، فقال لي: يا أبا جعفر</w:t>
      </w:r>
      <w:r w:rsidR="000A15E7">
        <w:rPr>
          <w:rFonts w:hint="cs"/>
          <w:rtl/>
        </w:rPr>
        <w:t>،</w:t>
      </w:r>
      <w:r w:rsidRPr="00822CE9">
        <w:rPr>
          <w:rFonts w:hint="cs"/>
          <w:rtl/>
        </w:rPr>
        <w:t xml:space="preserve"> ما تقول إن طرقك طار</w:t>
      </w:r>
      <w:r w:rsidR="000A15E7">
        <w:rPr>
          <w:rFonts w:hint="cs"/>
          <w:rtl/>
        </w:rPr>
        <w:t>ق</w:t>
      </w:r>
      <w:r w:rsidRPr="00822CE9">
        <w:rPr>
          <w:rFonts w:hint="cs"/>
          <w:rtl/>
        </w:rPr>
        <w:t xml:space="preserve"> منّا</w:t>
      </w:r>
      <w:r w:rsidR="000A15E7">
        <w:rPr>
          <w:rFonts w:hint="cs"/>
          <w:rtl/>
        </w:rPr>
        <w:t>،</w:t>
      </w:r>
      <w:r w:rsidRPr="00822CE9">
        <w:rPr>
          <w:rFonts w:hint="cs"/>
          <w:rtl/>
        </w:rPr>
        <w:t xml:space="preserve"> أتخرج معه؟ قال: فقلت له: إن كان أباك أو أخوك، خرجت معه، قال: فقال لي: فأنا أريد أن أخرج أجاهد هؤلاء القوم فاخرج معي، قال: قلت: لا</w:t>
      </w:r>
      <w:r w:rsidR="000A15E7">
        <w:rPr>
          <w:rFonts w:hint="cs"/>
          <w:rtl/>
        </w:rPr>
        <w:t>،</w:t>
      </w:r>
      <w:r w:rsidRPr="00822CE9">
        <w:rPr>
          <w:rFonts w:hint="cs"/>
          <w:rtl/>
        </w:rPr>
        <w:t xml:space="preserve"> ما أفعل جعلت فداك، قال: فقال لي: أترغب بنفسك عنّي؟ قال: قلت له: إن</w:t>
      </w:r>
      <w:r w:rsidR="000A15E7">
        <w:rPr>
          <w:rFonts w:hint="cs"/>
          <w:rtl/>
        </w:rPr>
        <w:t>ّ</w:t>
      </w:r>
      <w:r w:rsidRPr="00822CE9">
        <w:rPr>
          <w:rFonts w:hint="cs"/>
          <w:rtl/>
        </w:rPr>
        <w:t>ما هي نفس واحدة فإن كان لله في الأرض حج</w:t>
      </w:r>
      <w:r w:rsidR="000A15E7">
        <w:rPr>
          <w:rFonts w:hint="cs"/>
          <w:rtl/>
        </w:rPr>
        <w:t>ّ</w:t>
      </w:r>
      <w:r w:rsidRPr="00822CE9">
        <w:rPr>
          <w:rFonts w:hint="cs"/>
          <w:rtl/>
        </w:rPr>
        <w:t>ة فالمتخلّف عنك ناج</w:t>
      </w:r>
      <w:r w:rsidR="000A15E7">
        <w:rPr>
          <w:rFonts w:hint="cs"/>
          <w:rtl/>
        </w:rPr>
        <w:t>ٍ</w:t>
      </w:r>
      <w:r w:rsidRPr="00822CE9">
        <w:rPr>
          <w:rFonts w:hint="cs"/>
          <w:rtl/>
        </w:rPr>
        <w:t xml:space="preserve"> والخارج معك هالك، وإن لا تكن لله حج</w:t>
      </w:r>
      <w:r w:rsidR="000A15E7">
        <w:rPr>
          <w:rFonts w:hint="cs"/>
          <w:rtl/>
        </w:rPr>
        <w:t>ّ</w:t>
      </w:r>
      <w:r w:rsidRPr="00822CE9">
        <w:rPr>
          <w:rFonts w:hint="cs"/>
          <w:rtl/>
        </w:rPr>
        <w:t>ة في الأرض فالمتخلّف عنك والخارج معك سواء</w:t>
      </w:r>
      <w:r w:rsidR="00D75D4F" w:rsidRPr="000A4159">
        <w:rPr>
          <w:rFonts w:cs="Taher"/>
          <w:vertAlign w:val="superscript"/>
          <w:rtl/>
        </w:rPr>
        <w:t>(</w:t>
      </w:r>
      <w:r w:rsidR="00D75D4F" w:rsidRPr="000A4159">
        <w:rPr>
          <w:rStyle w:val="FootnoteReference"/>
          <w:rFonts w:cs="Taher"/>
          <w:rtl/>
        </w:rPr>
        <w:footnoteReference w:id="89"/>
      </w:r>
      <w:r w:rsidR="00D75D4F" w:rsidRPr="000A4159">
        <w:rPr>
          <w:rFonts w:cs="Taher"/>
          <w:vertAlign w:val="superscript"/>
          <w:rtl/>
        </w:rPr>
        <w:t>)</w:t>
      </w:r>
      <w:r w:rsidRPr="00822CE9">
        <w:rPr>
          <w:rFonts w:hint="cs"/>
          <w:rtl/>
        </w:rPr>
        <w:t>. قال: فقال لي: يا أبا جعفر</w:t>
      </w:r>
      <w:r w:rsidR="000A15E7">
        <w:rPr>
          <w:rFonts w:hint="cs"/>
          <w:rtl/>
        </w:rPr>
        <w:t>،</w:t>
      </w:r>
      <w:r w:rsidRPr="00822CE9">
        <w:rPr>
          <w:rFonts w:hint="cs"/>
          <w:rtl/>
        </w:rPr>
        <w:t xml:space="preserve"> كنت أجلس مع أبي على الخوان ف</w:t>
      </w:r>
      <w:r w:rsidR="000A15E7">
        <w:rPr>
          <w:rFonts w:hint="cs"/>
          <w:rtl/>
        </w:rPr>
        <w:t>يُ</w:t>
      </w:r>
      <w:r w:rsidRPr="00822CE9">
        <w:rPr>
          <w:rFonts w:hint="cs"/>
          <w:rtl/>
        </w:rPr>
        <w:t>ل</w:t>
      </w:r>
      <w:r w:rsidR="000A15E7">
        <w:rPr>
          <w:rFonts w:hint="cs"/>
          <w:rtl/>
        </w:rPr>
        <w:t>قمني البضعة السمينة، ويبرّد</w:t>
      </w:r>
      <w:r w:rsidRPr="00822CE9">
        <w:rPr>
          <w:rFonts w:hint="cs"/>
          <w:rtl/>
        </w:rPr>
        <w:t xml:space="preserve"> لي ال</w:t>
      </w:r>
      <w:r w:rsidR="000A15E7">
        <w:rPr>
          <w:rFonts w:hint="cs"/>
          <w:rtl/>
        </w:rPr>
        <w:t>ل</w:t>
      </w:r>
      <w:r w:rsidRPr="00822CE9">
        <w:rPr>
          <w:rFonts w:hint="cs"/>
          <w:rtl/>
        </w:rPr>
        <w:t>قمة الحارة حتى تبرد، شفقة عليّ، ولم يشفق عليّ من حرّ النار، إذا أخبرك بالدين ولم يخبرني به؟</w:t>
      </w:r>
      <w:r w:rsidR="000A15E7">
        <w:rPr>
          <w:rFonts w:hint="cs"/>
          <w:rtl/>
        </w:rPr>
        <w:t>!</w:t>
      </w:r>
      <w:r w:rsidRPr="00822CE9">
        <w:rPr>
          <w:rFonts w:hint="cs"/>
          <w:rtl/>
        </w:rPr>
        <w:t xml:space="preserve"> فقلت له: جعلت فداك شفقته عليك من حرّ النار لم يخبرك، خاف عليك أن لا تقبله فتدخل النار، وأخبرني أنا، فإن قبلت نجوت، وإن لم أقبل لم يبال أن أدخل النار، ثم</w:t>
      </w:r>
      <w:r w:rsidR="000A15E7">
        <w:rPr>
          <w:rFonts w:hint="cs"/>
          <w:rtl/>
        </w:rPr>
        <w:t>ّ</w:t>
      </w:r>
      <w:r w:rsidRPr="00822CE9">
        <w:rPr>
          <w:rFonts w:hint="cs"/>
          <w:rtl/>
        </w:rPr>
        <w:t xml:space="preserve"> قال له: جعلت فداك، أنتم أفضل أم الأنبياء؟ قال: بل الأنبياء، قلت: يقول يعقوب ليوسف: يا بني لا تقصص رؤياك على إخوتك فيكيدوا لك كيداً، لم لم يخبرهم حتى كانوا لا يكيدونه، ولكن كتمهم ذلك، فكذا أبوك كتمك لأن</w:t>
      </w:r>
      <w:r w:rsidR="000A15E7">
        <w:rPr>
          <w:rFonts w:hint="cs"/>
          <w:rtl/>
        </w:rPr>
        <w:t>ّ</w:t>
      </w:r>
      <w:r w:rsidRPr="00822CE9">
        <w:rPr>
          <w:rFonts w:hint="cs"/>
          <w:rtl/>
        </w:rPr>
        <w:t>ه خاف عليك، قال: فقال: أما والله لئن قلت ذلك لقد حدّثني صاحبك بالمدينة أن</w:t>
      </w:r>
      <w:r w:rsidR="000A15E7">
        <w:rPr>
          <w:rFonts w:hint="cs"/>
          <w:rtl/>
        </w:rPr>
        <w:t>ّ</w:t>
      </w:r>
      <w:r w:rsidRPr="00822CE9">
        <w:rPr>
          <w:rFonts w:hint="cs"/>
          <w:rtl/>
        </w:rPr>
        <w:t>ي أق</w:t>
      </w:r>
      <w:r w:rsidR="000A15E7">
        <w:rPr>
          <w:rFonts w:hint="cs"/>
          <w:rtl/>
        </w:rPr>
        <w:t>ت</w:t>
      </w:r>
      <w:r w:rsidRPr="00822CE9">
        <w:rPr>
          <w:rFonts w:hint="cs"/>
          <w:rtl/>
        </w:rPr>
        <w:t>ل وأصلب بالكناسة، وأنّ عنده لصحيفة فيها قتل</w:t>
      </w:r>
      <w:r w:rsidR="000A15E7">
        <w:rPr>
          <w:rFonts w:hint="cs"/>
          <w:rtl/>
        </w:rPr>
        <w:t>ي</w:t>
      </w:r>
      <w:r w:rsidRPr="00822CE9">
        <w:rPr>
          <w:rFonts w:hint="cs"/>
          <w:rtl/>
        </w:rPr>
        <w:t xml:space="preserve"> وصلبي.</w:t>
      </w:r>
      <w:r w:rsidR="000A15E7">
        <w:rPr>
          <w:rFonts w:hint="cs"/>
          <w:rtl/>
        </w:rPr>
        <w:t xml:space="preserve"> فحججت</w:t>
      </w:r>
      <w:r w:rsidRPr="00822CE9">
        <w:rPr>
          <w:rFonts w:hint="cs"/>
          <w:rtl/>
        </w:rPr>
        <w:t>، فحدّثت أبا عبد الله</w:t>
      </w:r>
      <w:r w:rsidR="009A1626" w:rsidRPr="00822CE9">
        <w:rPr>
          <w:rFonts w:hint="cs"/>
          <w:rtl/>
        </w:rPr>
        <w:t>×</w:t>
      </w:r>
      <w:r w:rsidRPr="00822CE9">
        <w:rPr>
          <w:rFonts w:hint="cs"/>
          <w:rtl/>
        </w:rPr>
        <w:t xml:space="preserve"> بمقالة زيد وما قلت له، فقال لي: «أخذته من بين يديه ومن خلفه وعن يمينه وعن شماله ومن فوق رأسه ومن تحت قدميه، ولم </w:t>
      </w:r>
      <w:r w:rsidR="000A15E7">
        <w:rPr>
          <w:rFonts w:hint="cs"/>
          <w:rtl/>
        </w:rPr>
        <w:t>ت</w:t>
      </w:r>
      <w:r w:rsidRPr="00822CE9">
        <w:rPr>
          <w:rFonts w:hint="cs"/>
          <w:rtl/>
        </w:rPr>
        <w:t>ترك له مسلكاً يسلكه»</w:t>
      </w:r>
      <w:r w:rsidRPr="000A4159">
        <w:rPr>
          <w:rFonts w:cs="Taher"/>
          <w:vertAlign w:val="superscript"/>
          <w:rtl/>
        </w:rPr>
        <w:t>(</w:t>
      </w:r>
      <w:r w:rsidRPr="000A4159">
        <w:rPr>
          <w:rStyle w:val="FootnoteReference"/>
          <w:rFonts w:cs="Taher"/>
          <w:rtl/>
        </w:rPr>
        <w:footnoteReference w:id="90"/>
      </w:r>
      <w:r w:rsidRPr="000A4159">
        <w:rPr>
          <w:rFonts w:cs="Taher"/>
          <w:vertAlign w:val="superscript"/>
          <w:rtl/>
        </w:rPr>
        <w:t>)</w:t>
      </w:r>
      <w:r w:rsidRPr="00822CE9">
        <w:rPr>
          <w:rtl/>
        </w:rPr>
        <w:t>.</w:t>
      </w:r>
    </w:p>
    <w:p w14:paraId="345E48F6" w14:textId="77777777" w:rsidR="000A4159" w:rsidRPr="00822CE9" w:rsidRDefault="000A4159" w:rsidP="00A079D6">
      <w:pPr>
        <w:spacing w:line="214" w:lineRule="auto"/>
        <w:rPr>
          <w:rtl/>
        </w:rPr>
      </w:pPr>
      <w:r w:rsidRPr="00822CE9">
        <w:rPr>
          <w:rFonts w:hint="cs"/>
          <w:rtl/>
        </w:rPr>
        <w:t>والرواية صرحّوا بصحّة سندها وقوّته، فتكون دالّة</w:t>
      </w:r>
      <w:r w:rsidR="000A15E7">
        <w:rPr>
          <w:rFonts w:hint="cs"/>
          <w:rtl/>
        </w:rPr>
        <w:t>ً</w:t>
      </w:r>
      <w:r w:rsidRPr="00822CE9">
        <w:rPr>
          <w:rFonts w:hint="cs"/>
          <w:rtl/>
        </w:rPr>
        <w:t xml:space="preserve"> بشدّة على ضعف زيد والتنديد بحركته، كما هو واضح.</w:t>
      </w:r>
    </w:p>
    <w:p w14:paraId="2021DA90" w14:textId="77777777" w:rsidR="000A4159" w:rsidRPr="000A15E7" w:rsidRDefault="000A4159" w:rsidP="000A15E7">
      <w:pPr>
        <w:spacing w:line="214" w:lineRule="auto"/>
        <w:rPr>
          <w:b/>
          <w:bCs/>
          <w:rtl/>
        </w:rPr>
      </w:pPr>
      <w:r w:rsidRPr="000A15E7">
        <w:rPr>
          <w:rFonts w:hint="cs"/>
          <w:b/>
          <w:bCs/>
          <w:rtl/>
        </w:rPr>
        <w:lastRenderedPageBreak/>
        <w:t>لكن مع ذلك</w:t>
      </w:r>
      <w:r w:rsidR="000A15E7">
        <w:rPr>
          <w:rFonts w:hint="cs"/>
          <w:b/>
          <w:bCs/>
          <w:rtl/>
        </w:rPr>
        <w:t>،</w:t>
      </w:r>
      <w:r w:rsidRPr="000A15E7">
        <w:rPr>
          <w:rFonts w:hint="cs"/>
          <w:b/>
          <w:bCs/>
          <w:rtl/>
        </w:rPr>
        <w:t xml:space="preserve"> </w:t>
      </w:r>
      <w:r w:rsidR="000A15E7">
        <w:rPr>
          <w:rFonts w:hint="cs"/>
          <w:b/>
          <w:bCs/>
          <w:rtl/>
        </w:rPr>
        <w:t xml:space="preserve">سجّلوا على </w:t>
      </w:r>
      <w:r w:rsidRPr="000A15E7">
        <w:rPr>
          <w:rFonts w:hint="cs"/>
          <w:b/>
          <w:bCs/>
          <w:rtl/>
        </w:rPr>
        <w:t xml:space="preserve">الاستناد </w:t>
      </w:r>
      <w:r w:rsidR="000A15E7">
        <w:rPr>
          <w:rFonts w:hint="cs"/>
          <w:b/>
          <w:bCs/>
          <w:rtl/>
        </w:rPr>
        <w:t>ع</w:t>
      </w:r>
      <w:r w:rsidRPr="000A15E7">
        <w:rPr>
          <w:rFonts w:hint="cs"/>
          <w:b/>
          <w:bCs/>
          <w:rtl/>
        </w:rPr>
        <w:t>ليها</w:t>
      </w:r>
      <w:r w:rsidR="000A15E7">
        <w:rPr>
          <w:rFonts w:hint="cs"/>
          <w:b/>
          <w:bCs/>
          <w:rtl/>
        </w:rPr>
        <w:t xml:space="preserve"> ملاحظات</w:t>
      </w:r>
      <w:r w:rsidRPr="000A15E7">
        <w:rPr>
          <w:rFonts w:hint="cs"/>
          <w:b/>
          <w:bCs/>
          <w:rtl/>
        </w:rPr>
        <w:t>:</w:t>
      </w:r>
    </w:p>
    <w:p w14:paraId="4DCA8DF2" w14:textId="77777777" w:rsidR="000A4159" w:rsidRPr="00822CE9" w:rsidRDefault="000A4159" w:rsidP="00A47C06">
      <w:pPr>
        <w:pStyle w:val="normal84"/>
        <w:rPr>
          <w:rtl/>
        </w:rPr>
      </w:pPr>
      <w:r w:rsidRPr="000A15E7">
        <w:rPr>
          <w:rFonts w:hint="cs"/>
          <w:b/>
          <w:bCs/>
          <w:rtl/>
        </w:rPr>
        <w:t>أو</w:t>
      </w:r>
      <w:r w:rsidR="000A15E7">
        <w:rPr>
          <w:rFonts w:hint="cs"/>
          <w:b/>
          <w:bCs/>
          <w:rtl/>
        </w:rPr>
        <w:t>ّ</w:t>
      </w:r>
      <w:r w:rsidRPr="000A15E7">
        <w:rPr>
          <w:rFonts w:hint="cs"/>
          <w:b/>
          <w:bCs/>
          <w:rtl/>
        </w:rPr>
        <w:t>لاً:</w:t>
      </w:r>
      <w:r w:rsidRPr="00822CE9">
        <w:rPr>
          <w:rFonts w:hint="cs"/>
          <w:rtl/>
        </w:rPr>
        <w:t xml:space="preserve"> ما ذكره السيد الخوئي</w:t>
      </w:r>
      <w:r w:rsidR="000A15E7">
        <w:rPr>
          <w:rFonts w:hint="cs"/>
          <w:rtl/>
        </w:rPr>
        <w:t>،</w:t>
      </w:r>
      <w:r w:rsidRPr="00822CE9">
        <w:rPr>
          <w:rFonts w:hint="cs"/>
          <w:rtl/>
        </w:rPr>
        <w:t xml:space="preserve"> من أن</w:t>
      </w:r>
      <w:r w:rsidR="000A15E7">
        <w:rPr>
          <w:rFonts w:hint="cs"/>
          <w:rtl/>
        </w:rPr>
        <w:t>ّ</w:t>
      </w:r>
      <w:r w:rsidRPr="00822CE9">
        <w:rPr>
          <w:rFonts w:hint="cs"/>
          <w:rtl/>
        </w:rPr>
        <w:t xml:space="preserve"> دلالة الرواية على القدح في زيد متوق</w:t>
      </w:r>
      <w:r w:rsidR="000A15E7">
        <w:rPr>
          <w:rFonts w:hint="cs"/>
          <w:rtl/>
        </w:rPr>
        <w:t>ّ</w:t>
      </w:r>
      <w:r w:rsidRPr="00822CE9">
        <w:rPr>
          <w:rFonts w:hint="cs"/>
          <w:rtl/>
        </w:rPr>
        <w:t>فة على عدم اعتراف زيد بوجود حج</w:t>
      </w:r>
      <w:r w:rsidR="000A15E7">
        <w:rPr>
          <w:rFonts w:hint="cs"/>
          <w:rtl/>
        </w:rPr>
        <w:t>ّ</w:t>
      </w:r>
      <w:r w:rsidRPr="00822CE9">
        <w:rPr>
          <w:rFonts w:hint="cs"/>
          <w:rtl/>
        </w:rPr>
        <w:t xml:space="preserve">ة لله على خلقه غيره هو نفسه </w:t>
      </w:r>
      <w:r w:rsidR="000A15E7">
        <w:rPr>
          <w:rFonts w:hint="cs"/>
          <w:rtl/>
        </w:rPr>
        <w:t xml:space="preserve">وأنّه </w:t>
      </w:r>
      <w:r w:rsidRPr="00822CE9">
        <w:rPr>
          <w:rFonts w:hint="cs"/>
          <w:rtl/>
        </w:rPr>
        <w:t>لو كان هناك حج</w:t>
      </w:r>
      <w:r w:rsidR="000A15E7">
        <w:rPr>
          <w:rFonts w:hint="cs"/>
          <w:rtl/>
        </w:rPr>
        <w:t>ّ</w:t>
      </w:r>
      <w:r w:rsidRPr="00822CE9">
        <w:rPr>
          <w:rFonts w:hint="cs"/>
          <w:rtl/>
        </w:rPr>
        <w:t>ة غيره لأخبره والده، وقد ردّه مؤمن الطاق (الأحول) بأنّ عدم إخبار والده له كان شفقةً منه عليه، ثم أي</w:t>
      </w:r>
      <w:r w:rsidR="000A15E7">
        <w:rPr>
          <w:rFonts w:hint="cs"/>
          <w:rtl/>
        </w:rPr>
        <w:t>ّد</w:t>
      </w:r>
      <w:r w:rsidRPr="00822CE9">
        <w:rPr>
          <w:rFonts w:hint="cs"/>
          <w:rtl/>
        </w:rPr>
        <w:t xml:space="preserve"> الإمام مناقشة الأحول لزيد، وهنا نقول</w:t>
      </w:r>
      <w:r w:rsidR="000A15E7">
        <w:rPr>
          <w:rFonts w:hint="cs"/>
          <w:rtl/>
        </w:rPr>
        <w:t>:</w:t>
      </w:r>
      <w:r w:rsidRPr="00822CE9">
        <w:rPr>
          <w:rFonts w:hint="cs"/>
          <w:rtl/>
        </w:rPr>
        <w:t xml:space="preserve"> كيف يمكن </w:t>
      </w:r>
      <w:r w:rsidR="000A15E7">
        <w:rPr>
          <w:rFonts w:hint="cs"/>
          <w:rtl/>
        </w:rPr>
        <w:t xml:space="preserve">أن </w:t>
      </w:r>
      <w:r w:rsidRPr="00822CE9">
        <w:rPr>
          <w:rFonts w:hint="cs"/>
          <w:rtl/>
        </w:rPr>
        <w:t xml:space="preserve">ينسب الأحول </w:t>
      </w:r>
      <w:r w:rsidR="000A15E7">
        <w:rPr>
          <w:rFonts w:hint="cs"/>
          <w:rtl/>
        </w:rPr>
        <w:t xml:space="preserve">ـ </w:t>
      </w:r>
      <w:r w:rsidRPr="00822CE9">
        <w:rPr>
          <w:rFonts w:hint="cs"/>
          <w:rtl/>
        </w:rPr>
        <w:t>وهو من الفضلاء المبر</w:t>
      </w:r>
      <w:r w:rsidR="000A15E7">
        <w:rPr>
          <w:rFonts w:hint="cs"/>
          <w:rtl/>
        </w:rPr>
        <w:t>ّ</w:t>
      </w:r>
      <w:r w:rsidRPr="00822CE9">
        <w:rPr>
          <w:rFonts w:hint="cs"/>
          <w:rtl/>
        </w:rPr>
        <w:t xml:space="preserve">زين </w:t>
      </w:r>
      <w:r w:rsidR="000A15E7">
        <w:rPr>
          <w:rFonts w:hint="cs"/>
          <w:rtl/>
        </w:rPr>
        <w:t xml:space="preserve">ـ </w:t>
      </w:r>
      <w:r w:rsidRPr="00822CE9">
        <w:rPr>
          <w:rFonts w:hint="cs"/>
          <w:rtl/>
        </w:rPr>
        <w:t>إلى الإمام السج</w:t>
      </w:r>
      <w:r w:rsidR="000A15E7">
        <w:rPr>
          <w:rFonts w:hint="cs"/>
          <w:rtl/>
        </w:rPr>
        <w:t>ّ</w:t>
      </w:r>
      <w:r w:rsidRPr="00822CE9">
        <w:rPr>
          <w:rFonts w:hint="cs"/>
          <w:rtl/>
        </w:rPr>
        <w:t>اد أن</w:t>
      </w:r>
      <w:r w:rsidR="000A15E7">
        <w:rPr>
          <w:rFonts w:hint="cs"/>
          <w:rtl/>
        </w:rPr>
        <w:t>ّ</w:t>
      </w:r>
      <w:r w:rsidRPr="00822CE9">
        <w:rPr>
          <w:rFonts w:hint="cs"/>
          <w:rtl/>
        </w:rPr>
        <w:t>ه لم يخبر زيداً بالإمامة لشفقة</w:t>
      </w:r>
      <w:r w:rsidR="000A15E7">
        <w:rPr>
          <w:rFonts w:hint="cs"/>
          <w:rtl/>
        </w:rPr>
        <w:t>ٍ</w:t>
      </w:r>
      <w:r w:rsidRPr="00822CE9">
        <w:rPr>
          <w:rFonts w:hint="cs"/>
          <w:rtl/>
        </w:rPr>
        <w:t xml:space="preserve"> ن</w:t>
      </w:r>
      <w:r w:rsidR="000A15E7">
        <w:rPr>
          <w:rFonts w:hint="cs"/>
          <w:rtl/>
        </w:rPr>
        <w:t>َ</w:t>
      </w:r>
      <w:r w:rsidRPr="00822CE9">
        <w:rPr>
          <w:rFonts w:hint="cs"/>
          <w:rtl/>
        </w:rPr>
        <w:t>س</w:t>
      </w:r>
      <w:r w:rsidR="000A15E7">
        <w:rPr>
          <w:rFonts w:hint="cs"/>
          <w:rtl/>
        </w:rPr>
        <w:t>َ</w:t>
      </w:r>
      <w:r w:rsidRPr="00822CE9">
        <w:rPr>
          <w:rFonts w:hint="cs"/>
          <w:rtl/>
        </w:rPr>
        <w:t>بي</w:t>
      </w:r>
      <w:r w:rsidR="000A15E7">
        <w:rPr>
          <w:rFonts w:hint="cs"/>
          <w:rtl/>
        </w:rPr>
        <w:t>ّة</w:t>
      </w:r>
      <w:r w:rsidRPr="00822CE9">
        <w:rPr>
          <w:rFonts w:hint="cs"/>
          <w:rtl/>
        </w:rPr>
        <w:t>؟ وما معنى هذه الشفقة النسبي</w:t>
      </w:r>
      <w:r w:rsidR="000A15E7">
        <w:rPr>
          <w:rFonts w:hint="cs"/>
          <w:rtl/>
        </w:rPr>
        <w:t>ّ</w:t>
      </w:r>
      <w:r w:rsidRPr="00822CE9">
        <w:rPr>
          <w:rFonts w:hint="cs"/>
          <w:rtl/>
        </w:rPr>
        <w:t>ة؟ وحتى لو سلّمنا</w:t>
      </w:r>
      <w:r w:rsidR="000A15E7">
        <w:rPr>
          <w:rFonts w:hint="cs"/>
          <w:rtl/>
        </w:rPr>
        <w:t>،</w:t>
      </w:r>
      <w:r w:rsidRPr="00822CE9">
        <w:rPr>
          <w:rFonts w:hint="cs"/>
          <w:rtl/>
        </w:rPr>
        <w:t xml:space="preserve"> فعلى تقدير أن لا يقبل زيد بما سيقوله له والده السجّاد سوف يكون من المعاندين</w:t>
      </w:r>
      <w:r w:rsidR="000A15E7">
        <w:rPr>
          <w:rFonts w:hint="cs"/>
          <w:rtl/>
        </w:rPr>
        <w:t>،</w:t>
      </w:r>
      <w:r w:rsidRPr="00822CE9">
        <w:rPr>
          <w:rFonts w:hint="cs"/>
          <w:rtl/>
        </w:rPr>
        <w:t xml:space="preserve"> فكيف يمكن أن يكون محلاً للشفقة من جانب والده؟</w:t>
      </w:r>
      <w:r w:rsidR="00A163EB">
        <w:rPr>
          <w:rFonts w:hint="cs"/>
          <w:rtl/>
        </w:rPr>
        <w:t>!</w:t>
      </w:r>
    </w:p>
    <w:p w14:paraId="6EB44943" w14:textId="77777777" w:rsidR="000A4159" w:rsidRPr="00822CE9" w:rsidRDefault="000A15E7" w:rsidP="00A47C06">
      <w:pPr>
        <w:pStyle w:val="normal870"/>
        <w:rPr>
          <w:rtl/>
        </w:rPr>
      </w:pPr>
      <w:r>
        <w:rPr>
          <w:rFonts w:hint="cs"/>
          <w:rtl/>
        </w:rPr>
        <w:t>وهذا كلّه يؤكّد أ</w:t>
      </w:r>
      <w:r w:rsidR="000A4159" w:rsidRPr="00822CE9">
        <w:rPr>
          <w:rFonts w:hint="cs"/>
          <w:rtl/>
        </w:rPr>
        <w:t>ن</w:t>
      </w:r>
      <w:r>
        <w:rPr>
          <w:rFonts w:hint="cs"/>
          <w:rtl/>
        </w:rPr>
        <w:t>ّ</w:t>
      </w:r>
      <w:r w:rsidR="000A4159" w:rsidRPr="00822CE9">
        <w:rPr>
          <w:rFonts w:hint="cs"/>
          <w:rtl/>
        </w:rPr>
        <w:t xml:space="preserve"> القضية كانت مختلفة تماماً عن هذا التفسير، بل المقصود أنّ زيداً طلب من الأحول ـ وهو شخصي</w:t>
      </w:r>
      <w:r>
        <w:rPr>
          <w:rFonts w:hint="cs"/>
          <w:rtl/>
        </w:rPr>
        <w:t>ّ</w:t>
      </w:r>
      <w:r w:rsidR="000A4159" w:rsidRPr="00822CE9">
        <w:rPr>
          <w:rFonts w:hint="cs"/>
          <w:rtl/>
        </w:rPr>
        <w:t>ة مشهورة يوجب خروج</w:t>
      </w:r>
      <w:r>
        <w:rPr>
          <w:rFonts w:hint="cs"/>
          <w:rtl/>
        </w:rPr>
        <w:t>ُ</w:t>
      </w:r>
      <w:r w:rsidR="000A4159" w:rsidRPr="00822CE9">
        <w:rPr>
          <w:rFonts w:hint="cs"/>
          <w:rtl/>
        </w:rPr>
        <w:t xml:space="preserve">ها تقوية </w:t>
      </w:r>
      <w:r>
        <w:rPr>
          <w:rFonts w:hint="cs"/>
          <w:rtl/>
        </w:rPr>
        <w:t xml:space="preserve">حركة </w:t>
      </w:r>
      <w:r w:rsidR="000A4159" w:rsidRPr="00822CE9">
        <w:rPr>
          <w:rFonts w:hint="cs"/>
          <w:rtl/>
        </w:rPr>
        <w:t>زيد ـ فردّه الأحول بأنّ الخروج مع الإمام فقط</w:t>
      </w:r>
      <w:r>
        <w:rPr>
          <w:rFonts w:hint="cs"/>
          <w:rtl/>
        </w:rPr>
        <w:t>، وإلا هلك الخارج، وهنا لم يتم</w:t>
      </w:r>
      <w:r w:rsidR="000A4159" w:rsidRPr="00822CE9">
        <w:rPr>
          <w:rFonts w:hint="cs"/>
          <w:rtl/>
        </w:rPr>
        <w:t>ك</w:t>
      </w:r>
      <w:r>
        <w:rPr>
          <w:rFonts w:hint="cs"/>
          <w:rtl/>
        </w:rPr>
        <w:t>ّ</w:t>
      </w:r>
      <w:r w:rsidR="000A4159" w:rsidRPr="00822CE9">
        <w:rPr>
          <w:rFonts w:hint="cs"/>
          <w:rtl/>
        </w:rPr>
        <w:t>ن زيد من أن يبوح له بأن</w:t>
      </w:r>
      <w:r>
        <w:rPr>
          <w:rFonts w:hint="cs"/>
          <w:rtl/>
        </w:rPr>
        <w:t>ّ</w:t>
      </w:r>
      <w:r w:rsidR="000A4159" w:rsidRPr="00822CE9">
        <w:rPr>
          <w:rFonts w:hint="cs"/>
          <w:rtl/>
        </w:rPr>
        <w:t>ه مأذون من قبل الإمام ـ كما تفيده الروايات الأخرى ـ لأن</w:t>
      </w:r>
      <w:r>
        <w:rPr>
          <w:rFonts w:hint="cs"/>
          <w:rtl/>
        </w:rPr>
        <w:t>ّ</w:t>
      </w:r>
      <w:r w:rsidR="000A4159" w:rsidRPr="00822CE9">
        <w:rPr>
          <w:rFonts w:hint="cs"/>
          <w:rtl/>
        </w:rPr>
        <w:t xml:space="preserve"> هذا الأمر كان من الأسرار، لهذا استخدم زيد طريقةً أخرى، وهي الإشارة له إلى أن</w:t>
      </w:r>
      <w:r>
        <w:rPr>
          <w:rFonts w:hint="cs"/>
          <w:rtl/>
        </w:rPr>
        <w:t>ّ</w:t>
      </w:r>
      <w:r w:rsidR="000A4159" w:rsidRPr="00822CE9">
        <w:rPr>
          <w:rFonts w:hint="cs"/>
          <w:rtl/>
        </w:rPr>
        <w:t>ه عارف بالدين وأحكامه، وهنا طرح زيد مسألة علاقته بوالده وشفقة والده عليه، لكنّ الأحول لم يفهم مقصوده</w:t>
      </w:r>
      <w:r>
        <w:rPr>
          <w:rFonts w:hint="cs"/>
          <w:rtl/>
        </w:rPr>
        <w:t>،</w:t>
      </w:r>
      <w:r w:rsidR="000A4159" w:rsidRPr="00822CE9">
        <w:rPr>
          <w:rFonts w:hint="cs"/>
          <w:rtl/>
        </w:rPr>
        <w:t xml:space="preserve"> وردّ عليه ذلك الردّ، لهذا قال له زيد حينئذ عن مقتله وصلبه بالكناسة فيما أخبر به المعصوم</w:t>
      </w:r>
      <w:r>
        <w:rPr>
          <w:rFonts w:hint="cs"/>
          <w:rtl/>
        </w:rPr>
        <w:t>،</w:t>
      </w:r>
      <w:r w:rsidR="000A4159" w:rsidRPr="00822CE9">
        <w:rPr>
          <w:rFonts w:hint="cs"/>
          <w:rtl/>
        </w:rPr>
        <w:t xml:space="preserve"> لكي يشير له إلى أن</w:t>
      </w:r>
      <w:r>
        <w:rPr>
          <w:rFonts w:hint="cs"/>
          <w:rtl/>
        </w:rPr>
        <w:t>ّ</w:t>
      </w:r>
      <w:r w:rsidR="000A4159" w:rsidRPr="00822CE9">
        <w:rPr>
          <w:rFonts w:hint="cs"/>
          <w:rtl/>
        </w:rPr>
        <w:t>ه لا يخرج طلباً للرئاسة</w:t>
      </w:r>
      <w:r>
        <w:rPr>
          <w:rFonts w:hint="cs"/>
          <w:rtl/>
        </w:rPr>
        <w:t>،</w:t>
      </w:r>
      <w:r w:rsidR="000A4159" w:rsidRPr="00822CE9">
        <w:rPr>
          <w:rFonts w:hint="cs"/>
          <w:rtl/>
        </w:rPr>
        <w:t xml:space="preserve"> لأن</w:t>
      </w:r>
      <w:r>
        <w:rPr>
          <w:rFonts w:hint="cs"/>
          <w:rtl/>
        </w:rPr>
        <w:t>ّه يعلم أ</w:t>
      </w:r>
      <w:r w:rsidR="000A4159" w:rsidRPr="00822CE9">
        <w:rPr>
          <w:rFonts w:hint="cs"/>
          <w:rtl/>
        </w:rPr>
        <w:t>ن</w:t>
      </w:r>
      <w:r>
        <w:rPr>
          <w:rFonts w:hint="cs"/>
          <w:rtl/>
        </w:rPr>
        <w:t>ّ</w:t>
      </w:r>
      <w:r w:rsidR="000A4159" w:rsidRPr="00822CE9">
        <w:rPr>
          <w:rFonts w:hint="cs"/>
          <w:rtl/>
        </w:rPr>
        <w:t>ه سيذهب شهيداً، ومع ذلك لم يفهم الأحول قصد زيد</w:t>
      </w:r>
      <w:r>
        <w:rPr>
          <w:rFonts w:hint="cs"/>
          <w:rtl/>
        </w:rPr>
        <w:t>.</w:t>
      </w:r>
      <w:r w:rsidR="000A4159" w:rsidRPr="00822CE9">
        <w:rPr>
          <w:rFonts w:hint="cs"/>
          <w:rtl/>
        </w:rPr>
        <w:t xml:space="preserve"> وجواب الإمام الصادق للأحول ليس قدحاً في زيد</w:t>
      </w:r>
      <w:r>
        <w:rPr>
          <w:rFonts w:hint="cs"/>
          <w:rtl/>
        </w:rPr>
        <w:t>،</w:t>
      </w:r>
      <w:r w:rsidR="000A4159" w:rsidRPr="00822CE9">
        <w:rPr>
          <w:rFonts w:hint="cs"/>
          <w:rtl/>
        </w:rPr>
        <w:t xml:space="preserve"> وإن</w:t>
      </w:r>
      <w:r>
        <w:rPr>
          <w:rFonts w:hint="cs"/>
          <w:rtl/>
        </w:rPr>
        <w:t>ّ</w:t>
      </w:r>
      <w:r w:rsidR="000A4159" w:rsidRPr="00822CE9">
        <w:rPr>
          <w:rFonts w:hint="cs"/>
          <w:rtl/>
        </w:rPr>
        <w:t>ما هو مدح</w:t>
      </w:r>
      <w:r>
        <w:rPr>
          <w:rFonts w:hint="cs"/>
          <w:rtl/>
        </w:rPr>
        <w:t>ٌ</w:t>
      </w:r>
      <w:r w:rsidR="000A4159" w:rsidRPr="00822CE9">
        <w:rPr>
          <w:rFonts w:hint="cs"/>
          <w:rtl/>
        </w:rPr>
        <w:t xml:space="preserve"> لحسن مناظرة الأحول معه وعدم الاستجابة لزيد في الخروج معه حيث لم يكن الأحول مأذوناً في الخروج، ولم يكن يعلم أن</w:t>
      </w:r>
      <w:r>
        <w:rPr>
          <w:rFonts w:hint="cs"/>
          <w:rtl/>
        </w:rPr>
        <w:t>ّ</w:t>
      </w:r>
      <w:r w:rsidR="000A4159" w:rsidRPr="00822CE9">
        <w:rPr>
          <w:rFonts w:hint="cs"/>
          <w:rtl/>
        </w:rPr>
        <w:t xml:space="preserve"> زيداً كان مأذوناً بذلك، وشاهد ذلك كلّه الروايات المادحة </w:t>
      </w:r>
      <w:r>
        <w:rPr>
          <w:rFonts w:hint="cs"/>
          <w:rtl/>
        </w:rPr>
        <w:t>ل</w:t>
      </w:r>
      <w:r w:rsidR="000A4159" w:rsidRPr="00822CE9">
        <w:rPr>
          <w:rFonts w:hint="cs"/>
          <w:rtl/>
        </w:rPr>
        <w:t>زيد والتي تؤك</w:t>
      </w:r>
      <w:r>
        <w:rPr>
          <w:rFonts w:hint="cs"/>
          <w:rtl/>
        </w:rPr>
        <w:t>ّ</w:t>
      </w:r>
      <w:r w:rsidR="000A4159" w:rsidRPr="00822CE9">
        <w:rPr>
          <w:rFonts w:hint="cs"/>
          <w:rtl/>
        </w:rPr>
        <w:t>د أن</w:t>
      </w:r>
      <w:r>
        <w:rPr>
          <w:rFonts w:hint="cs"/>
          <w:rtl/>
        </w:rPr>
        <w:t>ّ</w:t>
      </w:r>
      <w:r w:rsidR="000A4159" w:rsidRPr="00822CE9">
        <w:rPr>
          <w:rFonts w:hint="cs"/>
          <w:rtl/>
        </w:rPr>
        <w:t>ه كان معتقداً بإمامة أهل البيت</w:t>
      </w:r>
      <w:r w:rsidR="000A4159" w:rsidRPr="000A4159">
        <w:rPr>
          <w:rFonts w:cs="Taher"/>
          <w:vertAlign w:val="superscript"/>
          <w:rtl/>
        </w:rPr>
        <w:t>(</w:t>
      </w:r>
      <w:r w:rsidR="000A4159" w:rsidRPr="000A4159">
        <w:rPr>
          <w:rStyle w:val="FootnoteReference"/>
          <w:rFonts w:cs="Taher"/>
          <w:rtl/>
        </w:rPr>
        <w:footnoteReference w:id="91"/>
      </w:r>
      <w:r w:rsidR="000A4159" w:rsidRPr="000A4159">
        <w:rPr>
          <w:rFonts w:cs="Taher"/>
          <w:vertAlign w:val="superscript"/>
          <w:rtl/>
        </w:rPr>
        <w:t>)</w:t>
      </w:r>
      <w:r>
        <w:rPr>
          <w:rFonts w:hint="cs"/>
          <w:rtl/>
        </w:rPr>
        <w:t>.</w:t>
      </w:r>
    </w:p>
    <w:p w14:paraId="156B9311" w14:textId="77777777" w:rsidR="000A4159" w:rsidRPr="0030554B" w:rsidRDefault="000A4159" w:rsidP="00A47C06">
      <w:pPr>
        <w:pStyle w:val="normal870"/>
        <w:rPr>
          <w:b/>
          <w:bCs/>
          <w:rtl/>
        </w:rPr>
      </w:pPr>
      <w:r w:rsidRPr="000A15E7">
        <w:rPr>
          <w:rFonts w:hint="cs"/>
          <w:b/>
          <w:bCs/>
          <w:rtl/>
        </w:rPr>
        <w:t xml:space="preserve">وهذا التفسير للرواية من السيد الخوئي يقوم </w:t>
      </w:r>
      <w:r w:rsidR="00A163EB">
        <w:rPr>
          <w:rFonts w:hint="cs"/>
          <w:b/>
          <w:bCs/>
          <w:rtl/>
        </w:rPr>
        <w:t xml:space="preserve">ـ إذا أردنا تحليله ـ </w:t>
      </w:r>
      <w:r w:rsidRPr="000A15E7">
        <w:rPr>
          <w:rFonts w:hint="cs"/>
          <w:b/>
          <w:bCs/>
          <w:rtl/>
        </w:rPr>
        <w:t>على شاهدين،</w:t>
      </w:r>
      <w:r w:rsidRPr="00822CE9">
        <w:rPr>
          <w:rFonts w:hint="cs"/>
          <w:rtl/>
        </w:rPr>
        <w:t xml:space="preserve"> وبدونه</w:t>
      </w:r>
      <w:r w:rsidR="000A15E7">
        <w:rPr>
          <w:rFonts w:hint="cs"/>
          <w:rtl/>
        </w:rPr>
        <w:t>م</w:t>
      </w:r>
      <w:r w:rsidRPr="00822CE9">
        <w:rPr>
          <w:rFonts w:hint="cs"/>
          <w:rtl/>
        </w:rPr>
        <w:t xml:space="preserve">ا فليس سوى </w:t>
      </w:r>
      <w:r w:rsidR="0030554B">
        <w:rPr>
          <w:rFonts w:hint="cs"/>
          <w:rtl/>
        </w:rPr>
        <w:t>ا</w:t>
      </w:r>
      <w:r w:rsidRPr="00822CE9">
        <w:rPr>
          <w:rFonts w:hint="cs"/>
          <w:rtl/>
        </w:rPr>
        <w:t>ف</w:t>
      </w:r>
      <w:r w:rsidR="0030554B">
        <w:rPr>
          <w:rFonts w:hint="cs"/>
          <w:rtl/>
        </w:rPr>
        <w:t>ت</w:t>
      </w:r>
      <w:r w:rsidRPr="00822CE9">
        <w:rPr>
          <w:rFonts w:hint="cs"/>
          <w:rtl/>
        </w:rPr>
        <w:t>ر</w:t>
      </w:r>
      <w:r w:rsidR="0030554B">
        <w:rPr>
          <w:rFonts w:hint="cs"/>
          <w:rtl/>
        </w:rPr>
        <w:t>ا</w:t>
      </w:r>
      <w:r w:rsidRPr="00822CE9">
        <w:rPr>
          <w:rFonts w:hint="cs"/>
          <w:rtl/>
        </w:rPr>
        <w:t>ض بعيد عن ظاهر الرواية جداً، إذ المدلول الأو</w:t>
      </w:r>
      <w:r w:rsidR="0030554B">
        <w:rPr>
          <w:rFonts w:hint="cs"/>
          <w:rtl/>
        </w:rPr>
        <w:t>ّ</w:t>
      </w:r>
      <w:r w:rsidRPr="00822CE9">
        <w:rPr>
          <w:rFonts w:hint="cs"/>
          <w:rtl/>
        </w:rPr>
        <w:t xml:space="preserve">لي البدوي </w:t>
      </w:r>
      <w:r w:rsidR="0030554B">
        <w:rPr>
          <w:rFonts w:hint="cs"/>
          <w:rtl/>
        </w:rPr>
        <w:t>من</w:t>
      </w:r>
      <w:r w:rsidRPr="00822CE9">
        <w:rPr>
          <w:rFonts w:hint="cs"/>
          <w:rtl/>
        </w:rPr>
        <w:t xml:space="preserve"> الرواية لا يكاد يسمح للإنسان بالشك</w:t>
      </w:r>
      <w:r w:rsidR="0030554B">
        <w:rPr>
          <w:rFonts w:hint="cs"/>
          <w:rtl/>
        </w:rPr>
        <w:t>ّ</w:t>
      </w:r>
      <w:r w:rsidRPr="00822CE9">
        <w:rPr>
          <w:rFonts w:hint="cs"/>
          <w:rtl/>
        </w:rPr>
        <w:t xml:space="preserve"> في أن</w:t>
      </w:r>
      <w:r w:rsidR="0030554B">
        <w:rPr>
          <w:rFonts w:hint="cs"/>
          <w:rtl/>
        </w:rPr>
        <w:t>ّ</w:t>
      </w:r>
      <w:r w:rsidRPr="00822CE9">
        <w:rPr>
          <w:rFonts w:hint="cs"/>
          <w:rtl/>
        </w:rPr>
        <w:t xml:space="preserve"> موقف الأحول والصادق كان مختلفاً عن موقف زيد، </w:t>
      </w:r>
      <w:r w:rsidRPr="0030554B">
        <w:rPr>
          <w:rFonts w:hint="cs"/>
          <w:b/>
          <w:bCs/>
          <w:rtl/>
        </w:rPr>
        <w:t>وهذان الشاهدان هما:</w:t>
      </w:r>
    </w:p>
    <w:p w14:paraId="5AF5B33D" w14:textId="77777777" w:rsidR="000A4159" w:rsidRPr="00822CE9" w:rsidRDefault="0030554B" w:rsidP="00A163EB">
      <w:pPr>
        <w:spacing w:line="214" w:lineRule="auto"/>
        <w:rPr>
          <w:rtl/>
        </w:rPr>
      </w:pPr>
      <w:r>
        <w:rPr>
          <w:rFonts w:hint="cs"/>
          <w:b/>
          <w:bCs/>
          <w:rtl/>
        </w:rPr>
        <w:lastRenderedPageBreak/>
        <w:t xml:space="preserve">أ ـ </w:t>
      </w:r>
      <w:r w:rsidR="00D75D4F">
        <w:rPr>
          <w:rFonts w:hint="cs"/>
          <w:b/>
          <w:bCs/>
          <w:rtl/>
        </w:rPr>
        <w:t xml:space="preserve">الشاهد الخارجي، </w:t>
      </w:r>
      <w:r w:rsidR="00D75D4F" w:rsidRPr="00D75D4F">
        <w:rPr>
          <w:rFonts w:hint="cs"/>
          <w:rtl/>
        </w:rPr>
        <w:t xml:space="preserve">وهو </w:t>
      </w:r>
      <w:r w:rsidR="000A4159" w:rsidRPr="00D75D4F">
        <w:rPr>
          <w:rFonts w:hint="cs"/>
          <w:rtl/>
        </w:rPr>
        <w:t>ال</w:t>
      </w:r>
      <w:r w:rsidR="000A4159" w:rsidRPr="00822CE9">
        <w:rPr>
          <w:rFonts w:hint="cs"/>
          <w:rtl/>
        </w:rPr>
        <w:t xml:space="preserve">نصوص الأخرى المادحة لزيد والدالّة على اعترافه بالإمامة والإذن له بالخروج، وقد تقدّم </w:t>
      </w:r>
      <w:r w:rsidR="00A163EB">
        <w:rPr>
          <w:rFonts w:hint="cs"/>
          <w:rtl/>
        </w:rPr>
        <w:t>ما يه</w:t>
      </w:r>
      <w:r w:rsidR="000A4159" w:rsidRPr="00822CE9">
        <w:rPr>
          <w:rFonts w:hint="cs"/>
          <w:rtl/>
        </w:rPr>
        <w:t>م</w:t>
      </w:r>
      <w:r w:rsidR="00A163EB">
        <w:rPr>
          <w:rFonts w:hint="cs"/>
          <w:rtl/>
        </w:rPr>
        <w:t>ّ</w:t>
      </w:r>
      <w:r w:rsidR="000A4159" w:rsidRPr="00822CE9">
        <w:rPr>
          <w:rFonts w:hint="cs"/>
          <w:rtl/>
        </w:rPr>
        <w:t>نا هنا منها.</w:t>
      </w:r>
    </w:p>
    <w:p w14:paraId="1EEA109E" w14:textId="77777777" w:rsidR="000A4159" w:rsidRPr="00822CE9" w:rsidRDefault="0030554B" w:rsidP="00200151">
      <w:pPr>
        <w:spacing w:line="214" w:lineRule="auto"/>
        <w:rPr>
          <w:rtl/>
        </w:rPr>
      </w:pPr>
      <w:r w:rsidRPr="0030554B">
        <w:rPr>
          <w:rFonts w:hint="cs"/>
          <w:b/>
          <w:bCs/>
          <w:rtl/>
        </w:rPr>
        <w:t xml:space="preserve">ب </w:t>
      </w:r>
      <w:r w:rsidRPr="00D75D4F">
        <w:rPr>
          <w:rFonts w:hint="cs"/>
          <w:b/>
          <w:bCs/>
          <w:rtl/>
        </w:rPr>
        <w:t xml:space="preserve">ـ </w:t>
      </w:r>
      <w:r w:rsidR="00D75D4F" w:rsidRPr="00D75D4F">
        <w:rPr>
          <w:rFonts w:hint="cs"/>
          <w:b/>
          <w:bCs/>
          <w:rtl/>
        </w:rPr>
        <w:t>الشاهد الداخلي،</w:t>
      </w:r>
      <w:r w:rsidR="00D75D4F">
        <w:rPr>
          <w:rFonts w:hint="cs"/>
          <w:rtl/>
        </w:rPr>
        <w:t xml:space="preserve"> وهو </w:t>
      </w:r>
      <w:r w:rsidR="000A4159" w:rsidRPr="00822CE9">
        <w:rPr>
          <w:rFonts w:hint="cs"/>
          <w:rtl/>
        </w:rPr>
        <w:t>ذيل الرواية</w:t>
      </w:r>
      <w:r>
        <w:rPr>
          <w:rFonts w:hint="cs"/>
          <w:rtl/>
        </w:rPr>
        <w:t>،</w:t>
      </w:r>
      <w:r w:rsidR="000A4159" w:rsidRPr="00822CE9">
        <w:rPr>
          <w:rFonts w:hint="cs"/>
          <w:rtl/>
        </w:rPr>
        <w:t xml:space="preserve"> حيث نقل زيد للأحول أن</w:t>
      </w:r>
      <w:r>
        <w:rPr>
          <w:rFonts w:hint="cs"/>
          <w:rtl/>
        </w:rPr>
        <w:t>ّ</w:t>
      </w:r>
      <w:r w:rsidR="000A4159" w:rsidRPr="00822CE9">
        <w:rPr>
          <w:rFonts w:hint="cs"/>
          <w:rtl/>
        </w:rPr>
        <w:t xml:space="preserve"> الصادق أخبره بصلبه بالكناسة، فما معنى هذا القول من زيد</w:t>
      </w:r>
      <w:r w:rsidR="00200151">
        <w:rPr>
          <w:rFonts w:hint="cs"/>
          <w:rtl/>
        </w:rPr>
        <w:t>؟!</w:t>
      </w:r>
    </w:p>
    <w:p w14:paraId="148C2EA1" w14:textId="77777777" w:rsidR="000A4159" w:rsidRPr="00822CE9" w:rsidRDefault="000A4159" w:rsidP="0030554B">
      <w:pPr>
        <w:spacing w:line="214" w:lineRule="auto"/>
        <w:rPr>
          <w:rtl/>
        </w:rPr>
      </w:pPr>
      <w:r w:rsidRPr="0030554B">
        <w:rPr>
          <w:rFonts w:hint="cs"/>
          <w:b/>
          <w:bCs/>
          <w:rtl/>
        </w:rPr>
        <w:t>أم</w:t>
      </w:r>
      <w:r w:rsidR="0030554B" w:rsidRPr="0030554B">
        <w:rPr>
          <w:rFonts w:hint="cs"/>
          <w:b/>
          <w:bCs/>
          <w:rtl/>
        </w:rPr>
        <w:t>ّ</w:t>
      </w:r>
      <w:r w:rsidRPr="0030554B">
        <w:rPr>
          <w:rFonts w:hint="cs"/>
          <w:b/>
          <w:bCs/>
          <w:rtl/>
        </w:rPr>
        <w:t>ا الشاهد الأو</w:t>
      </w:r>
      <w:r w:rsidR="0030554B">
        <w:rPr>
          <w:rFonts w:hint="cs"/>
          <w:b/>
          <w:bCs/>
          <w:rtl/>
        </w:rPr>
        <w:t>ّ</w:t>
      </w:r>
      <w:r w:rsidRPr="0030554B">
        <w:rPr>
          <w:rFonts w:hint="cs"/>
          <w:b/>
          <w:bCs/>
          <w:rtl/>
        </w:rPr>
        <w:t>ل</w:t>
      </w:r>
      <w:r w:rsidR="0030554B">
        <w:rPr>
          <w:rFonts w:hint="cs"/>
          <w:b/>
          <w:bCs/>
          <w:rtl/>
        </w:rPr>
        <w:t>،</w:t>
      </w:r>
      <w:r w:rsidRPr="00822CE9">
        <w:rPr>
          <w:rFonts w:hint="cs"/>
          <w:rtl/>
        </w:rPr>
        <w:t xml:space="preserve"> فهو جي</w:t>
      </w:r>
      <w:r w:rsidR="0030554B">
        <w:rPr>
          <w:rFonts w:hint="cs"/>
          <w:rtl/>
        </w:rPr>
        <w:t>ّ</w:t>
      </w:r>
      <w:r w:rsidRPr="00822CE9">
        <w:rPr>
          <w:rFonts w:hint="cs"/>
          <w:rtl/>
        </w:rPr>
        <w:t>د لو كان يمكنه تشكيل قرينة عرفي</w:t>
      </w:r>
      <w:r w:rsidR="0030554B">
        <w:rPr>
          <w:rFonts w:hint="cs"/>
          <w:rtl/>
        </w:rPr>
        <w:t>ّ</w:t>
      </w:r>
      <w:r w:rsidRPr="00822CE9">
        <w:rPr>
          <w:rFonts w:hint="cs"/>
          <w:rtl/>
        </w:rPr>
        <w:t xml:space="preserve">ة على تفسير هذه الرواية، فقد ذكرنا سابقاً أنّ الجمع بين الروايات عرفاً مشروط بقدرة طرفي المعارضة على تحمّله، وهنا في هذه الرواية تحميل الحديث </w:t>
      </w:r>
      <w:r w:rsidR="0030554B">
        <w:rPr>
          <w:rFonts w:hint="cs"/>
          <w:rtl/>
        </w:rPr>
        <w:t xml:space="preserve">فرضيّة </w:t>
      </w:r>
      <w:r w:rsidRPr="00822CE9">
        <w:rPr>
          <w:rFonts w:hint="cs"/>
          <w:rtl/>
        </w:rPr>
        <w:t>أن</w:t>
      </w:r>
      <w:r w:rsidR="0030554B">
        <w:rPr>
          <w:rFonts w:hint="cs"/>
          <w:rtl/>
        </w:rPr>
        <w:t>ّ</w:t>
      </w:r>
      <w:r w:rsidRPr="00822CE9">
        <w:rPr>
          <w:rFonts w:hint="cs"/>
          <w:rtl/>
        </w:rPr>
        <w:t xml:space="preserve"> الخروج كان من الأسرار</w:t>
      </w:r>
      <w:r w:rsidR="0030554B">
        <w:rPr>
          <w:rFonts w:hint="cs"/>
          <w:rtl/>
        </w:rPr>
        <w:t>،</w:t>
      </w:r>
      <w:r w:rsidRPr="00822CE9">
        <w:rPr>
          <w:rFonts w:hint="cs"/>
          <w:rtl/>
        </w:rPr>
        <w:t xml:space="preserve"> ولهذا لم يقل زيد لمؤمن الطاق بأن</w:t>
      </w:r>
      <w:r w:rsidR="0030554B">
        <w:rPr>
          <w:rFonts w:hint="cs"/>
          <w:rtl/>
        </w:rPr>
        <w:t>ّ</w:t>
      </w:r>
      <w:r w:rsidRPr="00822CE9">
        <w:rPr>
          <w:rFonts w:hint="cs"/>
          <w:rtl/>
        </w:rPr>
        <w:t>ه مأذون</w:t>
      </w:r>
      <w:r w:rsidR="0030554B">
        <w:rPr>
          <w:rFonts w:hint="cs"/>
          <w:rtl/>
        </w:rPr>
        <w:t>،</w:t>
      </w:r>
      <w:r w:rsidRPr="00822CE9">
        <w:rPr>
          <w:rFonts w:hint="cs"/>
          <w:rtl/>
        </w:rPr>
        <w:t xml:space="preserve"> وكذلك الإمام الصادق </w:t>
      </w:r>
      <w:r w:rsidR="0030554B">
        <w:rPr>
          <w:rFonts w:hint="cs"/>
          <w:rtl/>
        </w:rPr>
        <w:t>أغفل مؤمنَ الطاق أ</w:t>
      </w:r>
      <w:r w:rsidRPr="00822CE9">
        <w:rPr>
          <w:rFonts w:hint="cs"/>
          <w:rtl/>
        </w:rPr>
        <w:t>يضاً وأوهمه صواب موقفه من زيد وأي</w:t>
      </w:r>
      <w:r w:rsidR="0030554B">
        <w:rPr>
          <w:rFonts w:hint="cs"/>
          <w:rtl/>
        </w:rPr>
        <w:t>ّد</w:t>
      </w:r>
      <w:r w:rsidRPr="00822CE9">
        <w:rPr>
          <w:rFonts w:hint="cs"/>
          <w:rtl/>
        </w:rPr>
        <w:t xml:space="preserve"> قوله معه.. ذلك كلّه سلسلة من التأويلات التي لا تتحمّلها الرواية لمن قرأها بروح عرفي</w:t>
      </w:r>
      <w:r w:rsidR="0030554B">
        <w:rPr>
          <w:rFonts w:hint="cs"/>
          <w:rtl/>
        </w:rPr>
        <w:t>ّ</w:t>
      </w:r>
      <w:r w:rsidRPr="00822CE9">
        <w:rPr>
          <w:rFonts w:hint="cs"/>
          <w:rtl/>
        </w:rPr>
        <w:t>ة غير قاصدة للتأويل، وأعني بذلك أن</w:t>
      </w:r>
      <w:r w:rsidR="0030554B">
        <w:rPr>
          <w:rFonts w:hint="cs"/>
          <w:rtl/>
        </w:rPr>
        <w:t>ّ</w:t>
      </w:r>
      <w:r w:rsidRPr="00822CE9">
        <w:rPr>
          <w:rFonts w:hint="cs"/>
          <w:rtl/>
        </w:rPr>
        <w:t xml:space="preserve"> السيد الخوئي أسقط على الرواية سلسلة معطيات وتصوّرات حتى أن</w:t>
      </w:r>
      <w:r w:rsidR="0030554B">
        <w:rPr>
          <w:rFonts w:hint="cs"/>
          <w:rtl/>
        </w:rPr>
        <w:t>ّ</w:t>
      </w:r>
      <w:r w:rsidRPr="00822CE9">
        <w:rPr>
          <w:rFonts w:hint="cs"/>
          <w:rtl/>
        </w:rPr>
        <w:t>نا لو بقينا مع الرواية بعد ذكره لهذه التصوّرات سنجدها تحميلي</w:t>
      </w:r>
      <w:r w:rsidR="0030554B">
        <w:rPr>
          <w:rFonts w:hint="cs"/>
          <w:rtl/>
        </w:rPr>
        <w:t>ّ</w:t>
      </w:r>
      <w:r w:rsidRPr="00822CE9">
        <w:rPr>
          <w:rFonts w:hint="cs"/>
          <w:rtl/>
        </w:rPr>
        <w:t>ة تطويعي</w:t>
      </w:r>
      <w:r w:rsidR="0030554B">
        <w:rPr>
          <w:rFonts w:hint="cs"/>
          <w:rtl/>
        </w:rPr>
        <w:t>ّ</w:t>
      </w:r>
      <w:r w:rsidRPr="00822CE9">
        <w:rPr>
          <w:rFonts w:hint="cs"/>
          <w:rtl/>
        </w:rPr>
        <w:t>ة، فلا يصحّ هذا الجمع بهذه الطريقة، فهذا الشاهد يصلح لطرح الرواية مثلاً لا لتأويلها، وسوف يأتي حديث</w:t>
      </w:r>
      <w:r w:rsidR="0030554B">
        <w:rPr>
          <w:rFonts w:hint="cs"/>
          <w:rtl/>
        </w:rPr>
        <w:t>ٌ</w:t>
      </w:r>
      <w:r w:rsidRPr="00822CE9">
        <w:rPr>
          <w:rFonts w:hint="cs"/>
          <w:rtl/>
        </w:rPr>
        <w:t xml:space="preserve"> عن التوفيق بين النصوص.</w:t>
      </w:r>
    </w:p>
    <w:p w14:paraId="60E596ED" w14:textId="77777777" w:rsidR="000A4159" w:rsidRPr="00822CE9" w:rsidRDefault="000A4159" w:rsidP="00A47C06">
      <w:pPr>
        <w:pStyle w:val="normal84"/>
        <w:rPr>
          <w:rtl/>
        </w:rPr>
      </w:pPr>
      <w:r w:rsidRPr="0030554B">
        <w:rPr>
          <w:rFonts w:hint="cs"/>
          <w:b/>
          <w:bCs/>
          <w:rtl/>
        </w:rPr>
        <w:t>وأما الشاهد الثاني</w:t>
      </w:r>
      <w:r w:rsidR="0030554B">
        <w:rPr>
          <w:rFonts w:hint="cs"/>
          <w:rtl/>
        </w:rPr>
        <w:t>،</w:t>
      </w:r>
      <w:r w:rsidRPr="00822CE9">
        <w:rPr>
          <w:rFonts w:hint="cs"/>
          <w:rtl/>
        </w:rPr>
        <w:t xml:space="preserve"> فهو أفضل من الأو</w:t>
      </w:r>
      <w:r w:rsidR="0030554B">
        <w:rPr>
          <w:rFonts w:hint="cs"/>
          <w:rtl/>
        </w:rPr>
        <w:t>ّ</w:t>
      </w:r>
      <w:r w:rsidRPr="00822CE9">
        <w:rPr>
          <w:rFonts w:hint="cs"/>
          <w:rtl/>
        </w:rPr>
        <w:t>ل</w:t>
      </w:r>
      <w:r w:rsidR="0030554B">
        <w:rPr>
          <w:rFonts w:hint="cs"/>
          <w:rtl/>
        </w:rPr>
        <w:t>،</w:t>
      </w:r>
      <w:r w:rsidRPr="00822CE9">
        <w:rPr>
          <w:rFonts w:hint="cs"/>
          <w:rtl/>
        </w:rPr>
        <w:t xml:space="preserve"> لكن</w:t>
      </w:r>
      <w:r w:rsidR="0030554B">
        <w:rPr>
          <w:rFonts w:hint="cs"/>
          <w:rtl/>
        </w:rPr>
        <w:t>ّ</w:t>
      </w:r>
      <w:r w:rsidRPr="00822CE9">
        <w:rPr>
          <w:rFonts w:hint="cs"/>
          <w:rtl/>
        </w:rPr>
        <w:t xml:space="preserve"> الذي ي</w:t>
      </w:r>
      <w:r w:rsidR="0030554B">
        <w:rPr>
          <w:rFonts w:hint="cs"/>
          <w:rtl/>
        </w:rPr>
        <w:t>ُ</w:t>
      </w:r>
      <w:r w:rsidRPr="00822CE9">
        <w:rPr>
          <w:rFonts w:hint="cs"/>
          <w:rtl/>
        </w:rPr>
        <w:t>حتمل أيضاً في تبرير حديث زيد عن موضوع صلبه بالكناسة ليس فقط الإشارة إلى المأذونين من جانب الإمام الحقّ، بل لفت نظر مؤمن الطاق إلى أنّ الصادق عنده خبر قتل زيد</w:t>
      </w:r>
      <w:r w:rsidR="0030554B">
        <w:rPr>
          <w:rFonts w:hint="cs"/>
          <w:rtl/>
        </w:rPr>
        <w:t>،</w:t>
      </w:r>
      <w:r w:rsidRPr="00822CE9">
        <w:rPr>
          <w:rFonts w:hint="cs"/>
          <w:rtl/>
        </w:rPr>
        <w:t xml:space="preserve"> ومن الطبيعي أن</w:t>
      </w:r>
      <w:r w:rsidR="0030554B">
        <w:rPr>
          <w:rFonts w:hint="cs"/>
          <w:rtl/>
        </w:rPr>
        <w:t>ّ</w:t>
      </w:r>
      <w:r w:rsidRPr="00822CE9">
        <w:rPr>
          <w:rFonts w:hint="cs"/>
          <w:rtl/>
        </w:rPr>
        <w:t xml:space="preserve"> معنى الصحيفة أن</w:t>
      </w:r>
      <w:r w:rsidR="0030554B">
        <w:rPr>
          <w:rFonts w:hint="cs"/>
          <w:rtl/>
        </w:rPr>
        <w:t>ّ</w:t>
      </w:r>
      <w:r w:rsidRPr="00822CE9">
        <w:rPr>
          <w:rFonts w:hint="cs"/>
          <w:rtl/>
        </w:rPr>
        <w:t>ها موروثة عن والده عن آبائه، وعلى هذا سيكون الباقر وزين العابدين على علم</w:t>
      </w:r>
      <w:r w:rsidR="0030554B">
        <w:rPr>
          <w:rFonts w:hint="cs"/>
          <w:rtl/>
        </w:rPr>
        <w:t>ٍ</w:t>
      </w:r>
      <w:r w:rsidRPr="00822CE9">
        <w:rPr>
          <w:rFonts w:hint="cs"/>
          <w:rtl/>
        </w:rPr>
        <w:t xml:space="preserve"> بمقتلي وصلبي، فهل من الخوف عليّ أن </w:t>
      </w:r>
      <w:r w:rsidR="0030554B">
        <w:rPr>
          <w:rFonts w:hint="cs"/>
          <w:rtl/>
        </w:rPr>
        <w:t>يتركوني هكذا ولا يخبروني بصحّة أ</w:t>
      </w:r>
      <w:r w:rsidRPr="00822CE9">
        <w:rPr>
          <w:rFonts w:hint="cs"/>
          <w:rtl/>
        </w:rPr>
        <w:t>و عدم صحّة خروجي وتصرّفاتي؟</w:t>
      </w:r>
    </w:p>
    <w:p w14:paraId="62DBE407" w14:textId="77777777" w:rsidR="000A4159" w:rsidRPr="00822CE9" w:rsidRDefault="000A4159" w:rsidP="00A47C06">
      <w:pPr>
        <w:pStyle w:val="normal870"/>
        <w:rPr>
          <w:rtl/>
        </w:rPr>
      </w:pPr>
      <w:r w:rsidRPr="00822CE9">
        <w:rPr>
          <w:rFonts w:hint="cs"/>
          <w:rtl/>
        </w:rPr>
        <w:t>وحتى لو تجاهلنا تساوي هذين الاحتمالين: ما طرحناه وما طرحه السيد الخوئي، ف</w:t>
      </w:r>
      <w:r w:rsidR="0030554B">
        <w:rPr>
          <w:rFonts w:hint="cs"/>
          <w:rtl/>
        </w:rPr>
        <w:t>هذا الكلام من</w:t>
      </w:r>
      <w:r w:rsidRPr="00822CE9">
        <w:rPr>
          <w:rFonts w:hint="cs"/>
          <w:rtl/>
        </w:rPr>
        <w:t xml:space="preserve"> الخوئي لا شاهد له، فهذا الذيل يصحّ تفسيره وفق كلام السيد الخوئي</w:t>
      </w:r>
      <w:r w:rsidR="0030554B">
        <w:rPr>
          <w:rFonts w:hint="cs"/>
          <w:rtl/>
        </w:rPr>
        <w:t>،</w:t>
      </w:r>
      <w:r w:rsidRPr="00822CE9">
        <w:rPr>
          <w:rFonts w:hint="cs"/>
          <w:rtl/>
        </w:rPr>
        <w:t xml:space="preserve"> لكن</w:t>
      </w:r>
      <w:r w:rsidR="0030554B">
        <w:rPr>
          <w:rFonts w:hint="cs"/>
          <w:rtl/>
        </w:rPr>
        <w:t>ّ</w:t>
      </w:r>
      <w:r w:rsidRPr="00822CE9">
        <w:rPr>
          <w:rFonts w:hint="cs"/>
          <w:rtl/>
        </w:rPr>
        <w:t>ه ليس شاهداً على صحّة كلامه، وهناك فرق بين الأمرين، أي بين أن</w:t>
      </w:r>
      <w:r w:rsidR="0030554B">
        <w:rPr>
          <w:rFonts w:hint="cs"/>
          <w:rtl/>
        </w:rPr>
        <w:t xml:space="preserve"> نقول: هذا الكلام غير مفهوم إلا</w:t>
      </w:r>
      <w:r w:rsidRPr="00822CE9">
        <w:rPr>
          <w:rFonts w:hint="cs"/>
          <w:rtl/>
        </w:rPr>
        <w:t xml:space="preserve"> على التفسير الفلاني للرواية، وبين أن نقول: إن</w:t>
      </w:r>
      <w:r w:rsidR="0030554B">
        <w:rPr>
          <w:rFonts w:hint="cs"/>
          <w:rtl/>
        </w:rPr>
        <w:t>ّ</w:t>
      </w:r>
      <w:r w:rsidRPr="00822CE9">
        <w:rPr>
          <w:rFonts w:hint="cs"/>
          <w:rtl/>
        </w:rPr>
        <w:t xml:space="preserve"> هذا الكلام يمثل شاهداً على صحّة هذا التفسير ودليلاً على استظهاره من سائ</w:t>
      </w:r>
      <w:r w:rsidR="0030554B">
        <w:rPr>
          <w:rFonts w:hint="cs"/>
          <w:rtl/>
        </w:rPr>
        <w:t>ر</w:t>
      </w:r>
      <w:r w:rsidRPr="00822CE9">
        <w:rPr>
          <w:rFonts w:hint="cs"/>
          <w:rtl/>
        </w:rPr>
        <w:t xml:space="preserve"> مقاطع الرواية، وما فعله الخوئي كان الأو</w:t>
      </w:r>
      <w:r w:rsidR="0030554B">
        <w:rPr>
          <w:rFonts w:hint="cs"/>
          <w:rtl/>
        </w:rPr>
        <w:t>ّ</w:t>
      </w:r>
      <w:r w:rsidRPr="00822CE9">
        <w:rPr>
          <w:rFonts w:hint="cs"/>
          <w:rtl/>
        </w:rPr>
        <w:t>ل، وما نريده، كي نكتشف ظهور الرواية، هو الثاني.</w:t>
      </w:r>
    </w:p>
    <w:p w14:paraId="28C7C9E5" w14:textId="77777777" w:rsidR="000A4159" w:rsidRPr="00822CE9" w:rsidRDefault="000A4159" w:rsidP="00A47C06">
      <w:pPr>
        <w:pStyle w:val="normal870"/>
        <w:rPr>
          <w:rtl/>
        </w:rPr>
      </w:pPr>
      <w:r w:rsidRPr="0030554B">
        <w:rPr>
          <w:rFonts w:hint="cs"/>
          <w:b/>
          <w:bCs/>
          <w:rtl/>
        </w:rPr>
        <w:lastRenderedPageBreak/>
        <w:t>ثانياً:</w:t>
      </w:r>
      <w:r w:rsidRPr="00822CE9">
        <w:rPr>
          <w:rFonts w:hint="cs"/>
          <w:rtl/>
        </w:rPr>
        <w:t xml:space="preserve"> ما ذكره السيد الحائري</w:t>
      </w:r>
      <w:r w:rsidR="0030554B">
        <w:rPr>
          <w:rFonts w:hint="cs"/>
          <w:rtl/>
        </w:rPr>
        <w:t>،</w:t>
      </w:r>
      <w:r w:rsidRPr="00822CE9">
        <w:rPr>
          <w:rFonts w:hint="cs"/>
          <w:rtl/>
        </w:rPr>
        <w:t xml:space="preserve"> من أن</w:t>
      </w:r>
      <w:r w:rsidR="0030554B">
        <w:rPr>
          <w:rFonts w:hint="cs"/>
          <w:rtl/>
        </w:rPr>
        <w:t>ّ</w:t>
      </w:r>
      <w:r w:rsidRPr="00822CE9">
        <w:rPr>
          <w:rFonts w:hint="cs"/>
          <w:rtl/>
        </w:rPr>
        <w:t xml:space="preserve"> هذه الرواية ليست صريحة في أن</w:t>
      </w:r>
      <w:r w:rsidR="0030554B">
        <w:rPr>
          <w:rFonts w:hint="cs"/>
          <w:rtl/>
        </w:rPr>
        <w:t>ّ</w:t>
      </w:r>
      <w:r w:rsidRPr="00822CE9">
        <w:rPr>
          <w:rFonts w:hint="cs"/>
          <w:rtl/>
        </w:rPr>
        <w:t xml:space="preserve"> زيد</w:t>
      </w:r>
      <w:r w:rsidR="0030554B">
        <w:rPr>
          <w:rFonts w:hint="cs"/>
          <w:rtl/>
        </w:rPr>
        <w:t>اً</w:t>
      </w:r>
      <w:r w:rsidRPr="00822CE9">
        <w:rPr>
          <w:rFonts w:hint="cs"/>
          <w:rtl/>
        </w:rPr>
        <w:t xml:space="preserve"> كان يدعو إلى نفسه، بل إلى الرضا من آل محم</w:t>
      </w:r>
      <w:r w:rsidR="0030554B">
        <w:rPr>
          <w:rFonts w:hint="cs"/>
          <w:rtl/>
        </w:rPr>
        <w:t>ّ</w:t>
      </w:r>
      <w:r w:rsidRPr="00822CE9">
        <w:rPr>
          <w:rFonts w:hint="cs"/>
          <w:rtl/>
        </w:rPr>
        <w:t>د، ولعلّه إلى ذلك الوقت لم يكن يعرف الإمام الحق، ولعلّه كان يريد أن يجاهد ثم</w:t>
      </w:r>
      <w:r w:rsidR="0030554B">
        <w:rPr>
          <w:rFonts w:hint="cs"/>
          <w:rtl/>
        </w:rPr>
        <w:t>ّ</w:t>
      </w:r>
      <w:r w:rsidRPr="00822CE9">
        <w:rPr>
          <w:rFonts w:hint="cs"/>
          <w:rtl/>
        </w:rPr>
        <w:t xml:space="preserve"> بعد ذلك يسلّم الأمر إلى من يراه مستحق</w:t>
      </w:r>
      <w:r w:rsidR="0030554B">
        <w:rPr>
          <w:rFonts w:hint="cs"/>
          <w:rtl/>
        </w:rPr>
        <w:t>ّ</w:t>
      </w:r>
      <w:r w:rsidRPr="00822CE9">
        <w:rPr>
          <w:rFonts w:hint="cs"/>
          <w:rtl/>
        </w:rPr>
        <w:t>اً للإمامة</w:t>
      </w:r>
      <w:r w:rsidRPr="000A4159">
        <w:rPr>
          <w:rFonts w:cs="Taher"/>
          <w:vertAlign w:val="superscript"/>
          <w:rtl/>
        </w:rPr>
        <w:t>(</w:t>
      </w:r>
      <w:r w:rsidRPr="000A4159">
        <w:rPr>
          <w:rStyle w:val="FootnoteReference"/>
          <w:rFonts w:cs="Taher"/>
          <w:rtl/>
        </w:rPr>
        <w:footnoteReference w:id="92"/>
      </w:r>
      <w:r w:rsidRPr="000A4159">
        <w:rPr>
          <w:rFonts w:cs="Taher"/>
          <w:vertAlign w:val="superscript"/>
          <w:rtl/>
        </w:rPr>
        <w:t>)</w:t>
      </w:r>
      <w:r w:rsidRPr="00822CE9">
        <w:rPr>
          <w:rtl/>
        </w:rPr>
        <w:t>.</w:t>
      </w:r>
    </w:p>
    <w:p w14:paraId="13991882" w14:textId="77777777" w:rsidR="000A4159" w:rsidRPr="00822CE9" w:rsidRDefault="000A4159" w:rsidP="00A47C06">
      <w:pPr>
        <w:pStyle w:val="normal84"/>
        <w:rPr>
          <w:rtl/>
        </w:rPr>
      </w:pPr>
      <w:r w:rsidRPr="00822CE9">
        <w:rPr>
          <w:rFonts w:hint="cs"/>
          <w:rtl/>
        </w:rPr>
        <w:t>وهذا الافتراض لا يهمّنا هنا؛ لأن</w:t>
      </w:r>
      <w:r w:rsidR="0030554B">
        <w:rPr>
          <w:rFonts w:hint="cs"/>
          <w:rtl/>
        </w:rPr>
        <w:t>ّ</w:t>
      </w:r>
      <w:r w:rsidRPr="00822CE9">
        <w:rPr>
          <w:rFonts w:hint="cs"/>
          <w:rtl/>
        </w:rPr>
        <w:t>نا هنا نريد أن نعرف رضا أو عدم رضا الإمام عن ثورة زيد حتى لو كان زيد معتقداً بالإمامة وسيسلّم الأمر لأهله، والرواية ناطقة من أو</w:t>
      </w:r>
      <w:r w:rsidR="0030554B">
        <w:rPr>
          <w:rFonts w:hint="cs"/>
          <w:rtl/>
        </w:rPr>
        <w:t>ّ</w:t>
      </w:r>
      <w:r w:rsidRPr="00822CE9">
        <w:rPr>
          <w:rFonts w:hint="cs"/>
          <w:rtl/>
        </w:rPr>
        <w:t>لها إلى آخرها بعدم موافقة زيد في الخروج</w:t>
      </w:r>
      <w:r w:rsidR="0030554B">
        <w:rPr>
          <w:rFonts w:hint="cs"/>
          <w:rtl/>
        </w:rPr>
        <w:t>،</w:t>
      </w:r>
      <w:r w:rsidRPr="00822CE9">
        <w:rPr>
          <w:rFonts w:hint="cs"/>
          <w:rtl/>
        </w:rPr>
        <w:t xml:space="preserve"> وأن</w:t>
      </w:r>
      <w:r w:rsidR="0030554B">
        <w:rPr>
          <w:rFonts w:hint="cs"/>
          <w:rtl/>
        </w:rPr>
        <w:t>ّ</w:t>
      </w:r>
      <w:r w:rsidRPr="00822CE9">
        <w:rPr>
          <w:rFonts w:hint="cs"/>
          <w:rtl/>
        </w:rPr>
        <w:t xml:space="preserve">ه لم يكن مصيباً </w:t>
      </w:r>
      <w:r w:rsidR="0030554B">
        <w:rPr>
          <w:rFonts w:hint="cs"/>
          <w:rtl/>
        </w:rPr>
        <w:t>في تفسيراته وفهمه للأمور، وإلا أ</w:t>
      </w:r>
      <w:r w:rsidRPr="00822CE9">
        <w:rPr>
          <w:rFonts w:hint="cs"/>
          <w:rtl/>
        </w:rPr>
        <w:t>فهل يشك</w:t>
      </w:r>
      <w:r w:rsidR="0030554B">
        <w:rPr>
          <w:rFonts w:hint="cs"/>
          <w:rtl/>
        </w:rPr>
        <w:t>ّ</w:t>
      </w:r>
      <w:r w:rsidRPr="00822CE9">
        <w:rPr>
          <w:rFonts w:hint="cs"/>
          <w:rtl/>
        </w:rPr>
        <w:t xml:space="preserve"> قارئ للرواية في أن</w:t>
      </w:r>
      <w:r w:rsidR="0030554B">
        <w:rPr>
          <w:rFonts w:hint="cs"/>
          <w:rtl/>
        </w:rPr>
        <w:t>ّ</w:t>
      </w:r>
      <w:r w:rsidRPr="00822CE9">
        <w:rPr>
          <w:rFonts w:hint="cs"/>
          <w:rtl/>
        </w:rPr>
        <w:t>ه قد صادق الصادق</w:t>
      </w:r>
      <w:r w:rsidR="009A1626" w:rsidRPr="00822CE9">
        <w:rPr>
          <w:rFonts w:hint="cs"/>
          <w:rtl/>
        </w:rPr>
        <w:t>×</w:t>
      </w:r>
      <w:r w:rsidRPr="00822CE9">
        <w:rPr>
          <w:rFonts w:hint="cs"/>
          <w:rtl/>
        </w:rPr>
        <w:t xml:space="preserve"> على محاججة مؤمن الطاق ورفضه الخروج مع زيد</w:t>
      </w:r>
      <w:r w:rsidR="0030554B">
        <w:rPr>
          <w:rFonts w:hint="cs"/>
          <w:rtl/>
        </w:rPr>
        <w:t>؛</w:t>
      </w:r>
      <w:r w:rsidRPr="00822CE9">
        <w:rPr>
          <w:rFonts w:hint="cs"/>
          <w:rtl/>
        </w:rPr>
        <w:t xml:space="preserve"> لأنه ليس الإمام المفترض الطاعة وأن</w:t>
      </w:r>
      <w:r w:rsidR="0030554B">
        <w:rPr>
          <w:rFonts w:hint="cs"/>
          <w:rtl/>
        </w:rPr>
        <w:t>ّ</w:t>
      </w:r>
      <w:r w:rsidRPr="00822CE9">
        <w:rPr>
          <w:rFonts w:hint="cs"/>
          <w:rtl/>
        </w:rPr>
        <w:t xml:space="preserve"> الخارج معه هالك</w:t>
      </w:r>
      <w:r w:rsidR="0030554B">
        <w:rPr>
          <w:rFonts w:hint="cs"/>
          <w:rtl/>
        </w:rPr>
        <w:t>؟!</w:t>
      </w:r>
    </w:p>
    <w:p w14:paraId="734DDD2F" w14:textId="77777777" w:rsidR="000A4159" w:rsidRPr="00822CE9" w:rsidRDefault="000A4159" w:rsidP="00A47C06">
      <w:pPr>
        <w:pStyle w:val="normal870"/>
        <w:rPr>
          <w:rtl/>
        </w:rPr>
      </w:pPr>
      <w:r w:rsidRPr="0030554B">
        <w:rPr>
          <w:rFonts w:hint="cs"/>
          <w:b/>
          <w:bCs/>
          <w:rtl/>
        </w:rPr>
        <w:t xml:space="preserve">ثالثاً: </w:t>
      </w:r>
      <w:r w:rsidRPr="00822CE9">
        <w:rPr>
          <w:rFonts w:hint="cs"/>
          <w:rtl/>
        </w:rPr>
        <w:t>هذه الرواية غير واضحة في مقاطعها على مستوى الصح</w:t>
      </w:r>
      <w:r w:rsidR="0030554B">
        <w:rPr>
          <w:rFonts w:hint="cs"/>
          <w:rtl/>
        </w:rPr>
        <w:t>ّ</w:t>
      </w:r>
      <w:r w:rsidRPr="00822CE9">
        <w:rPr>
          <w:rFonts w:hint="cs"/>
          <w:rtl/>
        </w:rPr>
        <w:t>ة والصواب، فالظاهر من الصادق في ذيل الرواية أن</w:t>
      </w:r>
      <w:r w:rsidR="0030554B">
        <w:rPr>
          <w:rFonts w:hint="cs"/>
          <w:rtl/>
        </w:rPr>
        <w:t>ّ</w:t>
      </w:r>
      <w:r w:rsidRPr="00822CE9">
        <w:rPr>
          <w:rFonts w:hint="cs"/>
          <w:rtl/>
        </w:rPr>
        <w:t>ه وافق مؤمن الطاق على محاجج</w:t>
      </w:r>
      <w:r w:rsidR="0030554B">
        <w:rPr>
          <w:rFonts w:hint="cs"/>
          <w:rtl/>
        </w:rPr>
        <w:t>ته،</w:t>
      </w:r>
      <w:r w:rsidRPr="00822CE9">
        <w:rPr>
          <w:rFonts w:hint="cs"/>
          <w:rtl/>
        </w:rPr>
        <w:t xml:space="preserve"> ومعنى ذلك تأييده للحوار الذي </w:t>
      </w:r>
      <w:r w:rsidR="0030554B">
        <w:rPr>
          <w:rFonts w:hint="cs"/>
          <w:rtl/>
        </w:rPr>
        <w:t>جرى، لا</w:t>
      </w:r>
      <w:r w:rsidR="00F34D82">
        <w:rPr>
          <w:rFonts w:hint="cs"/>
          <w:rtl/>
        </w:rPr>
        <w:t xml:space="preserve"> </w:t>
      </w:r>
      <w:r w:rsidR="0030554B">
        <w:rPr>
          <w:rFonts w:hint="cs"/>
          <w:rtl/>
        </w:rPr>
        <w:t>أ</w:t>
      </w:r>
      <w:r w:rsidRPr="00822CE9">
        <w:rPr>
          <w:rFonts w:hint="cs"/>
          <w:rtl/>
        </w:rPr>
        <w:t>قلّ في مقاطعة الحقيقي</w:t>
      </w:r>
      <w:r w:rsidR="0030554B">
        <w:rPr>
          <w:rFonts w:hint="cs"/>
          <w:rtl/>
        </w:rPr>
        <w:t>ّ</w:t>
      </w:r>
      <w:r w:rsidRPr="00822CE9">
        <w:rPr>
          <w:rFonts w:hint="cs"/>
          <w:rtl/>
        </w:rPr>
        <w:t>ة الأساسي</w:t>
      </w:r>
      <w:r w:rsidR="0030554B">
        <w:rPr>
          <w:rFonts w:hint="cs"/>
          <w:rtl/>
        </w:rPr>
        <w:t>ّ</w:t>
      </w:r>
      <w:r w:rsidRPr="00822CE9">
        <w:rPr>
          <w:rFonts w:hint="cs"/>
          <w:rtl/>
        </w:rPr>
        <w:t>ة</w:t>
      </w:r>
      <w:r w:rsidR="0030554B">
        <w:rPr>
          <w:rFonts w:hint="cs"/>
          <w:rtl/>
        </w:rPr>
        <w:t>.</w:t>
      </w:r>
      <w:r w:rsidRPr="00822CE9">
        <w:rPr>
          <w:rFonts w:hint="cs"/>
          <w:rtl/>
        </w:rPr>
        <w:t xml:space="preserve"> وإذا عدنا لتأم</w:t>
      </w:r>
      <w:r w:rsidR="0030554B">
        <w:rPr>
          <w:rFonts w:hint="cs"/>
          <w:rtl/>
        </w:rPr>
        <w:t>ّل كلام مؤمن الطاق رأينا أ</w:t>
      </w:r>
      <w:r w:rsidRPr="00822CE9">
        <w:rPr>
          <w:rFonts w:hint="cs"/>
          <w:rtl/>
        </w:rPr>
        <w:t>ن</w:t>
      </w:r>
      <w:r w:rsidR="0030554B">
        <w:rPr>
          <w:rFonts w:hint="cs"/>
          <w:rtl/>
        </w:rPr>
        <w:t>ّ</w:t>
      </w:r>
      <w:r w:rsidRPr="00822CE9">
        <w:rPr>
          <w:rFonts w:hint="cs"/>
          <w:rtl/>
        </w:rPr>
        <w:t xml:space="preserve"> احتجاجه بمسألة الشفقة غير صحيح أبداً؛ فهل أن</w:t>
      </w:r>
      <w:r w:rsidR="0030554B">
        <w:rPr>
          <w:rFonts w:hint="cs"/>
          <w:rtl/>
        </w:rPr>
        <w:t>ّ</w:t>
      </w:r>
      <w:r w:rsidRPr="00822CE9">
        <w:rPr>
          <w:rFonts w:hint="cs"/>
          <w:rtl/>
        </w:rPr>
        <w:t xml:space="preserve"> العلاقة النسبي</w:t>
      </w:r>
      <w:r w:rsidR="0030554B">
        <w:rPr>
          <w:rFonts w:hint="cs"/>
          <w:rtl/>
        </w:rPr>
        <w:t>ّ</w:t>
      </w:r>
      <w:r w:rsidRPr="00822CE9">
        <w:rPr>
          <w:rFonts w:hint="cs"/>
          <w:rtl/>
        </w:rPr>
        <w:t>ة تمنع الإمام المعصوم عن بيان الحق</w:t>
      </w:r>
      <w:r w:rsidR="0030554B">
        <w:rPr>
          <w:rFonts w:hint="cs"/>
          <w:rtl/>
        </w:rPr>
        <w:t>ّ</w:t>
      </w:r>
      <w:r w:rsidRPr="00822CE9">
        <w:rPr>
          <w:rFonts w:hint="cs"/>
          <w:rtl/>
        </w:rPr>
        <w:t xml:space="preserve"> في مسألة الإمام</w:t>
      </w:r>
      <w:r w:rsidR="0030554B">
        <w:rPr>
          <w:rFonts w:hint="cs"/>
          <w:rtl/>
        </w:rPr>
        <w:t>ة</w:t>
      </w:r>
      <w:r w:rsidRPr="00822CE9">
        <w:rPr>
          <w:rFonts w:hint="cs"/>
          <w:rtl/>
        </w:rPr>
        <w:t xml:space="preserve"> نفسها؟</w:t>
      </w:r>
      <w:r w:rsidR="0030554B">
        <w:rPr>
          <w:rFonts w:hint="cs"/>
          <w:rtl/>
        </w:rPr>
        <w:t>!</w:t>
      </w:r>
      <w:r w:rsidRPr="00822CE9">
        <w:rPr>
          <w:rFonts w:hint="cs"/>
          <w:rtl/>
        </w:rPr>
        <w:t xml:space="preserve"> وكيف لا يبالي الإمام بدخول مؤمن الطاق جهنّم لمعاندته لكن</w:t>
      </w:r>
      <w:r w:rsidR="0030554B">
        <w:rPr>
          <w:rFonts w:hint="cs"/>
          <w:rtl/>
        </w:rPr>
        <w:t>ّ</w:t>
      </w:r>
      <w:r w:rsidRPr="00822CE9">
        <w:rPr>
          <w:rFonts w:hint="cs"/>
          <w:rtl/>
        </w:rPr>
        <w:t>ه يبالي بدخول زيد النار بسبب معاندته، والله تعالى علّمنا في قصّة نوح أن</w:t>
      </w:r>
      <w:r w:rsidR="0030554B">
        <w:rPr>
          <w:rFonts w:hint="cs"/>
          <w:rtl/>
        </w:rPr>
        <w:t>ّ</w:t>
      </w:r>
      <w:r w:rsidRPr="00822CE9">
        <w:rPr>
          <w:rFonts w:hint="cs"/>
          <w:rtl/>
        </w:rPr>
        <w:t xml:space="preserve"> الولد العاصي ليس من الأهل</w:t>
      </w:r>
      <w:r w:rsidR="00FA6590">
        <w:rPr>
          <w:rFonts w:hint="cs"/>
          <w:rtl/>
        </w:rPr>
        <w:t xml:space="preserve"> بناءً على أحد تفاسير الآية</w:t>
      </w:r>
      <w:r w:rsidRPr="00822CE9">
        <w:rPr>
          <w:rFonts w:hint="cs"/>
          <w:rtl/>
        </w:rPr>
        <w:t>، فهل هذه هي الثقافة القرآنية في التعامل مع قضايا الدين الأساسية في إطار الأسرة؟</w:t>
      </w:r>
      <w:r w:rsidR="00FA6590">
        <w:rPr>
          <w:rFonts w:hint="cs"/>
          <w:rtl/>
        </w:rPr>
        <w:t>! وحتى الا</w:t>
      </w:r>
      <w:r w:rsidRPr="00822CE9">
        <w:rPr>
          <w:rFonts w:hint="cs"/>
          <w:rtl/>
        </w:rPr>
        <w:t>حتجاج بقصّة يعقوب ويوسف لا علاقة له بالمقام</w:t>
      </w:r>
      <w:r w:rsidR="00FA6590">
        <w:rPr>
          <w:rFonts w:hint="cs"/>
          <w:rtl/>
        </w:rPr>
        <w:t>،</w:t>
      </w:r>
      <w:r w:rsidRPr="00822CE9">
        <w:rPr>
          <w:rFonts w:hint="cs"/>
          <w:rtl/>
        </w:rPr>
        <w:t xml:space="preserve"> بل ذكره غريب</w:t>
      </w:r>
      <w:r w:rsidR="00FA6590">
        <w:rPr>
          <w:rFonts w:hint="cs"/>
          <w:rtl/>
        </w:rPr>
        <w:t>؛</w:t>
      </w:r>
      <w:r w:rsidRPr="00822CE9">
        <w:rPr>
          <w:rFonts w:hint="cs"/>
          <w:rtl/>
        </w:rPr>
        <w:t xml:space="preserve"> لأن</w:t>
      </w:r>
      <w:r w:rsidR="00FA6590">
        <w:rPr>
          <w:rFonts w:hint="cs"/>
          <w:rtl/>
        </w:rPr>
        <w:t>ّ</w:t>
      </w:r>
      <w:r w:rsidRPr="00822CE9">
        <w:rPr>
          <w:rFonts w:hint="cs"/>
          <w:rtl/>
        </w:rPr>
        <w:t xml:space="preserve"> الآية تنصّ على أن</w:t>
      </w:r>
      <w:r w:rsidR="00FA6590">
        <w:rPr>
          <w:rFonts w:hint="cs"/>
          <w:rtl/>
        </w:rPr>
        <w:t>ّ</w:t>
      </w:r>
      <w:r w:rsidRPr="00822CE9">
        <w:rPr>
          <w:rFonts w:hint="cs"/>
          <w:rtl/>
        </w:rPr>
        <w:t>ه لو أخبرهم لكادوا له، فالمشكلة في الإخبار ه</w:t>
      </w:r>
      <w:r w:rsidR="00FA6590">
        <w:rPr>
          <w:rFonts w:hint="cs"/>
          <w:rtl/>
        </w:rPr>
        <w:t>و</w:t>
      </w:r>
      <w:r w:rsidRPr="00822CE9">
        <w:rPr>
          <w:rFonts w:hint="cs"/>
          <w:rtl/>
        </w:rPr>
        <w:t xml:space="preserve"> الكيد ليوسف</w:t>
      </w:r>
      <w:r w:rsidR="00FA6590">
        <w:rPr>
          <w:rFonts w:hint="cs"/>
          <w:rtl/>
        </w:rPr>
        <w:t xml:space="preserve">، وليس </w:t>
      </w:r>
      <w:r w:rsidRPr="00822CE9">
        <w:rPr>
          <w:rFonts w:hint="cs"/>
          <w:rtl/>
        </w:rPr>
        <w:t>عدم قبولهم به والخوف عليهم، فيعقوب كتم حفظاً ليوسف</w:t>
      </w:r>
      <w:r w:rsidR="00FA6590">
        <w:rPr>
          <w:rFonts w:hint="cs"/>
          <w:rtl/>
        </w:rPr>
        <w:t>،</w:t>
      </w:r>
      <w:r w:rsidRPr="00822CE9">
        <w:rPr>
          <w:rFonts w:hint="cs"/>
          <w:rtl/>
        </w:rPr>
        <w:t xml:space="preserve"> لا لسائر الأولاد، والقص</w:t>
      </w:r>
      <w:r w:rsidR="00FA6590">
        <w:rPr>
          <w:rFonts w:hint="cs"/>
          <w:rtl/>
        </w:rPr>
        <w:t>ّ</w:t>
      </w:r>
      <w:r w:rsidRPr="00822CE9">
        <w:rPr>
          <w:rFonts w:hint="cs"/>
          <w:rtl/>
        </w:rPr>
        <w:t xml:space="preserve">ة هنا </w:t>
      </w:r>
      <w:r w:rsidR="00FA6590">
        <w:rPr>
          <w:rFonts w:hint="cs"/>
          <w:rtl/>
        </w:rPr>
        <w:t xml:space="preserve">هو </w:t>
      </w:r>
      <w:r w:rsidRPr="00822CE9">
        <w:rPr>
          <w:rFonts w:hint="cs"/>
          <w:rtl/>
        </w:rPr>
        <w:t>كتم زين العابدين حفظاً لزيد من النار</w:t>
      </w:r>
      <w:r w:rsidR="00FA6590">
        <w:rPr>
          <w:rFonts w:hint="cs"/>
          <w:rtl/>
        </w:rPr>
        <w:t>،</w:t>
      </w:r>
      <w:r w:rsidRPr="00822CE9">
        <w:rPr>
          <w:rFonts w:hint="cs"/>
          <w:rtl/>
        </w:rPr>
        <w:t xml:space="preserve"> لا للباقر والصادق من </w:t>
      </w:r>
      <w:r w:rsidR="00FA6590">
        <w:rPr>
          <w:rFonts w:hint="cs"/>
          <w:rtl/>
        </w:rPr>
        <w:t>أ</w:t>
      </w:r>
      <w:r w:rsidRPr="00822CE9">
        <w:rPr>
          <w:rFonts w:hint="cs"/>
          <w:rtl/>
        </w:rPr>
        <w:t xml:space="preserve">ذى زيد، </w:t>
      </w:r>
      <w:r w:rsidR="00FA6590">
        <w:rPr>
          <w:rFonts w:hint="cs"/>
          <w:rtl/>
        </w:rPr>
        <w:t xml:space="preserve">ولا </w:t>
      </w:r>
      <w:r w:rsidRPr="00822CE9">
        <w:rPr>
          <w:rFonts w:hint="cs"/>
          <w:rtl/>
        </w:rPr>
        <w:t xml:space="preserve">سيما </w:t>
      </w:r>
      <w:r w:rsidR="00FA6590">
        <w:rPr>
          <w:rFonts w:hint="cs"/>
          <w:rtl/>
        </w:rPr>
        <w:t>أ</w:t>
      </w:r>
      <w:r w:rsidRPr="00822CE9">
        <w:rPr>
          <w:rFonts w:hint="cs"/>
          <w:rtl/>
        </w:rPr>
        <w:t>ن</w:t>
      </w:r>
      <w:r w:rsidR="00FA6590">
        <w:rPr>
          <w:rFonts w:hint="cs"/>
          <w:rtl/>
        </w:rPr>
        <w:t>ّ</w:t>
      </w:r>
      <w:r w:rsidRPr="00822CE9">
        <w:rPr>
          <w:rFonts w:hint="cs"/>
          <w:rtl/>
        </w:rPr>
        <w:t>ها عب</w:t>
      </w:r>
      <w:r w:rsidR="00FA6590">
        <w:rPr>
          <w:rFonts w:hint="cs"/>
          <w:rtl/>
        </w:rPr>
        <w:t>ّ</w:t>
      </w:r>
      <w:r w:rsidRPr="00822CE9">
        <w:rPr>
          <w:rFonts w:hint="cs"/>
          <w:rtl/>
        </w:rPr>
        <w:t xml:space="preserve">رت </w:t>
      </w:r>
      <w:r w:rsidR="00FA6590">
        <w:rPr>
          <w:rFonts w:hint="cs"/>
          <w:rtl/>
        </w:rPr>
        <w:t>بع</w:t>
      </w:r>
      <w:r w:rsidRPr="00822CE9">
        <w:rPr>
          <w:rFonts w:hint="cs"/>
          <w:rtl/>
        </w:rPr>
        <w:t>دم قبوله للإمام الحق</w:t>
      </w:r>
      <w:r w:rsidR="00FA6590">
        <w:rPr>
          <w:rFonts w:hint="cs"/>
          <w:rtl/>
        </w:rPr>
        <w:t>ّ</w:t>
      </w:r>
      <w:r w:rsidRPr="00822CE9">
        <w:rPr>
          <w:rFonts w:hint="cs"/>
          <w:rtl/>
        </w:rPr>
        <w:t xml:space="preserve"> لا محارب</w:t>
      </w:r>
      <w:r w:rsidR="00FA6590">
        <w:rPr>
          <w:rFonts w:hint="cs"/>
          <w:rtl/>
        </w:rPr>
        <w:t>ته له، فالا</w:t>
      </w:r>
      <w:r w:rsidRPr="00822CE9">
        <w:rPr>
          <w:rFonts w:hint="cs"/>
          <w:rtl/>
        </w:rPr>
        <w:t>ستشهاد في غير محلّه</w:t>
      </w:r>
      <w:r w:rsidR="00FA6590">
        <w:rPr>
          <w:rFonts w:hint="cs"/>
          <w:rtl/>
        </w:rPr>
        <w:t xml:space="preserve">. كما </w:t>
      </w:r>
      <w:r w:rsidRPr="00822CE9">
        <w:rPr>
          <w:rFonts w:hint="cs"/>
          <w:rtl/>
        </w:rPr>
        <w:t>أنّ كون الأنبياء أفضل من أهل البيت لا علاقة له بقصّة يوسف، فهل الأفضلي</w:t>
      </w:r>
      <w:r w:rsidR="00FA6590">
        <w:rPr>
          <w:rFonts w:hint="cs"/>
          <w:rtl/>
        </w:rPr>
        <w:t>ّ</w:t>
      </w:r>
      <w:r w:rsidRPr="00822CE9">
        <w:rPr>
          <w:rFonts w:hint="cs"/>
          <w:rtl/>
        </w:rPr>
        <w:t>ة تعني لزوم أو عدم لزوم فعل ما فعله يوسف ويعقوب في قص</w:t>
      </w:r>
      <w:r w:rsidR="00FA6590">
        <w:rPr>
          <w:rFonts w:hint="cs"/>
          <w:rtl/>
        </w:rPr>
        <w:t>ّ</w:t>
      </w:r>
      <w:r w:rsidRPr="00822CE9">
        <w:rPr>
          <w:rFonts w:hint="cs"/>
          <w:rtl/>
        </w:rPr>
        <w:t>تهما؟</w:t>
      </w:r>
      <w:r w:rsidR="00FA6590">
        <w:rPr>
          <w:rFonts w:hint="cs"/>
          <w:rtl/>
        </w:rPr>
        <w:t>!</w:t>
      </w:r>
      <w:r w:rsidRPr="00822CE9">
        <w:rPr>
          <w:rFonts w:hint="cs"/>
          <w:rtl/>
        </w:rPr>
        <w:t xml:space="preserve"> فالرواية في احتجاجاتها لا تبدو عليها معالم المنطقي</w:t>
      </w:r>
      <w:r w:rsidR="00FA6590">
        <w:rPr>
          <w:rFonts w:hint="cs"/>
          <w:rtl/>
        </w:rPr>
        <w:t>ّ</w:t>
      </w:r>
      <w:r w:rsidRPr="00822CE9">
        <w:rPr>
          <w:rFonts w:hint="cs"/>
          <w:rtl/>
        </w:rPr>
        <w:t xml:space="preserve">ة، </w:t>
      </w:r>
      <w:r w:rsidR="00FA6590">
        <w:rPr>
          <w:rFonts w:hint="cs"/>
          <w:rtl/>
        </w:rPr>
        <w:lastRenderedPageBreak/>
        <w:t xml:space="preserve">لا </w:t>
      </w:r>
      <w:r w:rsidRPr="00822CE9">
        <w:rPr>
          <w:rFonts w:hint="cs"/>
          <w:rtl/>
        </w:rPr>
        <w:t>سيما على نظري</w:t>
      </w:r>
      <w:r w:rsidR="00FA6590">
        <w:rPr>
          <w:rFonts w:hint="cs"/>
          <w:rtl/>
        </w:rPr>
        <w:t>ّ</w:t>
      </w:r>
      <w:r w:rsidRPr="00822CE9">
        <w:rPr>
          <w:rFonts w:hint="cs"/>
          <w:rtl/>
        </w:rPr>
        <w:t>ة الإمامة في التفسير الشيعي، إلا إذا قيل: إن</w:t>
      </w:r>
      <w:r w:rsidR="00FA6590">
        <w:rPr>
          <w:rFonts w:hint="cs"/>
          <w:rtl/>
        </w:rPr>
        <w:t>ّ</w:t>
      </w:r>
      <w:r w:rsidRPr="00822CE9">
        <w:rPr>
          <w:rFonts w:hint="cs"/>
          <w:rtl/>
        </w:rPr>
        <w:t xml:space="preserve"> الاحتجاجات كان يراد منها التسكيت </w:t>
      </w:r>
      <w:r w:rsidR="00FA6590">
        <w:rPr>
          <w:rFonts w:hint="cs"/>
          <w:rtl/>
        </w:rPr>
        <w:t>دون</w:t>
      </w:r>
      <w:r w:rsidRPr="00822CE9">
        <w:rPr>
          <w:rFonts w:hint="cs"/>
          <w:rtl/>
        </w:rPr>
        <w:t xml:space="preserve"> البرهان، أي المنطق الإقناعي أو الجدلي </w:t>
      </w:r>
      <w:r w:rsidR="00FA6590">
        <w:rPr>
          <w:rFonts w:hint="cs"/>
          <w:rtl/>
        </w:rPr>
        <w:t>دون</w:t>
      </w:r>
      <w:r w:rsidRPr="00822CE9">
        <w:rPr>
          <w:rFonts w:hint="cs"/>
          <w:rtl/>
        </w:rPr>
        <w:t xml:space="preserve"> المنطق البرهاني أو العلمي.</w:t>
      </w:r>
    </w:p>
    <w:p w14:paraId="0D2B497E" w14:textId="77777777" w:rsidR="000A4159" w:rsidRPr="00822CE9" w:rsidRDefault="000A4159" w:rsidP="00A47C06">
      <w:pPr>
        <w:pStyle w:val="normal84"/>
        <w:rPr>
          <w:rtl/>
        </w:rPr>
      </w:pPr>
      <w:r w:rsidRPr="00FA6590">
        <w:rPr>
          <w:rFonts w:hint="cs"/>
          <w:b/>
          <w:bCs/>
          <w:rtl/>
        </w:rPr>
        <w:t>الرواية الثالثة: خبر زرارة،</w:t>
      </w:r>
      <w:r w:rsidRPr="00822CE9">
        <w:rPr>
          <w:rFonts w:hint="cs"/>
          <w:rtl/>
        </w:rPr>
        <w:t xml:space="preserve"> قال: قال لي زيد بن علي، وأنا عند أبي عبد الله</w:t>
      </w:r>
      <w:r w:rsidR="009A1626" w:rsidRPr="00822CE9">
        <w:rPr>
          <w:rFonts w:hint="cs"/>
          <w:rtl/>
        </w:rPr>
        <w:t>×</w:t>
      </w:r>
      <w:r w:rsidRPr="00822CE9">
        <w:rPr>
          <w:rFonts w:hint="cs"/>
          <w:rtl/>
        </w:rPr>
        <w:t>: ما تقول يا فتى في رجل</w:t>
      </w:r>
      <w:r w:rsidR="00EA4775">
        <w:rPr>
          <w:rFonts w:hint="cs"/>
          <w:rtl/>
        </w:rPr>
        <w:t>ٍ</w:t>
      </w:r>
      <w:r w:rsidRPr="00822CE9">
        <w:rPr>
          <w:rFonts w:hint="cs"/>
          <w:rtl/>
        </w:rPr>
        <w:t xml:space="preserve"> من آل محم</w:t>
      </w:r>
      <w:r w:rsidR="00EA4775">
        <w:rPr>
          <w:rFonts w:hint="cs"/>
          <w:rtl/>
        </w:rPr>
        <w:t>ّ</w:t>
      </w:r>
      <w:r w:rsidRPr="00822CE9">
        <w:rPr>
          <w:rFonts w:hint="cs"/>
          <w:rtl/>
        </w:rPr>
        <w:t>د استنصرك؟ فقلت: إن كان مفروض الطاعة نصرته، وإن كان غير مفروض الطاعة فلي أن أفعل ولي أن لا أفعل، فلما خرج (أي زيد)، قال أبو عبد الله</w:t>
      </w:r>
      <w:r w:rsidR="009A1626" w:rsidRPr="00822CE9">
        <w:rPr>
          <w:rFonts w:hint="cs"/>
          <w:rtl/>
        </w:rPr>
        <w:t>×</w:t>
      </w:r>
      <w:r w:rsidRPr="00822CE9">
        <w:rPr>
          <w:rFonts w:hint="cs"/>
          <w:rtl/>
        </w:rPr>
        <w:t>: «أخذته والله من بين يديه ومن خلفه وما تركت له مخرجاً»</w:t>
      </w:r>
      <w:r w:rsidRPr="000A4159">
        <w:rPr>
          <w:rFonts w:cs="Taher"/>
          <w:vertAlign w:val="superscript"/>
          <w:rtl/>
        </w:rPr>
        <w:t>(</w:t>
      </w:r>
      <w:r w:rsidRPr="000A4159">
        <w:rPr>
          <w:rStyle w:val="FootnoteReference"/>
          <w:rFonts w:cs="Taher"/>
          <w:rtl/>
        </w:rPr>
        <w:footnoteReference w:id="93"/>
      </w:r>
      <w:r w:rsidRPr="000A4159">
        <w:rPr>
          <w:rFonts w:cs="Taher"/>
          <w:vertAlign w:val="superscript"/>
          <w:rtl/>
        </w:rPr>
        <w:t>)</w:t>
      </w:r>
      <w:r w:rsidRPr="00822CE9">
        <w:rPr>
          <w:rtl/>
        </w:rPr>
        <w:t>.</w:t>
      </w:r>
    </w:p>
    <w:p w14:paraId="50AF0C29" w14:textId="77777777" w:rsidR="000A4159" w:rsidRPr="00822CE9" w:rsidRDefault="000A4159" w:rsidP="00A47C06">
      <w:pPr>
        <w:pStyle w:val="normal930"/>
        <w:rPr>
          <w:rtl/>
        </w:rPr>
      </w:pPr>
      <w:r w:rsidRPr="00822CE9">
        <w:rPr>
          <w:rFonts w:hint="cs"/>
          <w:rtl/>
        </w:rPr>
        <w:t>ذلك أنّ تأييد الصادق لكلام زرارة الذي يفيد عدم الاندفاع للخروج مع زيد</w:t>
      </w:r>
      <w:r w:rsidR="008046D0">
        <w:rPr>
          <w:rFonts w:hint="cs"/>
          <w:rtl/>
        </w:rPr>
        <w:t>،</w:t>
      </w:r>
      <w:r w:rsidRPr="00822CE9">
        <w:rPr>
          <w:rFonts w:hint="cs"/>
          <w:rtl/>
        </w:rPr>
        <w:t xml:space="preserve"> شاهد</w:t>
      </w:r>
      <w:r w:rsidR="008046D0">
        <w:rPr>
          <w:rFonts w:hint="cs"/>
          <w:rtl/>
        </w:rPr>
        <w:t>ٌ</w:t>
      </w:r>
      <w:r w:rsidRPr="00822CE9">
        <w:rPr>
          <w:rFonts w:hint="cs"/>
          <w:rtl/>
        </w:rPr>
        <w:t xml:space="preserve"> على أن</w:t>
      </w:r>
      <w:r w:rsidR="008046D0">
        <w:rPr>
          <w:rFonts w:hint="cs"/>
          <w:rtl/>
        </w:rPr>
        <w:t>ّ</w:t>
      </w:r>
      <w:r w:rsidRPr="00822CE9">
        <w:rPr>
          <w:rFonts w:hint="cs"/>
          <w:rtl/>
        </w:rPr>
        <w:t>ه لم يكن من المشج</w:t>
      </w:r>
      <w:r w:rsidR="008046D0">
        <w:rPr>
          <w:rFonts w:hint="cs"/>
          <w:rtl/>
        </w:rPr>
        <w:t>ّ</w:t>
      </w:r>
      <w:r w:rsidRPr="00822CE9">
        <w:rPr>
          <w:rFonts w:hint="cs"/>
          <w:rtl/>
        </w:rPr>
        <w:t>عين على هذه الثورة.</w:t>
      </w:r>
    </w:p>
    <w:p w14:paraId="6672733C" w14:textId="77777777" w:rsidR="000A4159" w:rsidRPr="008046D0" w:rsidRDefault="000A4159" w:rsidP="00A079D6">
      <w:pPr>
        <w:spacing w:line="214" w:lineRule="auto"/>
        <w:rPr>
          <w:b/>
          <w:bCs/>
          <w:rtl/>
        </w:rPr>
      </w:pPr>
      <w:r w:rsidRPr="008046D0">
        <w:rPr>
          <w:rFonts w:hint="cs"/>
          <w:b/>
          <w:bCs/>
          <w:rtl/>
        </w:rPr>
        <w:t>إلا أنّه يمكن النقاش في الاستناد إلى هذه الرواية، وذلك:</w:t>
      </w:r>
    </w:p>
    <w:p w14:paraId="4FBBA5AE" w14:textId="77777777" w:rsidR="000A4159" w:rsidRPr="00822CE9" w:rsidRDefault="008046D0" w:rsidP="00A47C06">
      <w:pPr>
        <w:rPr>
          <w:rtl/>
        </w:rPr>
      </w:pPr>
      <w:r>
        <w:rPr>
          <w:rFonts w:hint="cs"/>
          <w:b/>
          <w:bCs/>
          <w:rtl/>
        </w:rPr>
        <w:t xml:space="preserve">أ ـ </w:t>
      </w:r>
      <w:r w:rsidR="000A4159" w:rsidRPr="00822CE9">
        <w:rPr>
          <w:rFonts w:hint="cs"/>
          <w:rtl/>
        </w:rPr>
        <w:t>إنّ هذه الرواية ليست نص</w:t>
      </w:r>
      <w:r>
        <w:rPr>
          <w:rFonts w:hint="cs"/>
          <w:rtl/>
        </w:rPr>
        <w:t>ّ</w:t>
      </w:r>
      <w:r w:rsidR="000A4159" w:rsidRPr="00822CE9">
        <w:rPr>
          <w:rFonts w:hint="cs"/>
          <w:rtl/>
        </w:rPr>
        <w:t>اً في تخطئة زيد، وإن</w:t>
      </w:r>
      <w:r>
        <w:rPr>
          <w:rFonts w:hint="cs"/>
          <w:rtl/>
        </w:rPr>
        <w:t>ّما تهدف إلى تحسين زرارة؛</w:t>
      </w:r>
      <w:r w:rsidR="000A4159" w:rsidRPr="00822CE9">
        <w:rPr>
          <w:rFonts w:hint="cs"/>
          <w:rtl/>
        </w:rPr>
        <w:t xml:space="preserve"> إذ من الواضح أن</w:t>
      </w:r>
      <w:r>
        <w:rPr>
          <w:rFonts w:hint="cs"/>
          <w:rtl/>
        </w:rPr>
        <w:t>ّ</w:t>
      </w:r>
      <w:r w:rsidR="000A4159" w:rsidRPr="00822CE9">
        <w:rPr>
          <w:rFonts w:hint="cs"/>
          <w:rtl/>
        </w:rPr>
        <w:t xml:space="preserve"> زيداً لم يكن إماماً مفترض الطاعة</w:t>
      </w:r>
      <w:r>
        <w:rPr>
          <w:rFonts w:hint="cs"/>
          <w:rtl/>
        </w:rPr>
        <w:t xml:space="preserve"> من المنظور الإمامي.</w:t>
      </w:r>
      <w:r w:rsidR="000A4159" w:rsidRPr="00822CE9">
        <w:rPr>
          <w:rFonts w:hint="cs"/>
          <w:rtl/>
        </w:rPr>
        <w:t xml:space="preserve"> ي</w:t>
      </w:r>
      <w:r>
        <w:rPr>
          <w:rFonts w:hint="cs"/>
          <w:rtl/>
        </w:rPr>
        <w:t>ُ</w:t>
      </w:r>
      <w:r w:rsidR="000A4159" w:rsidRPr="00822CE9">
        <w:rPr>
          <w:rFonts w:hint="cs"/>
          <w:rtl/>
        </w:rPr>
        <w:t>ضاف إلى ذلك أن</w:t>
      </w:r>
      <w:r>
        <w:rPr>
          <w:rFonts w:hint="cs"/>
          <w:rtl/>
        </w:rPr>
        <w:t>ّ</w:t>
      </w:r>
      <w:r w:rsidR="000A4159" w:rsidRPr="00822CE9">
        <w:rPr>
          <w:rFonts w:hint="cs"/>
          <w:rtl/>
        </w:rPr>
        <w:t xml:space="preserve"> جملة «لي أن أفعل ولي أن لا أفعل» دالّة على جواز القيام في الجملة مع غير المفترض الطاعة، وقد وافقه الصادق على ذلك بحسب ظاهر تعليقه الأخير على كلامه، ونحن نرى أن</w:t>
      </w:r>
      <w:r>
        <w:rPr>
          <w:rFonts w:hint="cs"/>
          <w:rtl/>
        </w:rPr>
        <w:t>ّ</w:t>
      </w:r>
      <w:r w:rsidR="000A4159" w:rsidRPr="00822CE9">
        <w:rPr>
          <w:rFonts w:hint="cs"/>
          <w:rtl/>
        </w:rPr>
        <w:t xml:space="preserve"> وجوه أصحاب الصادق ما كان يراد لهم أن يخرجوا مع زيد، كي لا يؤد</w:t>
      </w:r>
      <w:r>
        <w:rPr>
          <w:rFonts w:hint="cs"/>
          <w:rtl/>
        </w:rPr>
        <w:t>ّ</w:t>
      </w:r>
      <w:r w:rsidR="000A4159" w:rsidRPr="00822CE9">
        <w:rPr>
          <w:rFonts w:hint="cs"/>
          <w:rtl/>
        </w:rPr>
        <w:t>ي ذلك إلى تعرّض الإمام للخطر فلا يحفظ الدين ولا الشريعة</w:t>
      </w:r>
      <w:r w:rsidR="000A4159" w:rsidRPr="000A4159">
        <w:rPr>
          <w:rFonts w:cs="Taher"/>
          <w:vertAlign w:val="superscript"/>
          <w:rtl/>
        </w:rPr>
        <w:t>(</w:t>
      </w:r>
      <w:r w:rsidR="000A4159" w:rsidRPr="000A4159">
        <w:rPr>
          <w:rStyle w:val="FootnoteReference"/>
          <w:rFonts w:cs="Taher"/>
          <w:rtl/>
        </w:rPr>
        <w:footnoteReference w:id="94"/>
      </w:r>
      <w:r w:rsidR="000A4159" w:rsidRPr="000A4159">
        <w:rPr>
          <w:rFonts w:cs="Taher"/>
          <w:vertAlign w:val="superscript"/>
          <w:rtl/>
        </w:rPr>
        <w:t>)</w:t>
      </w:r>
      <w:r w:rsidR="000A4159" w:rsidRPr="00822CE9">
        <w:rPr>
          <w:rtl/>
        </w:rPr>
        <w:t>.</w:t>
      </w:r>
    </w:p>
    <w:p w14:paraId="6CCFD8BA" w14:textId="77777777" w:rsidR="000A4159" w:rsidRPr="00822CE9" w:rsidRDefault="000A4159" w:rsidP="00A47C06">
      <w:pPr>
        <w:rPr>
          <w:rtl/>
        </w:rPr>
      </w:pPr>
      <w:r w:rsidRPr="008046D0">
        <w:rPr>
          <w:rFonts w:hint="cs"/>
          <w:b/>
          <w:bCs/>
          <w:rtl/>
        </w:rPr>
        <w:t>وهذا الكلام أغلبه معقول، غير أن</w:t>
      </w:r>
      <w:r w:rsidR="008046D0">
        <w:rPr>
          <w:rFonts w:hint="cs"/>
          <w:b/>
          <w:bCs/>
          <w:rtl/>
        </w:rPr>
        <w:t>ّ</w:t>
      </w:r>
      <w:r w:rsidRPr="008046D0">
        <w:rPr>
          <w:rFonts w:hint="cs"/>
          <w:b/>
          <w:bCs/>
          <w:rtl/>
        </w:rPr>
        <w:t>ه رغم ذلك</w:t>
      </w:r>
      <w:r w:rsidRPr="00822CE9">
        <w:rPr>
          <w:rFonts w:hint="cs"/>
          <w:rtl/>
        </w:rPr>
        <w:t xml:space="preserve"> لا يرى القارئ لهذه الرواية أنّ الإمام الصادق كان مرتاحاً أو منسجماً مع الثورة، فلو كان الأمر كذلك لكان المفترض بزيد أن يجيب زرارة بأن</w:t>
      </w:r>
      <w:r w:rsidR="008046D0">
        <w:rPr>
          <w:rFonts w:hint="cs"/>
          <w:rtl/>
        </w:rPr>
        <w:t>ّ</w:t>
      </w:r>
      <w:r w:rsidRPr="00822CE9">
        <w:rPr>
          <w:rFonts w:hint="cs"/>
          <w:rtl/>
        </w:rPr>
        <w:t xml:space="preserve"> هذا الشخص الذي استنصرك من آل محم</w:t>
      </w:r>
      <w:r w:rsidR="008046D0">
        <w:rPr>
          <w:rFonts w:hint="cs"/>
          <w:rtl/>
        </w:rPr>
        <w:t>ّ</w:t>
      </w:r>
      <w:r w:rsidRPr="00822CE9">
        <w:rPr>
          <w:rFonts w:hint="cs"/>
          <w:rtl/>
        </w:rPr>
        <w:t>د قد خرج بإذن الإمام المفترض الطاعة، وحينئذ كان من المفترض بالصادق</w:t>
      </w:r>
      <w:r w:rsidR="008046D0">
        <w:rPr>
          <w:rFonts w:hint="cs"/>
          <w:rtl/>
        </w:rPr>
        <w:t xml:space="preserve"> أ</w:t>
      </w:r>
      <w:r w:rsidRPr="00822CE9">
        <w:rPr>
          <w:rFonts w:hint="cs"/>
          <w:rtl/>
        </w:rPr>
        <w:t>ن يجيب زرارة بأن</w:t>
      </w:r>
      <w:r w:rsidR="008046D0">
        <w:rPr>
          <w:rFonts w:hint="cs"/>
          <w:rtl/>
        </w:rPr>
        <w:t>ّ</w:t>
      </w:r>
      <w:r w:rsidRPr="00822CE9">
        <w:rPr>
          <w:rFonts w:hint="cs"/>
          <w:rtl/>
        </w:rPr>
        <w:t>ني لا أرى مصلحةً في خروج وجوه أصحابي مع زيد للسبب الفلاني أو غيره، ما دام ظاهر الحوار أن</w:t>
      </w:r>
      <w:r w:rsidR="008046D0">
        <w:rPr>
          <w:rFonts w:hint="cs"/>
          <w:rtl/>
        </w:rPr>
        <w:t>ّ</w:t>
      </w:r>
      <w:r w:rsidRPr="00822CE9">
        <w:rPr>
          <w:rFonts w:hint="cs"/>
          <w:rtl/>
        </w:rPr>
        <w:t xml:space="preserve"> المجلس كان خاص</w:t>
      </w:r>
      <w:r w:rsidR="008046D0">
        <w:rPr>
          <w:rFonts w:hint="cs"/>
          <w:rtl/>
        </w:rPr>
        <w:t>ّاً ولم يكن أ</w:t>
      </w:r>
      <w:r w:rsidRPr="00822CE9">
        <w:rPr>
          <w:rFonts w:hint="cs"/>
          <w:rtl/>
        </w:rPr>
        <w:t>مام الملأ</w:t>
      </w:r>
      <w:r w:rsidR="008046D0">
        <w:rPr>
          <w:rFonts w:hint="cs"/>
          <w:rtl/>
        </w:rPr>
        <w:t>،</w:t>
      </w:r>
      <w:r w:rsidRPr="00822CE9">
        <w:rPr>
          <w:rFonts w:hint="cs"/>
          <w:rtl/>
        </w:rPr>
        <w:t xml:space="preserve"> وإن</w:t>
      </w:r>
      <w:r w:rsidR="008046D0">
        <w:rPr>
          <w:rFonts w:hint="cs"/>
          <w:rtl/>
        </w:rPr>
        <w:t>ّ</w:t>
      </w:r>
      <w:r w:rsidRPr="00822CE9">
        <w:rPr>
          <w:rFonts w:hint="cs"/>
          <w:rtl/>
        </w:rPr>
        <w:t xml:space="preserve">ما في بيت الإمام الصادق أو عنده، فسياق الحديث يوحي بعدم رغبة الصادق بخروج زيد، ولا </w:t>
      </w:r>
      <w:r w:rsidRPr="00822CE9">
        <w:rPr>
          <w:rFonts w:hint="cs"/>
          <w:rtl/>
        </w:rPr>
        <w:lastRenderedPageBreak/>
        <w:t>ينسجم مع الفرضي</w:t>
      </w:r>
      <w:r w:rsidR="008046D0">
        <w:rPr>
          <w:rFonts w:hint="cs"/>
          <w:rtl/>
        </w:rPr>
        <w:t>ّ</w:t>
      </w:r>
      <w:r w:rsidRPr="00822CE9">
        <w:rPr>
          <w:rFonts w:hint="cs"/>
          <w:rtl/>
        </w:rPr>
        <w:t>ة التي قدّمت هنا.</w:t>
      </w:r>
      <w:r w:rsidR="005A4A72">
        <w:rPr>
          <w:rFonts w:hint="cs"/>
          <w:rtl/>
        </w:rPr>
        <w:t xml:space="preserve"> ما لم نقل بأنّ زرارة في تلك الفترة كان صغيراً بقرينة التعبير بـ "الفتى</w:t>
      </w:r>
      <w:r w:rsidR="005A4A72">
        <w:rPr>
          <w:rFonts w:cs="Cambria" w:hint="cs"/>
          <w:rtl/>
        </w:rPr>
        <w:t>"</w:t>
      </w:r>
      <w:r w:rsidR="005A4A72">
        <w:rPr>
          <w:rFonts w:hint="cs"/>
          <w:rtl/>
        </w:rPr>
        <w:t xml:space="preserve"> عنه، ومن المعروف أنّه في بدايات عمره لم يكن شيعيّاً خالصاً كما صار لاحقاً، وفق ما تفيده بعض النصوص الحديثيّة والتاريخيّة.</w:t>
      </w:r>
    </w:p>
    <w:p w14:paraId="7CBA5393" w14:textId="77777777" w:rsidR="000A4159" w:rsidRPr="00822CE9" w:rsidRDefault="008046D0" w:rsidP="00254DBA">
      <w:pPr>
        <w:spacing w:line="214" w:lineRule="auto"/>
        <w:rPr>
          <w:rtl/>
        </w:rPr>
      </w:pPr>
      <w:r w:rsidRPr="008046D0">
        <w:rPr>
          <w:rFonts w:hint="cs"/>
          <w:b/>
          <w:bCs/>
          <w:rtl/>
        </w:rPr>
        <w:t>ب ـ</w:t>
      </w:r>
      <w:r>
        <w:rPr>
          <w:rFonts w:hint="cs"/>
          <w:rtl/>
        </w:rPr>
        <w:t xml:space="preserve"> </w:t>
      </w:r>
      <w:r w:rsidR="000A4159" w:rsidRPr="00822CE9">
        <w:rPr>
          <w:rFonts w:hint="cs"/>
          <w:rtl/>
        </w:rPr>
        <w:t>إن</w:t>
      </w:r>
      <w:r>
        <w:rPr>
          <w:rFonts w:hint="cs"/>
          <w:rtl/>
        </w:rPr>
        <w:t>ّ</w:t>
      </w:r>
      <w:r w:rsidR="000A4159" w:rsidRPr="00822CE9">
        <w:rPr>
          <w:rFonts w:hint="cs"/>
          <w:rtl/>
        </w:rPr>
        <w:t xml:space="preserve"> الرواية ضعيفة السند</w:t>
      </w:r>
      <w:r>
        <w:rPr>
          <w:rFonts w:hint="cs"/>
          <w:rtl/>
        </w:rPr>
        <w:t>؛</w:t>
      </w:r>
      <w:r w:rsidR="000A4159" w:rsidRPr="00822CE9">
        <w:rPr>
          <w:rFonts w:hint="cs"/>
          <w:rtl/>
        </w:rPr>
        <w:t xml:space="preserve"> وذلك أن</w:t>
      </w:r>
      <w:r>
        <w:rPr>
          <w:rFonts w:hint="cs"/>
          <w:rtl/>
        </w:rPr>
        <w:t>ّ</w:t>
      </w:r>
      <w:r w:rsidR="000A4159" w:rsidRPr="00822CE9">
        <w:rPr>
          <w:rFonts w:hint="cs"/>
          <w:rtl/>
        </w:rPr>
        <w:t xml:space="preserve"> العلامة الحلي قد توق</w:t>
      </w:r>
      <w:r w:rsidR="00254DBA">
        <w:rPr>
          <w:rFonts w:hint="cs"/>
          <w:rtl/>
        </w:rPr>
        <w:t>ّ</w:t>
      </w:r>
      <w:r w:rsidR="00480258">
        <w:rPr>
          <w:rFonts w:hint="cs"/>
          <w:rtl/>
        </w:rPr>
        <w:t xml:space="preserve">ف في </w:t>
      </w:r>
      <w:r w:rsidR="000A4159" w:rsidRPr="00822CE9">
        <w:rPr>
          <w:rFonts w:hint="cs"/>
          <w:rtl/>
        </w:rPr>
        <w:t>أبي خ</w:t>
      </w:r>
      <w:r w:rsidR="00480258">
        <w:rPr>
          <w:rFonts w:hint="cs"/>
          <w:rtl/>
        </w:rPr>
        <w:t>ِ</w:t>
      </w:r>
      <w:r w:rsidR="000A4159" w:rsidRPr="00822CE9">
        <w:rPr>
          <w:rFonts w:hint="cs"/>
          <w:rtl/>
        </w:rPr>
        <w:t>د</w:t>
      </w:r>
      <w:r w:rsidR="00480258">
        <w:rPr>
          <w:rFonts w:hint="cs"/>
          <w:rtl/>
        </w:rPr>
        <w:t>َ</w:t>
      </w:r>
      <w:r w:rsidR="000A4159" w:rsidRPr="00822CE9">
        <w:rPr>
          <w:rFonts w:hint="cs"/>
          <w:rtl/>
        </w:rPr>
        <w:t>اش ورواياته</w:t>
      </w:r>
      <w:r w:rsidR="000A4159" w:rsidRPr="000A4159">
        <w:rPr>
          <w:rFonts w:cs="Taher"/>
          <w:vertAlign w:val="superscript"/>
          <w:rtl/>
        </w:rPr>
        <w:t>(</w:t>
      </w:r>
      <w:r w:rsidR="000A4159" w:rsidRPr="000A4159">
        <w:rPr>
          <w:rStyle w:val="FootnoteReference"/>
          <w:rFonts w:cs="Taher"/>
          <w:rtl/>
        </w:rPr>
        <w:footnoteReference w:id="95"/>
      </w:r>
      <w:r w:rsidR="000A4159" w:rsidRPr="000A4159">
        <w:rPr>
          <w:rFonts w:cs="Taher"/>
          <w:vertAlign w:val="superscript"/>
          <w:rtl/>
        </w:rPr>
        <w:t>)</w:t>
      </w:r>
      <w:r w:rsidR="000A4159" w:rsidRPr="00822CE9">
        <w:rPr>
          <w:rtl/>
        </w:rPr>
        <w:t xml:space="preserve">، </w:t>
      </w:r>
      <w:r w:rsidR="000A4159" w:rsidRPr="00822CE9">
        <w:rPr>
          <w:rFonts w:hint="cs"/>
          <w:rtl/>
        </w:rPr>
        <w:t>كما ضع</w:t>
      </w:r>
      <w:r w:rsidR="00254DBA">
        <w:rPr>
          <w:rFonts w:hint="cs"/>
          <w:rtl/>
        </w:rPr>
        <w:t>ّ</w:t>
      </w:r>
      <w:r w:rsidR="000A4159" w:rsidRPr="00822CE9">
        <w:rPr>
          <w:rFonts w:hint="cs"/>
          <w:rtl/>
        </w:rPr>
        <w:t>فه النجاشي بقوله: «ضعيف جداً»، نعم وثقه الكشي، لكن مع تضعيف النجاشي يصعب الأخذ بتوثيق الكشي</w:t>
      </w:r>
      <w:r w:rsidR="000A4159" w:rsidRPr="000A4159">
        <w:rPr>
          <w:rFonts w:cs="Taher"/>
          <w:vertAlign w:val="superscript"/>
          <w:rtl/>
        </w:rPr>
        <w:t>(</w:t>
      </w:r>
      <w:r w:rsidR="000A4159" w:rsidRPr="000A4159">
        <w:rPr>
          <w:rStyle w:val="FootnoteReference"/>
          <w:rFonts w:cs="Taher"/>
          <w:rtl/>
        </w:rPr>
        <w:footnoteReference w:id="96"/>
      </w:r>
      <w:r w:rsidR="000A4159" w:rsidRPr="000A4159">
        <w:rPr>
          <w:rFonts w:cs="Taher"/>
          <w:vertAlign w:val="superscript"/>
          <w:rtl/>
        </w:rPr>
        <w:t>)</w:t>
      </w:r>
      <w:r w:rsidR="00254DBA">
        <w:rPr>
          <w:rFonts w:hint="cs"/>
          <w:rtl/>
        </w:rPr>
        <w:t>.</w:t>
      </w:r>
    </w:p>
    <w:p w14:paraId="13251FEC" w14:textId="77777777" w:rsidR="000A4159" w:rsidRDefault="000A4159" w:rsidP="00A47C06">
      <w:pPr>
        <w:rPr>
          <w:rtl/>
        </w:rPr>
      </w:pPr>
      <w:r w:rsidRPr="00480258">
        <w:rPr>
          <w:rFonts w:hint="cs"/>
          <w:b/>
          <w:bCs/>
          <w:rtl/>
        </w:rPr>
        <w:t>الرواية الرابعة والخامسة: ما رواه الكشي</w:t>
      </w:r>
      <w:r w:rsidR="00480258">
        <w:rPr>
          <w:rFonts w:hint="cs"/>
          <w:b/>
          <w:bCs/>
          <w:rtl/>
        </w:rPr>
        <w:t>،</w:t>
      </w:r>
      <w:r w:rsidRPr="00822CE9">
        <w:rPr>
          <w:rFonts w:hint="cs"/>
          <w:rtl/>
        </w:rPr>
        <w:t xml:space="preserve"> من أن</w:t>
      </w:r>
      <w:r w:rsidR="00480258">
        <w:rPr>
          <w:rFonts w:hint="cs"/>
          <w:rtl/>
        </w:rPr>
        <w:t>ّ</w:t>
      </w:r>
      <w:r w:rsidRPr="00822CE9">
        <w:rPr>
          <w:rFonts w:hint="cs"/>
          <w:rtl/>
        </w:rPr>
        <w:t>ه قيل لمؤمن الطاق: ما الذي جرى بينك وبين زيد بن علي</w:t>
      </w:r>
      <w:r w:rsidR="00480258">
        <w:rPr>
          <w:rFonts w:hint="cs"/>
          <w:rtl/>
        </w:rPr>
        <w:t>ّ</w:t>
      </w:r>
      <w:r w:rsidRPr="00822CE9">
        <w:rPr>
          <w:rFonts w:hint="cs"/>
          <w:rtl/>
        </w:rPr>
        <w:t xml:space="preserve"> في محضر أبي عبد الله؟ قال: قال زيد بن علي: يا محم</w:t>
      </w:r>
      <w:r w:rsidR="00480258">
        <w:rPr>
          <w:rFonts w:hint="cs"/>
          <w:rtl/>
        </w:rPr>
        <w:t>ّ</w:t>
      </w:r>
      <w:r w:rsidRPr="00822CE9">
        <w:rPr>
          <w:rFonts w:hint="cs"/>
          <w:rtl/>
        </w:rPr>
        <w:t>د بن علي</w:t>
      </w:r>
      <w:r w:rsidR="00480258">
        <w:rPr>
          <w:rFonts w:hint="cs"/>
          <w:rtl/>
        </w:rPr>
        <w:t>،</w:t>
      </w:r>
      <w:r w:rsidRPr="00822CE9">
        <w:rPr>
          <w:rFonts w:hint="cs"/>
          <w:rtl/>
        </w:rPr>
        <w:t xml:space="preserve"> بلغني أن</w:t>
      </w:r>
      <w:r w:rsidR="00D46E08">
        <w:rPr>
          <w:rFonts w:hint="cs"/>
          <w:rtl/>
        </w:rPr>
        <w:t>ّ</w:t>
      </w:r>
      <w:r w:rsidRPr="00822CE9">
        <w:rPr>
          <w:rFonts w:hint="cs"/>
          <w:rtl/>
        </w:rPr>
        <w:t>ك تزعم أن</w:t>
      </w:r>
      <w:r w:rsidR="00D46E08">
        <w:rPr>
          <w:rFonts w:hint="cs"/>
          <w:rtl/>
        </w:rPr>
        <w:t>ّ</w:t>
      </w:r>
      <w:r w:rsidRPr="00822CE9">
        <w:rPr>
          <w:rFonts w:hint="cs"/>
          <w:rtl/>
        </w:rPr>
        <w:t xml:space="preserve"> في آل محم</w:t>
      </w:r>
      <w:r w:rsidR="00D46E08">
        <w:rPr>
          <w:rFonts w:hint="cs"/>
          <w:rtl/>
        </w:rPr>
        <w:t>ّ</w:t>
      </w:r>
      <w:r w:rsidRPr="00822CE9">
        <w:rPr>
          <w:rFonts w:hint="cs"/>
          <w:rtl/>
        </w:rPr>
        <w:t>د إماماً مفترض الطاعة؟ قال: قلت: نعم، وكان أبوك علي</w:t>
      </w:r>
      <w:r w:rsidR="00D46E08">
        <w:rPr>
          <w:rFonts w:hint="cs"/>
          <w:rtl/>
        </w:rPr>
        <w:t>ّ</w:t>
      </w:r>
      <w:r w:rsidRPr="00822CE9">
        <w:rPr>
          <w:rFonts w:hint="cs"/>
          <w:rtl/>
        </w:rPr>
        <w:t xml:space="preserve"> بن الحسين أحدهم، فقال: وكيف وقد يؤتى بل</w:t>
      </w:r>
      <w:r w:rsidR="00D46E08">
        <w:rPr>
          <w:rFonts w:hint="cs"/>
          <w:rtl/>
        </w:rPr>
        <w:t>ق</w:t>
      </w:r>
      <w:r w:rsidRPr="00822CE9">
        <w:rPr>
          <w:rFonts w:hint="cs"/>
          <w:rtl/>
        </w:rPr>
        <w:t>مة وهي حار</w:t>
      </w:r>
      <w:r w:rsidR="00D46E08">
        <w:rPr>
          <w:rFonts w:hint="cs"/>
          <w:rtl/>
        </w:rPr>
        <w:t>ّ</w:t>
      </w:r>
      <w:r w:rsidRPr="00822CE9">
        <w:rPr>
          <w:rFonts w:hint="cs"/>
          <w:rtl/>
        </w:rPr>
        <w:t>ة فيبرّدها بيده ثم يلقمنيها، أفترى أن</w:t>
      </w:r>
      <w:r w:rsidR="00D46E08">
        <w:rPr>
          <w:rFonts w:hint="cs"/>
          <w:rtl/>
        </w:rPr>
        <w:t>ّ</w:t>
      </w:r>
      <w:r w:rsidRPr="00822CE9">
        <w:rPr>
          <w:rFonts w:hint="cs"/>
          <w:rtl/>
        </w:rPr>
        <w:t>ه كان يشف</w:t>
      </w:r>
      <w:r w:rsidR="00D46E08">
        <w:rPr>
          <w:rFonts w:hint="cs"/>
          <w:rtl/>
        </w:rPr>
        <w:t>ق</w:t>
      </w:r>
      <w:r w:rsidRPr="00822CE9">
        <w:rPr>
          <w:rFonts w:hint="cs"/>
          <w:rtl/>
        </w:rPr>
        <w:t xml:space="preserve"> علي</w:t>
      </w:r>
      <w:r w:rsidR="00D46E08">
        <w:rPr>
          <w:rFonts w:hint="cs"/>
          <w:rtl/>
        </w:rPr>
        <w:t>ّ</w:t>
      </w:r>
      <w:r w:rsidRPr="00822CE9">
        <w:rPr>
          <w:rFonts w:hint="cs"/>
          <w:rtl/>
        </w:rPr>
        <w:t xml:space="preserve"> من حرّ اللقمة، ولا يشفق عليّ من حرّ النار؟ قال: قلت له: كره أن يخبرك فتكفر، فلا يكون له فيك الشفاعة، لا</w:t>
      </w:r>
      <w:r w:rsidR="00D46E08">
        <w:rPr>
          <w:rFonts w:hint="cs"/>
          <w:rtl/>
        </w:rPr>
        <w:t>،</w:t>
      </w:r>
      <w:r w:rsidRPr="00822CE9">
        <w:rPr>
          <w:rFonts w:hint="cs"/>
          <w:rtl/>
        </w:rPr>
        <w:t xml:space="preserve"> ولله فيك المشي</w:t>
      </w:r>
      <w:r w:rsidR="00D46E08">
        <w:rPr>
          <w:rFonts w:hint="cs"/>
          <w:rtl/>
        </w:rPr>
        <w:t>ّ</w:t>
      </w:r>
      <w:r w:rsidRPr="00822CE9">
        <w:rPr>
          <w:rFonts w:hint="cs"/>
          <w:rtl/>
        </w:rPr>
        <w:t>ة، فقال أبو عبد الله</w:t>
      </w:r>
      <w:r w:rsidR="009A1626" w:rsidRPr="00822CE9">
        <w:rPr>
          <w:rFonts w:hint="cs"/>
          <w:rtl/>
        </w:rPr>
        <w:t>×</w:t>
      </w:r>
      <w:r w:rsidRPr="00822CE9">
        <w:rPr>
          <w:rFonts w:hint="cs"/>
          <w:rtl/>
        </w:rPr>
        <w:t>: «أخذته من بين يديه ومن خلفه فما تركت له مخرجاً»</w:t>
      </w:r>
      <w:r w:rsidRPr="000A4159">
        <w:rPr>
          <w:rFonts w:cs="Taher"/>
          <w:vertAlign w:val="superscript"/>
          <w:rtl/>
        </w:rPr>
        <w:t>(</w:t>
      </w:r>
      <w:r w:rsidRPr="000A4159">
        <w:rPr>
          <w:rStyle w:val="FootnoteReference"/>
          <w:rFonts w:cs="Taher"/>
          <w:rtl/>
        </w:rPr>
        <w:footnoteReference w:id="97"/>
      </w:r>
      <w:r w:rsidRPr="000A4159">
        <w:rPr>
          <w:rFonts w:cs="Taher"/>
          <w:vertAlign w:val="superscript"/>
          <w:rtl/>
        </w:rPr>
        <w:t>)</w:t>
      </w:r>
      <w:r w:rsidRPr="00822CE9">
        <w:rPr>
          <w:rtl/>
        </w:rPr>
        <w:t>.</w:t>
      </w:r>
    </w:p>
    <w:p w14:paraId="12465B68" w14:textId="77777777" w:rsidR="00D46E08" w:rsidRPr="00D46E08" w:rsidRDefault="00D46E08" w:rsidP="00D46E08">
      <w:pPr>
        <w:spacing w:line="214" w:lineRule="auto"/>
        <w:rPr>
          <w:b/>
          <w:bCs/>
          <w:rtl/>
        </w:rPr>
      </w:pPr>
      <w:r w:rsidRPr="00D46E08">
        <w:rPr>
          <w:rFonts w:hint="cs"/>
          <w:b/>
          <w:bCs/>
          <w:rtl/>
        </w:rPr>
        <w:t>ومثلها رواية أخرى ذكرها الكشي بعد هذه مباشرةً</w:t>
      </w:r>
      <w:r w:rsidRPr="000A4159">
        <w:rPr>
          <w:rFonts w:cs="Taher"/>
          <w:vertAlign w:val="superscript"/>
          <w:rtl/>
        </w:rPr>
        <w:t>(</w:t>
      </w:r>
      <w:r w:rsidRPr="000A4159">
        <w:rPr>
          <w:rStyle w:val="FootnoteReference"/>
          <w:rFonts w:cs="Taher"/>
          <w:rtl/>
        </w:rPr>
        <w:footnoteReference w:id="98"/>
      </w:r>
      <w:r w:rsidRPr="000A4159">
        <w:rPr>
          <w:rFonts w:cs="Taher"/>
          <w:vertAlign w:val="superscript"/>
          <w:rtl/>
        </w:rPr>
        <w:t>)</w:t>
      </w:r>
      <w:r w:rsidRPr="00D46E08">
        <w:rPr>
          <w:rFonts w:hint="cs"/>
          <w:b/>
          <w:bCs/>
          <w:rtl/>
        </w:rPr>
        <w:t>.</w:t>
      </w:r>
    </w:p>
    <w:p w14:paraId="302D60E0" w14:textId="77777777" w:rsidR="000A4159" w:rsidRPr="00822CE9" w:rsidRDefault="000A4159" w:rsidP="00D46E08">
      <w:pPr>
        <w:spacing w:line="214" w:lineRule="auto"/>
        <w:rPr>
          <w:rtl/>
        </w:rPr>
      </w:pPr>
      <w:r w:rsidRPr="00822CE9">
        <w:rPr>
          <w:rFonts w:hint="cs"/>
          <w:rtl/>
        </w:rPr>
        <w:t>وتشبه ه</w:t>
      </w:r>
      <w:r w:rsidR="00D46E08">
        <w:rPr>
          <w:rFonts w:hint="cs"/>
          <w:rtl/>
        </w:rPr>
        <w:t>ذه الرواية خبر مؤمن الطاق المتق</w:t>
      </w:r>
      <w:r w:rsidRPr="00822CE9">
        <w:rPr>
          <w:rFonts w:hint="cs"/>
          <w:rtl/>
        </w:rPr>
        <w:t>د</w:t>
      </w:r>
      <w:r w:rsidR="00D46E08">
        <w:rPr>
          <w:rFonts w:hint="cs"/>
          <w:rtl/>
        </w:rPr>
        <w:t>ّ</w:t>
      </w:r>
      <w:r w:rsidRPr="00822CE9">
        <w:rPr>
          <w:rFonts w:hint="cs"/>
          <w:rtl/>
        </w:rPr>
        <w:t>م الصحيح السند، غايته تختلف عنه في بعض التفاصيل</w:t>
      </w:r>
      <w:r w:rsidR="00D46E08">
        <w:rPr>
          <w:rFonts w:hint="cs"/>
          <w:rtl/>
        </w:rPr>
        <w:t>،</w:t>
      </w:r>
      <w:r w:rsidRPr="00822CE9">
        <w:rPr>
          <w:rFonts w:hint="cs"/>
          <w:rtl/>
        </w:rPr>
        <w:t xml:space="preserve"> ومن أبرزها نقص</w:t>
      </w:r>
      <w:r w:rsidR="00D46E08">
        <w:rPr>
          <w:rFonts w:hint="cs"/>
          <w:rtl/>
        </w:rPr>
        <w:t>ٌ</w:t>
      </w:r>
      <w:r w:rsidRPr="00822CE9">
        <w:rPr>
          <w:rFonts w:hint="cs"/>
          <w:rtl/>
        </w:rPr>
        <w:t xml:space="preserve"> واضح في الحوار، كما أن</w:t>
      </w:r>
      <w:r w:rsidR="00D46E08">
        <w:rPr>
          <w:rFonts w:hint="cs"/>
          <w:rtl/>
        </w:rPr>
        <w:t>ّ</w:t>
      </w:r>
      <w:r w:rsidRPr="00822CE9">
        <w:rPr>
          <w:rFonts w:hint="cs"/>
          <w:rtl/>
        </w:rPr>
        <w:t xml:space="preserve"> تلك الرواية تشير إلى عدم حضور الصادق مجلس التحاور على عكس هذه الرواية، ودلالة الحديث صار</w:t>
      </w:r>
      <w:r w:rsidR="00D46E08">
        <w:rPr>
          <w:rFonts w:hint="cs"/>
          <w:rtl/>
        </w:rPr>
        <w:t xml:space="preserve"> </w:t>
      </w:r>
      <w:r w:rsidRPr="00822CE9">
        <w:rPr>
          <w:rFonts w:hint="cs"/>
          <w:rtl/>
        </w:rPr>
        <w:t>أمرها واضحاً</w:t>
      </w:r>
      <w:r w:rsidR="00D46E08">
        <w:rPr>
          <w:rFonts w:hint="cs"/>
          <w:rtl/>
        </w:rPr>
        <w:t>،</w:t>
      </w:r>
      <w:r w:rsidRPr="00822CE9">
        <w:rPr>
          <w:rFonts w:hint="cs"/>
          <w:rtl/>
        </w:rPr>
        <w:t xml:space="preserve"> إلا أن</w:t>
      </w:r>
      <w:r w:rsidR="00D46E08">
        <w:rPr>
          <w:rFonts w:hint="cs"/>
          <w:rtl/>
        </w:rPr>
        <w:t>ّ</w:t>
      </w:r>
      <w:r w:rsidRPr="00822CE9">
        <w:rPr>
          <w:rFonts w:hint="cs"/>
          <w:rtl/>
        </w:rPr>
        <w:t xml:space="preserve"> الرواية ضعيفة السند بالإرسال في أحد </w:t>
      </w:r>
      <w:r w:rsidR="00D46E08">
        <w:rPr>
          <w:rFonts w:hint="cs"/>
          <w:rtl/>
        </w:rPr>
        <w:t>طرقها على تقدير، وضعيفة بجهالة إ</w:t>
      </w:r>
      <w:r w:rsidRPr="00822CE9">
        <w:rPr>
          <w:rFonts w:hint="cs"/>
          <w:rtl/>
        </w:rPr>
        <w:t>سحاق بن محم</w:t>
      </w:r>
      <w:r w:rsidR="00D46E08">
        <w:rPr>
          <w:rFonts w:hint="cs"/>
          <w:rtl/>
        </w:rPr>
        <w:t>ّ</w:t>
      </w:r>
      <w:r w:rsidRPr="00822CE9">
        <w:rPr>
          <w:rFonts w:hint="cs"/>
          <w:rtl/>
        </w:rPr>
        <w:t xml:space="preserve">د </w:t>
      </w:r>
      <w:r w:rsidRPr="00822CE9">
        <w:rPr>
          <w:rFonts w:hint="cs"/>
          <w:rtl/>
        </w:rPr>
        <w:lastRenderedPageBreak/>
        <w:t>البصري المتهم بالغلو</w:t>
      </w:r>
      <w:r w:rsidR="00D46E08">
        <w:rPr>
          <w:rFonts w:hint="cs"/>
          <w:rtl/>
        </w:rPr>
        <w:t>ّ</w:t>
      </w:r>
      <w:r w:rsidRPr="000A4159">
        <w:rPr>
          <w:rFonts w:cs="Taher"/>
          <w:vertAlign w:val="superscript"/>
          <w:rtl/>
        </w:rPr>
        <w:t>(</w:t>
      </w:r>
      <w:r w:rsidRPr="000A4159">
        <w:rPr>
          <w:rStyle w:val="FootnoteReference"/>
          <w:rFonts w:cs="Taher"/>
          <w:rtl/>
        </w:rPr>
        <w:footnoteReference w:id="99"/>
      </w:r>
      <w:r w:rsidRPr="000A4159">
        <w:rPr>
          <w:rFonts w:cs="Taher"/>
          <w:vertAlign w:val="superscript"/>
          <w:rtl/>
        </w:rPr>
        <w:t>)</w:t>
      </w:r>
      <w:r w:rsidRPr="00822CE9">
        <w:rPr>
          <w:rtl/>
        </w:rPr>
        <w:t xml:space="preserve">، </w:t>
      </w:r>
      <w:r w:rsidRPr="00822CE9">
        <w:rPr>
          <w:rFonts w:hint="cs"/>
          <w:rtl/>
        </w:rPr>
        <w:t>وجهالة أبي مالك الأحمس</w:t>
      </w:r>
      <w:r w:rsidRPr="000A4159">
        <w:rPr>
          <w:rFonts w:cs="Taher"/>
          <w:vertAlign w:val="superscript"/>
          <w:rtl/>
        </w:rPr>
        <w:t>(</w:t>
      </w:r>
      <w:r w:rsidRPr="000A4159">
        <w:rPr>
          <w:rStyle w:val="FootnoteReference"/>
          <w:rFonts w:cs="Taher"/>
          <w:rtl/>
        </w:rPr>
        <w:footnoteReference w:id="100"/>
      </w:r>
      <w:r w:rsidRPr="000A4159">
        <w:rPr>
          <w:rFonts w:cs="Taher"/>
          <w:vertAlign w:val="superscript"/>
          <w:rtl/>
        </w:rPr>
        <w:t>)</w:t>
      </w:r>
      <w:r w:rsidRPr="00822CE9">
        <w:rPr>
          <w:rtl/>
        </w:rPr>
        <w:t xml:space="preserve">، </w:t>
      </w:r>
      <w:r w:rsidRPr="00822CE9">
        <w:rPr>
          <w:rFonts w:hint="cs"/>
          <w:rtl/>
        </w:rPr>
        <w:t>فالرواية ضعيفة السند في حدّ نفسها.</w:t>
      </w:r>
    </w:p>
    <w:p w14:paraId="57EA3EC6" w14:textId="77777777" w:rsidR="000A4159" w:rsidRPr="00822CE9" w:rsidRDefault="000A4159" w:rsidP="00A47C06">
      <w:pPr>
        <w:pStyle w:val="normal930"/>
        <w:rPr>
          <w:rtl/>
        </w:rPr>
      </w:pPr>
      <w:r w:rsidRPr="0090093D">
        <w:rPr>
          <w:rFonts w:hint="cs"/>
          <w:b/>
          <w:bCs/>
          <w:rtl/>
        </w:rPr>
        <w:t>الرواية السادسة: خبر بك</w:t>
      </w:r>
      <w:r w:rsidR="0090093D">
        <w:rPr>
          <w:rFonts w:hint="cs"/>
          <w:b/>
          <w:bCs/>
          <w:rtl/>
        </w:rPr>
        <w:t>ّ</w:t>
      </w:r>
      <w:r w:rsidRPr="0090093D">
        <w:rPr>
          <w:rFonts w:hint="cs"/>
          <w:b/>
          <w:bCs/>
          <w:rtl/>
        </w:rPr>
        <w:t>ار بن أبي بكر الح</w:t>
      </w:r>
      <w:r w:rsidR="0090093D">
        <w:rPr>
          <w:rFonts w:hint="cs"/>
          <w:b/>
          <w:bCs/>
          <w:rtl/>
        </w:rPr>
        <w:t>َ</w:t>
      </w:r>
      <w:r w:rsidRPr="0090093D">
        <w:rPr>
          <w:rFonts w:hint="cs"/>
          <w:b/>
          <w:bCs/>
          <w:rtl/>
        </w:rPr>
        <w:t>ض</w:t>
      </w:r>
      <w:r w:rsidR="0090093D">
        <w:rPr>
          <w:rFonts w:hint="cs"/>
          <w:b/>
          <w:bCs/>
          <w:rtl/>
        </w:rPr>
        <w:t>ْ</w:t>
      </w:r>
      <w:r w:rsidRPr="0090093D">
        <w:rPr>
          <w:rFonts w:hint="cs"/>
          <w:b/>
          <w:bCs/>
          <w:rtl/>
        </w:rPr>
        <w:t>ر</w:t>
      </w:r>
      <w:r w:rsidR="0090093D">
        <w:rPr>
          <w:rFonts w:hint="cs"/>
          <w:b/>
          <w:bCs/>
          <w:rtl/>
        </w:rPr>
        <w:t>َ</w:t>
      </w:r>
      <w:r w:rsidRPr="0090093D">
        <w:rPr>
          <w:rFonts w:hint="cs"/>
          <w:b/>
          <w:bCs/>
          <w:rtl/>
        </w:rPr>
        <w:t>مي،</w:t>
      </w:r>
      <w:r w:rsidRPr="00822CE9">
        <w:rPr>
          <w:rFonts w:hint="cs"/>
          <w:rtl/>
        </w:rPr>
        <w:t xml:space="preserve"> قال: دخل أبو بكر وع</w:t>
      </w:r>
      <w:r w:rsidR="0090093D">
        <w:rPr>
          <w:rFonts w:hint="cs"/>
          <w:rtl/>
        </w:rPr>
        <w:t>َ</w:t>
      </w:r>
      <w:r w:rsidRPr="00822CE9">
        <w:rPr>
          <w:rFonts w:hint="cs"/>
          <w:rtl/>
        </w:rPr>
        <w:t>ل</w:t>
      </w:r>
      <w:r w:rsidR="0090093D">
        <w:rPr>
          <w:rFonts w:hint="cs"/>
          <w:rtl/>
        </w:rPr>
        <w:t>ْ</w:t>
      </w:r>
      <w:r w:rsidRPr="00822CE9">
        <w:rPr>
          <w:rFonts w:hint="cs"/>
          <w:rtl/>
        </w:rPr>
        <w:t>ق</w:t>
      </w:r>
      <w:r w:rsidR="0090093D">
        <w:rPr>
          <w:rFonts w:hint="cs"/>
          <w:rtl/>
        </w:rPr>
        <w:t>َ</w:t>
      </w:r>
      <w:r w:rsidRPr="00822CE9">
        <w:rPr>
          <w:rFonts w:hint="cs"/>
          <w:rtl/>
        </w:rPr>
        <w:t>مة على زيد بن علي، وكان علقمة أكبر من أبي</w:t>
      </w:r>
      <w:r w:rsidR="0090093D" w:rsidRPr="000A4159">
        <w:rPr>
          <w:rFonts w:cs="Taher"/>
          <w:vertAlign w:val="superscript"/>
          <w:rtl/>
        </w:rPr>
        <w:t>(</w:t>
      </w:r>
      <w:r w:rsidR="0090093D" w:rsidRPr="000A4159">
        <w:rPr>
          <w:rStyle w:val="FootnoteReference"/>
          <w:rFonts w:cs="Taher"/>
          <w:rtl/>
        </w:rPr>
        <w:footnoteReference w:id="101"/>
      </w:r>
      <w:r w:rsidR="0090093D" w:rsidRPr="000A4159">
        <w:rPr>
          <w:rFonts w:cs="Taher"/>
          <w:vertAlign w:val="superscript"/>
          <w:rtl/>
        </w:rPr>
        <w:t>)</w:t>
      </w:r>
      <w:r w:rsidRPr="00822CE9">
        <w:rPr>
          <w:rFonts w:hint="cs"/>
          <w:rtl/>
        </w:rPr>
        <w:t>، فجلس أحدهما عن يمينه والآخر عن يساره، وكان بلغهما أن</w:t>
      </w:r>
      <w:r w:rsidR="0090093D">
        <w:rPr>
          <w:rFonts w:hint="cs"/>
          <w:rtl/>
        </w:rPr>
        <w:t>ّ</w:t>
      </w:r>
      <w:r w:rsidRPr="00822CE9">
        <w:rPr>
          <w:rFonts w:hint="cs"/>
          <w:rtl/>
        </w:rPr>
        <w:t>ه قال: ليس الإمام منّا من أر</w:t>
      </w:r>
      <w:r w:rsidR="0090093D">
        <w:rPr>
          <w:rFonts w:hint="cs"/>
          <w:rtl/>
        </w:rPr>
        <w:t>خى</w:t>
      </w:r>
      <w:r w:rsidRPr="00822CE9">
        <w:rPr>
          <w:rFonts w:hint="cs"/>
          <w:rtl/>
        </w:rPr>
        <w:t xml:space="preserve"> عليه ستره، إن</w:t>
      </w:r>
      <w:r w:rsidR="0090093D">
        <w:rPr>
          <w:rFonts w:hint="cs"/>
          <w:rtl/>
        </w:rPr>
        <w:t>ّ</w:t>
      </w:r>
      <w:r w:rsidRPr="00822CE9">
        <w:rPr>
          <w:rFonts w:hint="cs"/>
          <w:rtl/>
        </w:rPr>
        <w:t>ما الإمام من ش</w:t>
      </w:r>
      <w:r w:rsidR="0090093D">
        <w:rPr>
          <w:rFonts w:hint="cs"/>
          <w:rtl/>
        </w:rPr>
        <w:t>َ</w:t>
      </w:r>
      <w:r w:rsidRPr="00822CE9">
        <w:rPr>
          <w:rFonts w:hint="cs"/>
          <w:rtl/>
        </w:rPr>
        <w:t>ه</w:t>
      </w:r>
      <w:r w:rsidR="0090093D">
        <w:rPr>
          <w:rFonts w:hint="cs"/>
          <w:rtl/>
        </w:rPr>
        <w:t>َ</w:t>
      </w:r>
      <w:r w:rsidRPr="00822CE9">
        <w:rPr>
          <w:rFonts w:hint="cs"/>
          <w:rtl/>
        </w:rPr>
        <w:t>ر سيف</w:t>
      </w:r>
      <w:r w:rsidR="0090093D">
        <w:rPr>
          <w:rFonts w:hint="cs"/>
          <w:rtl/>
        </w:rPr>
        <w:t>َ</w:t>
      </w:r>
      <w:r w:rsidRPr="00822CE9">
        <w:rPr>
          <w:rFonts w:hint="cs"/>
          <w:rtl/>
        </w:rPr>
        <w:t>ه، فقال له أبو بكر وكان أجرأهما: يا أبا الحسين</w:t>
      </w:r>
      <w:r w:rsidR="0090093D">
        <w:rPr>
          <w:rFonts w:hint="cs"/>
          <w:rtl/>
        </w:rPr>
        <w:t>،</w:t>
      </w:r>
      <w:r w:rsidRPr="00822CE9">
        <w:rPr>
          <w:rFonts w:hint="cs"/>
          <w:rtl/>
        </w:rPr>
        <w:t xml:space="preserve"> أخبرني عن علي</w:t>
      </w:r>
      <w:r w:rsidR="0090093D">
        <w:rPr>
          <w:rFonts w:hint="cs"/>
          <w:rtl/>
        </w:rPr>
        <w:t>ّ</w:t>
      </w:r>
      <w:r w:rsidRPr="00822CE9">
        <w:rPr>
          <w:rFonts w:hint="cs"/>
          <w:rtl/>
        </w:rPr>
        <w:t xml:space="preserve"> بن أبي طالب أكان إماماً وهو مر</w:t>
      </w:r>
      <w:r w:rsidR="0090093D">
        <w:rPr>
          <w:rFonts w:hint="cs"/>
          <w:rtl/>
        </w:rPr>
        <w:t>خى</w:t>
      </w:r>
      <w:r w:rsidRPr="00822CE9">
        <w:rPr>
          <w:rFonts w:hint="cs"/>
          <w:rtl/>
        </w:rPr>
        <w:t xml:space="preserve"> عليه ستره أو لم يكن إماماً حتى خرج وشهر سيفه؟</w:t>
      </w:r>
      <w:r w:rsidR="005D43F4" w:rsidRPr="000A4159">
        <w:rPr>
          <w:rFonts w:cs="Taher"/>
          <w:vertAlign w:val="superscript"/>
          <w:rtl/>
        </w:rPr>
        <w:t>(</w:t>
      </w:r>
      <w:r w:rsidR="005D43F4" w:rsidRPr="000A4159">
        <w:rPr>
          <w:rStyle w:val="FootnoteReference"/>
          <w:rFonts w:cs="Taher"/>
          <w:rtl/>
        </w:rPr>
        <w:footnoteReference w:id="102"/>
      </w:r>
      <w:r w:rsidR="005D43F4" w:rsidRPr="000A4159">
        <w:rPr>
          <w:rFonts w:cs="Taher"/>
          <w:vertAlign w:val="superscript"/>
          <w:rtl/>
        </w:rPr>
        <w:t>)</w:t>
      </w:r>
      <w:r w:rsidRPr="00822CE9">
        <w:rPr>
          <w:rFonts w:hint="cs"/>
          <w:rtl/>
        </w:rPr>
        <w:t xml:space="preserve"> قال: وكان زيد تبصّر الكلام</w:t>
      </w:r>
      <w:r w:rsidR="0090093D" w:rsidRPr="000A4159">
        <w:rPr>
          <w:rFonts w:cs="Taher"/>
          <w:vertAlign w:val="superscript"/>
          <w:rtl/>
        </w:rPr>
        <w:t>(</w:t>
      </w:r>
      <w:r w:rsidR="0090093D" w:rsidRPr="000A4159">
        <w:rPr>
          <w:rStyle w:val="FootnoteReference"/>
          <w:rFonts w:cs="Taher"/>
          <w:rtl/>
        </w:rPr>
        <w:footnoteReference w:id="103"/>
      </w:r>
      <w:r w:rsidR="0090093D" w:rsidRPr="000A4159">
        <w:rPr>
          <w:rFonts w:cs="Taher"/>
          <w:vertAlign w:val="superscript"/>
          <w:rtl/>
        </w:rPr>
        <w:t>)</w:t>
      </w:r>
      <w:r w:rsidRPr="00822CE9">
        <w:rPr>
          <w:rFonts w:hint="cs"/>
          <w:rtl/>
        </w:rPr>
        <w:t>، قال: فسكت فلم يجبه، فردّ عليه الكلام ثلاث مرات، كل</w:t>
      </w:r>
      <w:r w:rsidR="000C2208">
        <w:rPr>
          <w:rFonts w:hint="cs"/>
          <w:rtl/>
        </w:rPr>
        <w:t>ّ</w:t>
      </w:r>
      <w:r w:rsidRPr="00822CE9">
        <w:rPr>
          <w:rFonts w:hint="cs"/>
          <w:rtl/>
        </w:rPr>
        <w:t xml:space="preserve"> ذلك لا يجيبه بشيء، فقال له أبو بكر: إن كان علي</w:t>
      </w:r>
      <w:r w:rsidR="000C2208">
        <w:rPr>
          <w:rFonts w:hint="cs"/>
          <w:rtl/>
        </w:rPr>
        <w:t>ّ</w:t>
      </w:r>
      <w:r w:rsidRPr="00822CE9">
        <w:rPr>
          <w:rFonts w:hint="cs"/>
          <w:rtl/>
        </w:rPr>
        <w:t xml:space="preserve"> بن أبي طالب </w:t>
      </w:r>
      <w:r w:rsidRPr="00822CE9">
        <w:rPr>
          <w:rFonts w:hint="cs"/>
          <w:rtl/>
        </w:rPr>
        <w:lastRenderedPageBreak/>
        <w:t>إماماً فقد</w:t>
      </w:r>
      <w:r w:rsidR="000C2208">
        <w:rPr>
          <w:rFonts w:hint="cs"/>
          <w:rtl/>
        </w:rPr>
        <w:t xml:space="preserve"> يجوز أ</w:t>
      </w:r>
      <w:r w:rsidRPr="00822CE9">
        <w:rPr>
          <w:rFonts w:hint="cs"/>
          <w:rtl/>
        </w:rPr>
        <w:t>ن يكون بعد</w:t>
      </w:r>
      <w:r w:rsidR="000C2208">
        <w:rPr>
          <w:rFonts w:hint="cs"/>
          <w:rtl/>
        </w:rPr>
        <w:t>َ</w:t>
      </w:r>
      <w:r w:rsidRPr="00822CE9">
        <w:rPr>
          <w:rFonts w:hint="cs"/>
          <w:rtl/>
        </w:rPr>
        <w:t>ه إمام</w:t>
      </w:r>
      <w:r w:rsidR="000C2208">
        <w:rPr>
          <w:rFonts w:hint="cs"/>
          <w:rtl/>
        </w:rPr>
        <w:t>ٌ</w:t>
      </w:r>
      <w:r w:rsidRPr="00822CE9">
        <w:rPr>
          <w:rFonts w:hint="cs"/>
          <w:rtl/>
        </w:rPr>
        <w:t xml:space="preserve"> مر</w:t>
      </w:r>
      <w:r w:rsidR="000C2208">
        <w:rPr>
          <w:rFonts w:hint="cs"/>
          <w:rtl/>
        </w:rPr>
        <w:t>خ</w:t>
      </w:r>
      <w:r w:rsidRPr="00822CE9">
        <w:rPr>
          <w:rFonts w:hint="cs"/>
          <w:rtl/>
        </w:rPr>
        <w:t>ى عليه ستره، وإن كان علي لم يكن إماماً وهو مر</w:t>
      </w:r>
      <w:r w:rsidR="000C2208">
        <w:rPr>
          <w:rFonts w:hint="cs"/>
          <w:rtl/>
        </w:rPr>
        <w:t>خى</w:t>
      </w:r>
      <w:r w:rsidRPr="00822CE9">
        <w:rPr>
          <w:rFonts w:hint="cs"/>
          <w:rtl/>
        </w:rPr>
        <w:t xml:space="preserve"> عليه ستره فأنت ما جاء به</w:t>
      </w:r>
      <w:r w:rsidR="00165A76">
        <w:rPr>
          <w:rFonts w:hint="cs"/>
          <w:rtl/>
        </w:rPr>
        <w:t xml:space="preserve"> (بك)</w:t>
      </w:r>
      <w:r w:rsidRPr="00822CE9">
        <w:rPr>
          <w:rFonts w:hint="cs"/>
          <w:rtl/>
        </w:rPr>
        <w:t xml:space="preserve"> هيهنا</w:t>
      </w:r>
      <w:r w:rsidR="000C2208">
        <w:rPr>
          <w:rFonts w:hint="cs"/>
          <w:rtl/>
        </w:rPr>
        <w:t>؟!</w:t>
      </w:r>
      <w:r w:rsidRPr="00822CE9">
        <w:rPr>
          <w:rFonts w:hint="cs"/>
          <w:rtl/>
        </w:rPr>
        <w:t xml:space="preserve"> قال: فطلب إلى علقمة أن يكفّ عنه، فكفّ</w:t>
      </w:r>
      <w:r w:rsidRPr="000A4159">
        <w:rPr>
          <w:rFonts w:cs="Taher"/>
          <w:vertAlign w:val="superscript"/>
          <w:rtl/>
        </w:rPr>
        <w:t>(</w:t>
      </w:r>
      <w:r w:rsidRPr="000A4159">
        <w:rPr>
          <w:rStyle w:val="FootnoteReference"/>
          <w:rFonts w:cs="Taher"/>
          <w:rtl/>
        </w:rPr>
        <w:footnoteReference w:id="104"/>
      </w:r>
      <w:r w:rsidRPr="000A4159">
        <w:rPr>
          <w:rFonts w:cs="Taher"/>
          <w:vertAlign w:val="superscript"/>
          <w:rtl/>
        </w:rPr>
        <w:t>)</w:t>
      </w:r>
      <w:r w:rsidRPr="00822CE9">
        <w:rPr>
          <w:rtl/>
        </w:rPr>
        <w:t>.</w:t>
      </w:r>
    </w:p>
    <w:p w14:paraId="5077241F" w14:textId="77777777" w:rsidR="000A4159" w:rsidRPr="00822CE9" w:rsidRDefault="000A4159" w:rsidP="00A47C06">
      <w:pPr>
        <w:pStyle w:val="normal930"/>
        <w:rPr>
          <w:rtl/>
        </w:rPr>
      </w:pPr>
      <w:r w:rsidRPr="00822CE9">
        <w:rPr>
          <w:rFonts w:hint="cs"/>
          <w:rtl/>
        </w:rPr>
        <w:t xml:space="preserve">والرواية </w:t>
      </w:r>
      <w:r w:rsidR="000C2208">
        <w:rPr>
          <w:rFonts w:hint="cs"/>
          <w:rtl/>
        </w:rPr>
        <w:t xml:space="preserve">ـ </w:t>
      </w:r>
      <w:r w:rsidRPr="00822CE9">
        <w:rPr>
          <w:rFonts w:hint="cs"/>
          <w:rtl/>
        </w:rPr>
        <w:t xml:space="preserve">كيفما كانت </w:t>
      </w:r>
      <w:r w:rsidR="000C2208">
        <w:rPr>
          <w:rFonts w:hint="cs"/>
          <w:rtl/>
        </w:rPr>
        <w:t xml:space="preserve">ـ </w:t>
      </w:r>
      <w:r w:rsidRPr="00822CE9">
        <w:rPr>
          <w:rFonts w:hint="cs"/>
          <w:rtl/>
        </w:rPr>
        <w:t>لا دلالة لها على موقف أهل البيت</w:t>
      </w:r>
      <w:r w:rsidR="000C2208">
        <w:rPr>
          <w:rFonts w:hint="cs"/>
          <w:rtl/>
        </w:rPr>
        <w:t>؛</w:t>
      </w:r>
      <w:r w:rsidRPr="00822CE9">
        <w:rPr>
          <w:rFonts w:hint="cs"/>
          <w:rtl/>
        </w:rPr>
        <w:t xml:space="preserve"> إذ لم يرد فيها ذكر </w:t>
      </w:r>
      <w:r w:rsidR="000C2208">
        <w:rPr>
          <w:rFonts w:hint="cs"/>
          <w:rtl/>
        </w:rPr>
        <w:t>أحد منهم</w:t>
      </w:r>
      <w:r w:rsidRPr="00822CE9">
        <w:rPr>
          <w:rFonts w:hint="cs"/>
          <w:rtl/>
        </w:rPr>
        <w:t xml:space="preserve"> أساساً، فضلاً عن أن</w:t>
      </w:r>
      <w:r w:rsidR="000C2208">
        <w:rPr>
          <w:rFonts w:hint="cs"/>
          <w:rtl/>
        </w:rPr>
        <w:t>ّ</w:t>
      </w:r>
      <w:r w:rsidRPr="00822CE9">
        <w:rPr>
          <w:rFonts w:hint="cs"/>
          <w:rtl/>
        </w:rPr>
        <w:t>ها ضعيفة</w:t>
      </w:r>
      <w:r w:rsidR="000C2208">
        <w:rPr>
          <w:rFonts w:hint="cs"/>
          <w:rtl/>
        </w:rPr>
        <w:t xml:space="preserve"> السند؛</w:t>
      </w:r>
      <w:r w:rsidRPr="00822CE9">
        <w:rPr>
          <w:rFonts w:hint="cs"/>
          <w:rtl/>
        </w:rPr>
        <w:t xml:space="preserve"> فمحمد بن جمهور من الغلاة الضعفاء جداً</w:t>
      </w:r>
      <w:r w:rsidRPr="00822CE9">
        <w:rPr>
          <w:rtl/>
        </w:rPr>
        <w:t xml:space="preserve">، </w:t>
      </w:r>
      <w:r w:rsidRPr="00822CE9">
        <w:rPr>
          <w:rFonts w:hint="cs"/>
          <w:rtl/>
        </w:rPr>
        <w:t>كما أن</w:t>
      </w:r>
      <w:r w:rsidR="000C2208">
        <w:rPr>
          <w:rFonts w:hint="cs"/>
          <w:rtl/>
        </w:rPr>
        <w:t>ّ</w:t>
      </w:r>
      <w:r w:rsidRPr="00822CE9">
        <w:rPr>
          <w:rFonts w:hint="cs"/>
          <w:rtl/>
        </w:rPr>
        <w:t xml:space="preserve"> بك</w:t>
      </w:r>
      <w:r w:rsidR="000C2208">
        <w:rPr>
          <w:rFonts w:hint="cs"/>
          <w:rtl/>
        </w:rPr>
        <w:t>ّ</w:t>
      </w:r>
      <w:r w:rsidRPr="00822CE9">
        <w:rPr>
          <w:rFonts w:hint="cs"/>
          <w:rtl/>
        </w:rPr>
        <w:t>ار بن أبي بكر الحضرمي رجل</w:t>
      </w:r>
      <w:r w:rsidR="000C2208">
        <w:rPr>
          <w:rFonts w:hint="cs"/>
          <w:rtl/>
        </w:rPr>
        <w:t>ٌ</w:t>
      </w:r>
      <w:r w:rsidRPr="00822CE9">
        <w:rPr>
          <w:rFonts w:hint="cs"/>
          <w:rtl/>
        </w:rPr>
        <w:t xml:space="preserve"> مجهول</w:t>
      </w:r>
      <w:r w:rsidR="000C2208" w:rsidRPr="000A4159">
        <w:rPr>
          <w:rFonts w:cs="Taher"/>
          <w:vertAlign w:val="superscript"/>
          <w:rtl/>
        </w:rPr>
        <w:t>(</w:t>
      </w:r>
      <w:r w:rsidR="000C2208" w:rsidRPr="000A4159">
        <w:rPr>
          <w:rStyle w:val="FootnoteReference"/>
          <w:rFonts w:cs="Taher"/>
          <w:rtl/>
        </w:rPr>
        <w:footnoteReference w:id="105"/>
      </w:r>
      <w:r w:rsidR="000C2208" w:rsidRPr="000A4159">
        <w:rPr>
          <w:rFonts w:cs="Taher"/>
          <w:vertAlign w:val="superscript"/>
          <w:rtl/>
        </w:rPr>
        <w:t>)</w:t>
      </w:r>
      <w:r w:rsidRPr="00822CE9">
        <w:rPr>
          <w:rtl/>
        </w:rPr>
        <w:t>.</w:t>
      </w:r>
    </w:p>
    <w:p w14:paraId="05B18C36" w14:textId="77777777" w:rsidR="000A4159" w:rsidRPr="00822CE9" w:rsidRDefault="000A4159" w:rsidP="00A47C06">
      <w:pPr>
        <w:pStyle w:val="normal84"/>
        <w:rPr>
          <w:rtl/>
        </w:rPr>
      </w:pPr>
      <w:r w:rsidRPr="000C2208">
        <w:rPr>
          <w:rFonts w:hint="cs"/>
          <w:b/>
          <w:bCs/>
          <w:rtl/>
        </w:rPr>
        <w:t>الرواية السابعة: خبر أبي الصباح الك</w:t>
      </w:r>
      <w:r w:rsidR="000C2208">
        <w:rPr>
          <w:rFonts w:hint="cs"/>
          <w:b/>
          <w:bCs/>
          <w:rtl/>
        </w:rPr>
        <w:t>ِ</w:t>
      </w:r>
      <w:r w:rsidRPr="000C2208">
        <w:rPr>
          <w:rFonts w:hint="cs"/>
          <w:b/>
          <w:bCs/>
          <w:rtl/>
        </w:rPr>
        <w:t>ناني</w:t>
      </w:r>
      <w:r w:rsidR="000C2208">
        <w:rPr>
          <w:rFonts w:hint="cs"/>
          <w:rtl/>
        </w:rPr>
        <w:t>،</w:t>
      </w:r>
      <w:r w:rsidRPr="00822CE9">
        <w:rPr>
          <w:rFonts w:hint="cs"/>
          <w:rtl/>
        </w:rPr>
        <w:t xml:space="preserve"> قال: جاء</w:t>
      </w:r>
      <w:r w:rsidR="000C2208">
        <w:rPr>
          <w:rFonts w:hint="cs"/>
          <w:rtl/>
        </w:rPr>
        <w:t>ني</w:t>
      </w:r>
      <w:r w:rsidRPr="00822CE9">
        <w:rPr>
          <w:rFonts w:hint="cs"/>
          <w:rtl/>
        </w:rPr>
        <w:t xml:space="preserve"> س</w:t>
      </w:r>
      <w:r w:rsidR="000C2208">
        <w:rPr>
          <w:rFonts w:hint="cs"/>
          <w:rtl/>
        </w:rPr>
        <w:t>َ</w:t>
      </w:r>
      <w:r w:rsidRPr="00822CE9">
        <w:rPr>
          <w:rFonts w:hint="cs"/>
          <w:rtl/>
        </w:rPr>
        <w:t xml:space="preserve">دير، فقال: </w:t>
      </w:r>
      <w:r w:rsidR="000C2208">
        <w:rPr>
          <w:rFonts w:hint="cs"/>
          <w:rtl/>
        </w:rPr>
        <w:t>لي: إنّ زيداً تبرّأ منك، قال: فأ</w:t>
      </w:r>
      <w:r w:rsidRPr="00822CE9">
        <w:rPr>
          <w:rFonts w:hint="cs"/>
          <w:rtl/>
        </w:rPr>
        <w:t>خذت</w:t>
      </w:r>
      <w:r w:rsidR="00D907A2">
        <w:rPr>
          <w:rFonts w:hint="cs"/>
          <w:rtl/>
        </w:rPr>
        <w:t>ُ</w:t>
      </w:r>
      <w:r w:rsidRPr="00822CE9">
        <w:rPr>
          <w:rFonts w:hint="cs"/>
          <w:rtl/>
        </w:rPr>
        <w:t xml:space="preserve"> عليّ ثيابي، قال: وكان أبو الصباح رجلاً ضارياً</w:t>
      </w:r>
      <w:r w:rsidR="00D907A2" w:rsidRPr="000A4159">
        <w:rPr>
          <w:rFonts w:cs="Taher"/>
          <w:vertAlign w:val="superscript"/>
          <w:rtl/>
        </w:rPr>
        <w:t>(</w:t>
      </w:r>
      <w:r w:rsidR="00D907A2" w:rsidRPr="000A4159">
        <w:rPr>
          <w:rStyle w:val="FootnoteReference"/>
          <w:rFonts w:cs="Taher"/>
          <w:rtl/>
        </w:rPr>
        <w:footnoteReference w:id="106"/>
      </w:r>
      <w:r w:rsidR="00D907A2" w:rsidRPr="000A4159">
        <w:rPr>
          <w:rFonts w:cs="Taher"/>
          <w:vertAlign w:val="superscript"/>
          <w:rtl/>
        </w:rPr>
        <w:t>)</w:t>
      </w:r>
      <w:r w:rsidRPr="00822CE9">
        <w:rPr>
          <w:rFonts w:hint="cs"/>
          <w:rtl/>
        </w:rPr>
        <w:t>، قال: فأتيته فدخلت عليه وسلّمت عليه، فقلت له: يا أبا الحسين</w:t>
      </w:r>
      <w:r w:rsidR="00D907A2">
        <w:rPr>
          <w:rFonts w:hint="cs"/>
          <w:rtl/>
        </w:rPr>
        <w:t>،</w:t>
      </w:r>
      <w:r w:rsidRPr="00822CE9">
        <w:rPr>
          <w:rFonts w:hint="cs"/>
          <w:rtl/>
        </w:rPr>
        <w:t xml:space="preserve"> بلغني أن</w:t>
      </w:r>
      <w:r w:rsidR="00D907A2">
        <w:rPr>
          <w:rFonts w:hint="cs"/>
          <w:rtl/>
        </w:rPr>
        <w:t>ّ</w:t>
      </w:r>
      <w:r w:rsidRPr="00822CE9">
        <w:rPr>
          <w:rFonts w:hint="cs"/>
          <w:rtl/>
        </w:rPr>
        <w:t>ك قلت: الأئم</w:t>
      </w:r>
      <w:r w:rsidR="00D907A2">
        <w:rPr>
          <w:rFonts w:hint="cs"/>
          <w:rtl/>
        </w:rPr>
        <w:t>ّ</w:t>
      </w:r>
      <w:r w:rsidRPr="00822CE9">
        <w:rPr>
          <w:rFonts w:hint="cs"/>
          <w:rtl/>
        </w:rPr>
        <w:t>ة أربعة</w:t>
      </w:r>
      <w:r w:rsidR="00D907A2">
        <w:rPr>
          <w:rFonts w:hint="cs"/>
          <w:rtl/>
        </w:rPr>
        <w:t>،</w:t>
      </w:r>
      <w:r w:rsidRPr="00822CE9">
        <w:rPr>
          <w:rFonts w:hint="cs"/>
          <w:rtl/>
        </w:rPr>
        <w:t xml:space="preserve"> ثلاثة مضوا، والرابع هو القائم</w:t>
      </w:r>
      <w:r w:rsidR="00D907A2" w:rsidRPr="000A4159">
        <w:rPr>
          <w:rFonts w:cs="Taher"/>
          <w:vertAlign w:val="superscript"/>
          <w:rtl/>
        </w:rPr>
        <w:t>(</w:t>
      </w:r>
      <w:r w:rsidR="00D907A2" w:rsidRPr="000A4159">
        <w:rPr>
          <w:rStyle w:val="FootnoteReference"/>
          <w:rFonts w:cs="Taher"/>
          <w:rtl/>
        </w:rPr>
        <w:footnoteReference w:id="107"/>
      </w:r>
      <w:r w:rsidR="00D907A2" w:rsidRPr="000A4159">
        <w:rPr>
          <w:rFonts w:cs="Taher"/>
          <w:vertAlign w:val="superscript"/>
          <w:rtl/>
        </w:rPr>
        <w:t>)</w:t>
      </w:r>
      <w:r w:rsidRPr="00822CE9">
        <w:rPr>
          <w:rFonts w:hint="cs"/>
          <w:rtl/>
        </w:rPr>
        <w:t>، قال زيد: هكذا قلت، قال: فقلت لزيد: هل تذكر قولك لي في المدينة في حياة أبي جعفر</w:t>
      </w:r>
      <w:r w:rsidR="009A1626" w:rsidRPr="00822CE9">
        <w:rPr>
          <w:rFonts w:hint="cs"/>
          <w:rtl/>
        </w:rPr>
        <w:t>×</w:t>
      </w:r>
      <w:r w:rsidRPr="00822CE9">
        <w:rPr>
          <w:rFonts w:hint="cs"/>
          <w:rtl/>
        </w:rPr>
        <w:t>، وأنت تقول: إن</w:t>
      </w:r>
      <w:r w:rsidR="00D907A2">
        <w:rPr>
          <w:rFonts w:hint="cs"/>
          <w:rtl/>
        </w:rPr>
        <w:t>ّ</w:t>
      </w:r>
      <w:r w:rsidRPr="00822CE9">
        <w:rPr>
          <w:rFonts w:hint="cs"/>
          <w:rtl/>
        </w:rPr>
        <w:t xml:space="preserve"> الله تعالى قضى في كتابه أن </w:t>
      </w:r>
      <w:r w:rsidR="00D907A2">
        <w:rPr>
          <w:rFonts w:hint="eastAsia"/>
          <w:rtl/>
        </w:rPr>
        <w:t>«</w:t>
      </w:r>
      <w:r w:rsidRPr="00822CE9">
        <w:rPr>
          <w:rFonts w:hint="cs"/>
          <w:rtl/>
        </w:rPr>
        <w:t>من قتل مظلوماً فقد جعل</w:t>
      </w:r>
      <w:r w:rsidR="00D907A2">
        <w:rPr>
          <w:rFonts w:hint="cs"/>
          <w:rtl/>
        </w:rPr>
        <w:t>نا</w:t>
      </w:r>
      <w:r w:rsidRPr="00822CE9">
        <w:rPr>
          <w:rFonts w:hint="cs"/>
          <w:rtl/>
        </w:rPr>
        <w:t xml:space="preserve"> لوليّه سلطاناً»، وإن</w:t>
      </w:r>
      <w:r w:rsidR="00D907A2">
        <w:rPr>
          <w:rFonts w:hint="cs"/>
          <w:rtl/>
        </w:rPr>
        <w:t>ّ</w:t>
      </w:r>
      <w:r w:rsidRPr="00822CE9">
        <w:rPr>
          <w:rFonts w:hint="cs"/>
          <w:rtl/>
        </w:rPr>
        <w:t>ما الأئم</w:t>
      </w:r>
      <w:r w:rsidR="00D907A2">
        <w:rPr>
          <w:rFonts w:hint="cs"/>
          <w:rtl/>
        </w:rPr>
        <w:t>ّ</w:t>
      </w:r>
      <w:r w:rsidRPr="00822CE9">
        <w:rPr>
          <w:rFonts w:hint="cs"/>
          <w:rtl/>
        </w:rPr>
        <w:t>ة ولاة الدم وأهل الباب، وهذا أبو جعفر الإمام، فإن حدث به حدث فإن</w:t>
      </w:r>
      <w:r w:rsidR="00D907A2">
        <w:rPr>
          <w:rFonts w:hint="cs"/>
          <w:rtl/>
        </w:rPr>
        <w:t>ّ</w:t>
      </w:r>
      <w:r w:rsidRPr="00822CE9">
        <w:rPr>
          <w:rFonts w:hint="cs"/>
          <w:rtl/>
        </w:rPr>
        <w:t xml:space="preserve"> فينا خلفاً</w:t>
      </w:r>
      <w:r w:rsidR="00373759" w:rsidRPr="000A4159">
        <w:rPr>
          <w:rFonts w:cs="Taher"/>
          <w:vertAlign w:val="superscript"/>
          <w:rtl/>
        </w:rPr>
        <w:t>(</w:t>
      </w:r>
      <w:r w:rsidR="00373759" w:rsidRPr="000A4159">
        <w:rPr>
          <w:rStyle w:val="FootnoteReference"/>
          <w:rFonts w:cs="Taher"/>
          <w:rtl/>
        </w:rPr>
        <w:footnoteReference w:id="108"/>
      </w:r>
      <w:r w:rsidR="00373759" w:rsidRPr="000A4159">
        <w:rPr>
          <w:rFonts w:cs="Taher"/>
          <w:vertAlign w:val="superscript"/>
          <w:rtl/>
        </w:rPr>
        <w:t>)</w:t>
      </w:r>
      <w:r w:rsidR="00373759">
        <w:rPr>
          <w:rFonts w:hint="cs"/>
          <w:rtl/>
        </w:rPr>
        <w:t>.</w:t>
      </w:r>
      <w:r w:rsidRPr="00822CE9">
        <w:rPr>
          <w:rFonts w:hint="cs"/>
          <w:rtl/>
        </w:rPr>
        <w:t xml:space="preserve"> وقال: كان يسمع منّي خطب أمير المؤمنين</w:t>
      </w:r>
      <w:r w:rsidR="009A1626" w:rsidRPr="00822CE9">
        <w:rPr>
          <w:rFonts w:hint="cs"/>
          <w:rtl/>
        </w:rPr>
        <w:t>×</w:t>
      </w:r>
      <w:r w:rsidR="00D907A2">
        <w:rPr>
          <w:rFonts w:hint="cs"/>
          <w:rtl/>
        </w:rPr>
        <w:t xml:space="preserve"> وأ</w:t>
      </w:r>
      <w:r w:rsidRPr="00822CE9">
        <w:rPr>
          <w:rFonts w:hint="cs"/>
          <w:rtl/>
        </w:rPr>
        <w:t>نا أقول: فلا تعلّموهم فهم أعلم منكم، فقال لي: أما تذكر هذا القول؟ فقلت</w:t>
      </w:r>
      <w:r w:rsidR="00D907A2">
        <w:rPr>
          <w:rFonts w:hint="cs"/>
          <w:rtl/>
        </w:rPr>
        <w:t>:</w:t>
      </w:r>
      <w:r w:rsidRPr="00822CE9">
        <w:rPr>
          <w:rFonts w:hint="cs"/>
          <w:rtl/>
        </w:rPr>
        <w:t xml:space="preserve"> </w:t>
      </w:r>
      <w:r w:rsidR="00D907A2">
        <w:rPr>
          <w:rFonts w:hint="cs"/>
          <w:rtl/>
        </w:rPr>
        <w:t>ب</w:t>
      </w:r>
      <w:r w:rsidRPr="00822CE9">
        <w:rPr>
          <w:rFonts w:hint="cs"/>
          <w:rtl/>
        </w:rPr>
        <w:t>لي فإن</w:t>
      </w:r>
      <w:r w:rsidR="00D907A2">
        <w:rPr>
          <w:rFonts w:hint="cs"/>
          <w:rtl/>
        </w:rPr>
        <w:t>ّ</w:t>
      </w:r>
      <w:r w:rsidRPr="00822CE9">
        <w:rPr>
          <w:rFonts w:hint="cs"/>
          <w:rtl/>
        </w:rPr>
        <w:t xml:space="preserve"> منكم من هو كذلك، قال: ثم</w:t>
      </w:r>
      <w:r w:rsidR="00D907A2">
        <w:rPr>
          <w:rFonts w:hint="cs"/>
          <w:rtl/>
        </w:rPr>
        <w:t>ّ</w:t>
      </w:r>
      <w:r w:rsidRPr="00822CE9">
        <w:rPr>
          <w:rFonts w:hint="cs"/>
          <w:rtl/>
        </w:rPr>
        <w:t xml:space="preserve"> خرجت من عنده فتهي</w:t>
      </w:r>
      <w:r w:rsidR="00D907A2">
        <w:rPr>
          <w:rFonts w:hint="cs"/>
          <w:rtl/>
        </w:rPr>
        <w:t>ّ</w:t>
      </w:r>
      <w:r w:rsidRPr="00822CE9">
        <w:rPr>
          <w:rFonts w:hint="cs"/>
          <w:rtl/>
        </w:rPr>
        <w:t>أت وهي</w:t>
      </w:r>
      <w:r w:rsidR="00D907A2">
        <w:rPr>
          <w:rFonts w:hint="cs"/>
          <w:rtl/>
        </w:rPr>
        <w:t>ّ</w:t>
      </w:r>
      <w:r w:rsidRPr="00822CE9">
        <w:rPr>
          <w:rFonts w:hint="cs"/>
          <w:rtl/>
        </w:rPr>
        <w:t>أت راحلة</w:t>
      </w:r>
      <w:r w:rsidR="00D907A2">
        <w:rPr>
          <w:rFonts w:hint="cs"/>
          <w:rtl/>
        </w:rPr>
        <w:t>ً</w:t>
      </w:r>
      <w:r w:rsidRPr="00822CE9">
        <w:rPr>
          <w:rFonts w:hint="cs"/>
          <w:rtl/>
        </w:rPr>
        <w:t xml:space="preserve"> ومضيت إلى أبي عبد الله</w:t>
      </w:r>
      <w:r w:rsidR="009A1626" w:rsidRPr="00822CE9">
        <w:rPr>
          <w:rFonts w:hint="cs"/>
          <w:rtl/>
        </w:rPr>
        <w:t>×</w:t>
      </w:r>
      <w:r w:rsidRPr="00822CE9">
        <w:rPr>
          <w:rFonts w:hint="cs"/>
          <w:rtl/>
        </w:rPr>
        <w:t xml:space="preserve"> ودخلت عليه، وقصصت عليه ما جرى بيني وبين زيد، فقال: </w:t>
      </w:r>
      <w:r w:rsidR="00D907A2">
        <w:rPr>
          <w:rFonts w:hint="eastAsia"/>
          <w:rtl/>
        </w:rPr>
        <w:t>«</w:t>
      </w:r>
      <w:r w:rsidRPr="00822CE9">
        <w:rPr>
          <w:rFonts w:hint="cs"/>
          <w:rtl/>
        </w:rPr>
        <w:t>رأيت لو أن</w:t>
      </w:r>
      <w:r w:rsidR="00D907A2">
        <w:rPr>
          <w:rFonts w:hint="cs"/>
          <w:rtl/>
        </w:rPr>
        <w:t>ّ</w:t>
      </w:r>
      <w:r w:rsidRPr="00822CE9">
        <w:rPr>
          <w:rFonts w:hint="cs"/>
          <w:rtl/>
        </w:rPr>
        <w:t xml:space="preserve"> الله تعالى ابتلى زيداً، فخرج منّا سيفان آخران، بأيّ </w:t>
      </w:r>
      <w:r w:rsidRPr="00822CE9">
        <w:rPr>
          <w:rFonts w:hint="cs"/>
          <w:rtl/>
        </w:rPr>
        <w:lastRenderedPageBreak/>
        <w:t>شيء يعرف أي</w:t>
      </w:r>
      <w:r w:rsidR="00D907A2">
        <w:rPr>
          <w:rFonts w:hint="cs"/>
          <w:rtl/>
        </w:rPr>
        <w:t>ّ</w:t>
      </w:r>
      <w:r w:rsidRPr="00822CE9">
        <w:rPr>
          <w:rFonts w:hint="cs"/>
          <w:rtl/>
        </w:rPr>
        <w:t xml:space="preserve"> السيوف سيف الحق؟</w:t>
      </w:r>
      <w:r w:rsidR="00373759" w:rsidRPr="000A4159">
        <w:rPr>
          <w:rFonts w:cs="Taher"/>
          <w:vertAlign w:val="superscript"/>
          <w:rtl/>
        </w:rPr>
        <w:t>(</w:t>
      </w:r>
      <w:r w:rsidR="00373759" w:rsidRPr="000A4159">
        <w:rPr>
          <w:rStyle w:val="FootnoteReference"/>
          <w:rFonts w:cs="Taher"/>
          <w:rtl/>
        </w:rPr>
        <w:footnoteReference w:id="109"/>
      </w:r>
      <w:r w:rsidR="00373759" w:rsidRPr="000A4159">
        <w:rPr>
          <w:rFonts w:cs="Taher"/>
          <w:vertAlign w:val="superscript"/>
          <w:rtl/>
        </w:rPr>
        <w:t>)</w:t>
      </w:r>
      <w:r w:rsidRPr="00822CE9">
        <w:rPr>
          <w:rFonts w:hint="cs"/>
          <w:rtl/>
        </w:rPr>
        <w:t xml:space="preserve"> والله ما هو كما قال، لئن خرج ليقت</w:t>
      </w:r>
      <w:r w:rsidR="00D907A2">
        <w:rPr>
          <w:rFonts w:hint="cs"/>
          <w:rtl/>
        </w:rPr>
        <w:t>َ</w:t>
      </w:r>
      <w:r w:rsidRPr="00822CE9">
        <w:rPr>
          <w:rFonts w:hint="cs"/>
          <w:rtl/>
        </w:rPr>
        <w:t>ل</w:t>
      </w:r>
      <w:r w:rsidR="00D907A2">
        <w:rPr>
          <w:rFonts w:hint="cs"/>
          <w:rtl/>
        </w:rPr>
        <w:t>َ</w:t>
      </w:r>
      <w:r w:rsidRPr="00822CE9">
        <w:rPr>
          <w:rFonts w:hint="cs"/>
          <w:rtl/>
        </w:rPr>
        <w:t>ن»، قال: فرجعت فانتهيت إلى القادسية فاستقبلني الخبر بقتله رحمه الله</w:t>
      </w:r>
      <w:r w:rsidRPr="000A4159">
        <w:rPr>
          <w:rFonts w:cs="Taher"/>
          <w:vertAlign w:val="superscript"/>
          <w:rtl/>
        </w:rPr>
        <w:t>(</w:t>
      </w:r>
      <w:r w:rsidRPr="000A4159">
        <w:rPr>
          <w:rStyle w:val="FootnoteReference"/>
          <w:rFonts w:cs="Taher"/>
          <w:rtl/>
        </w:rPr>
        <w:footnoteReference w:id="110"/>
      </w:r>
      <w:r w:rsidRPr="000A4159">
        <w:rPr>
          <w:rFonts w:cs="Taher"/>
          <w:vertAlign w:val="superscript"/>
          <w:rtl/>
        </w:rPr>
        <w:t>)</w:t>
      </w:r>
      <w:r w:rsidRPr="00822CE9">
        <w:rPr>
          <w:rtl/>
        </w:rPr>
        <w:t>.</w:t>
      </w:r>
    </w:p>
    <w:p w14:paraId="075CAA05" w14:textId="77777777" w:rsidR="000A4159" w:rsidRPr="00822CE9" w:rsidRDefault="000A4159" w:rsidP="00A47C06">
      <w:pPr>
        <w:pStyle w:val="normal930"/>
        <w:rPr>
          <w:rtl/>
        </w:rPr>
      </w:pPr>
      <w:r w:rsidRPr="00822CE9">
        <w:rPr>
          <w:rFonts w:hint="cs"/>
          <w:rtl/>
        </w:rPr>
        <w:t>فإن سياق حديث الإمام</w:t>
      </w:r>
      <w:r w:rsidR="007D287B">
        <w:rPr>
          <w:rFonts w:hint="cs"/>
          <w:rtl/>
        </w:rPr>
        <w:t xml:space="preserve"> جعفر الصادق</w:t>
      </w:r>
      <w:r w:rsidRPr="00822CE9">
        <w:rPr>
          <w:rFonts w:hint="cs"/>
          <w:rtl/>
        </w:rPr>
        <w:t xml:space="preserve"> ليس خاص</w:t>
      </w:r>
      <w:r w:rsidR="007D287B">
        <w:rPr>
          <w:rFonts w:hint="cs"/>
          <w:rtl/>
        </w:rPr>
        <w:t>ّ</w:t>
      </w:r>
      <w:r w:rsidRPr="00822CE9">
        <w:rPr>
          <w:rFonts w:hint="cs"/>
          <w:rtl/>
        </w:rPr>
        <w:t>اً في المناقشة في أصل موضوع الإمامة، بل يواجه زيداً في خروجه، وأن</w:t>
      </w:r>
      <w:r w:rsidR="007D287B">
        <w:rPr>
          <w:rFonts w:hint="cs"/>
          <w:rtl/>
        </w:rPr>
        <w:t>ّ</w:t>
      </w:r>
      <w:r w:rsidRPr="00822CE9">
        <w:rPr>
          <w:rFonts w:hint="cs"/>
          <w:rtl/>
        </w:rPr>
        <w:t xml:space="preserve"> خروجه سيفضي إلى موته، ولن يكون له من نفع.</w:t>
      </w:r>
    </w:p>
    <w:p w14:paraId="08F3305A" w14:textId="77777777" w:rsidR="000A4159" w:rsidRPr="00822CE9" w:rsidRDefault="000A4159" w:rsidP="00A47C06">
      <w:pPr>
        <w:pStyle w:val="normal930"/>
        <w:rPr>
          <w:rtl/>
        </w:rPr>
      </w:pPr>
      <w:r w:rsidRPr="007D287B">
        <w:rPr>
          <w:rFonts w:hint="cs"/>
          <w:b/>
          <w:bCs/>
          <w:rtl/>
        </w:rPr>
        <w:t>إلا أنّ الرواية ضعيفة السند،</w:t>
      </w:r>
      <w:r w:rsidRPr="00822CE9">
        <w:rPr>
          <w:rFonts w:hint="cs"/>
          <w:rtl/>
        </w:rPr>
        <w:t xml:space="preserve"> فقد ورد فيها علي</w:t>
      </w:r>
      <w:r w:rsidR="007D287B">
        <w:rPr>
          <w:rFonts w:hint="cs"/>
          <w:rtl/>
        </w:rPr>
        <w:t>ّ</w:t>
      </w:r>
      <w:r w:rsidRPr="00822CE9">
        <w:rPr>
          <w:rFonts w:hint="cs"/>
          <w:rtl/>
        </w:rPr>
        <w:t xml:space="preserve"> بن محمد بن قتيبة المجهول</w:t>
      </w:r>
      <w:r w:rsidR="007D287B">
        <w:rPr>
          <w:rFonts w:hint="cs"/>
          <w:rtl/>
        </w:rPr>
        <w:t>،</w:t>
      </w:r>
      <w:r w:rsidRPr="00822CE9">
        <w:rPr>
          <w:rFonts w:hint="cs"/>
          <w:rtl/>
        </w:rPr>
        <w:t xml:space="preserve"> إلا من أن</w:t>
      </w:r>
      <w:r w:rsidR="007D287B">
        <w:rPr>
          <w:rFonts w:hint="cs"/>
          <w:rtl/>
        </w:rPr>
        <w:t>ّ</w:t>
      </w:r>
      <w:r w:rsidRPr="00822CE9">
        <w:rPr>
          <w:rFonts w:hint="cs"/>
          <w:rtl/>
        </w:rPr>
        <w:t xml:space="preserve"> الكشي صاحب كتاب الرجال اعتمد عليه في كتابه</w:t>
      </w:r>
      <w:r w:rsidRPr="000A4159">
        <w:rPr>
          <w:rFonts w:cs="Taher"/>
          <w:vertAlign w:val="superscript"/>
          <w:rtl/>
        </w:rPr>
        <w:t>(</w:t>
      </w:r>
      <w:r w:rsidRPr="000A4159">
        <w:rPr>
          <w:rStyle w:val="FootnoteReference"/>
          <w:rFonts w:cs="Taher"/>
          <w:rtl/>
        </w:rPr>
        <w:footnoteReference w:id="111"/>
      </w:r>
      <w:r w:rsidRPr="000A4159">
        <w:rPr>
          <w:rFonts w:cs="Taher"/>
          <w:vertAlign w:val="superscript"/>
          <w:rtl/>
        </w:rPr>
        <w:t>)</w:t>
      </w:r>
      <w:r w:rsidRPr="00822CE9">
        <w:rPr>
          <w:rtl/>
        </w:rPr>
        <w:t xml:space="preserve">، </w:t>
      </w:r>
      <w:r w:rsidRPr="00822CE9">
        <w:rPr>
          <w:rFonts w:hint="cs"/>
          <w:rtl/>
        </w:rPr>
        <w:t>لكن</w:t>
      </w:r>
      <w:r w:rsidR="007D287B">
        <w:rPr>
          <w:rFonts w:hint="cs"/>
          <w:rtl/>
        </w:rPr>
        <w:t>ّ</w:t>
      </w:r>
      <w:r w:rsidRPr="00822CE9">
        <w:rPr>
          <w:rFonts w:hint="cs"/>
          <w:rtl/>
        </w:rPr>
        <w:t xml:space="preserve"> هذا </w:t>
      </w:r>
      <w:r w:rsidR="007D287B">
        <w:rPr>
          <w:rFonts w:hint="cs"/>
          <w:rtl/>
        </w:rPr>
        <w:t xml:space="preserve">الأصل </w:t>
      </w:r>
      <w:r w:rsidRPr="00822CE9">
        <w:rPr>
          <w:rFonts w:hint="cs"/>
          <w:rtl/>
        </w:rPr>
        <w:t xml:space="preserve">ـ أي كثرة </w:t>
      </w:r>
      <w:r w:rsidR="007D287B">
        <w:rPr>
          <w:rFonts w:hint="cs"/>
          <w:rtl/>
        </w:rPr>
        <w:t>ال</w:t>
      </w:r>
      <w:r w:rsidRPr="00822CE9">
        <w:rPr>
          <w:rFonts w:hint="cs"/>
          <w:rtl/>
        </w:rPr>
        <w:t>رواية عن شخص دليل وثاقته ـ لو تمّ من حيث المبدأ، لكن</w:t>
      </w:r>
      <w:r w:rsidR="007D287B">
        <w:rPr>
          <w:rFonts w:hint="cs"/>
          <w:rtl/>
        </w:rPr>
        <w:t>ّ</w:t>
      </w:r>
      <w:r w:rsidRPr="00822CE9">
        <w:rPr>
          <w:rFonts w:hint="cs"/>
          <w:rtl/>
        </w:rPr>
        <w:t>ه في مقامنا يصعب الأخذ به؛ وذلك أن</w:t>
      </w:r>
      <w:r w:rsidR="007D287B">
        <w:rPr>
          <w:rFonts w:hint="cs"/>
          <w:rtl/>
        </w:rPr>
        <w:t>ّ</w:t>
      </w:r>
      <w:r w:rsidRPr="00822CE9">
        <w:rPr>
          <w:rFonts w:hint="cs"/>
          <w:rtl/>
        </w:rPr>
        <w:t xml:space="preserve"> النجاشي قد نصّ على أن</w:t>
      </w:r>
      <w:r w:rsidR="007D287B">
        <w:rPr>
          <w:rFonts w:hint="cs"/>
          <w:rtl/>
        </w:rPr>
        <w:t>ّ أ</w:t>
      </w:r>
      <w:r w:rsidRPr="00822CE9">
        <w:rPr>
          <w:rFonts w:hint="cs"/>
          <w:rtl/>
        </w:rPr>
        <w:t>با عمرو الكشي يروي عن الضعفاء كثيراً</w:t>
      </w:r>
      <w:r w:rsidRPr="000A4159">
        <w:rPr>
          <w:rFonts w:cs="Taher"/>
          <w:vertAlign w:val="superscript"/>
          <w:rtl/>
        </w:rPr>
        <w:t>(</w:t>
      </w:r>
      <w:r w:rsidRPr="000A4159">
        <w:rPr>
          <w:rStyle w:val="FootnoteReference"/>
          <w:rFonts w:cs="Taher"/>
          <w:rtl/>
        </w:rPr>
        <w:footnoteReference w:id="112"/>
      </w:r>
      <w:r w:rsidRPr="000A4159">
        <w:rPr>
          <w:rFonts w:cs="Taher"/>
          <w:vertAlign w:val="superscript"/>
          <w:rtl/>
        </w:rPr>
        <w:t>)</w:t>
      </w:r>
      <w:r w:rsidRPr="00822CE9">
        <w:rPr>
          <w:rtl/>
        </w:rPr>
        <w:t xml:space="preserve">، </w:t>
      </w:r>
      <w:r w:rsidRPr="00822CE9">
        <w:rPr>
          <w:rFonts w:hint="cs"/>
          <w:rtl/>
        </w:rPr>
        <w:t>ومثل هذه الشهادة لا تجعل رواية مثل الكشي دليل الوثاقة في حقّ المروي</w:t>
      </w:r>
      <w:r w:rsidR="007D287B">
        <w:rPr>
          <w:rFonts w:hint="cs"/>
          <w:rtl/>
        </w:rPr>
        <w:t>ّ</w:t>
      </w:r>
      <w:r w:rsidRPr="00822CE9">
        <w:rPr>
          <w:rFonts w:hint="cs"/>
          <w:rtl/>
        </w:rPr>
        <w:t xml:space="preserve"> عنه كما هو واضح، من هنا يظهر أن</w:t>
      </w:r>
      <w:r w:rsidR="007D287B">
        <w:rPr>
          <w:rFonts w:hint="cs"/>
          <w:rtl/>
        </w:rPr>
        <w:t>ّ</w:t>
      </w:r>
      <w:r w:rsidRPr="00822CE9">
        <w:rPr>
          <w:rFonts w:hint="cs"/>
          <w:rtl/>
        </w:rPr>
        <w:t xml:space="preserve"> من وثق هذا الرجل </w:t>
      </w:r>
      <w:r w:rsidR="007D287B">
        <w:rPr>
          <w:rFonts w:hint="cs"/>
          <w:rtl/>
        </w:rPr>
        <w:t xml:space="preserve">ـ </w:t>
      </w:r>
      <w:r w:rsidRPr="00822CE9">
        <w:rPr>
          <w:rFonts w:hint="cs"/>
          <w:rtl/>
        </w:rPr>
        <w:t xml:space="preserve">مثل العلامة الحلي </w:t>
      </w:r>
      <w:r w:rsidR="007D287B">
        <w:rPr>
          <w:rFonts w:hint="cs"/>
          <w:rtl/>
        </w:rPr>
        <w:t>ـ</w:t>
      </w:r>
      <w:r w:rsidRPr="00822CE9">
        <w:rPr>
          <w:rFonts w:hint="cs"/>
          <w:rtl/>
        </w:rPr>
        <w:t xml:space="preserve"> إن</w:t>
      </w:r>
      <w:r w:rsidR="007D287B">
        <w:rPr>
          <w:rFonts w:hint="cs"/>
          <w:rtl/>
        </w:rPr>
        <w:t>ّ</w:t>
      </w:r>
      <w:r w:rsidRPr="00822CE9">
        <w:rPr>
          <w:rFonts w:hint="cs"/>
          <w:rtl/>
        </w:rPr>
        <w:t>ما اعتمد على رواية الكش</w:t>
      </w:r>
      <w:r w:rsidR="007D287B">
        <w:rPr>
          <w:rFonts w:hint="cs"/>
          <w:rtl/>
        </w:rPr>
        <w:t>ي</w:t>
      </w:r>
      <w:r w:rsidRPr="00822CE9">
        <w:rPr>
          <w:rFonts w:hint="cs"/>
          <w:rtl/>
        </w:rPr>
        <w:t xml:space="preserve"> عنه لا غير</w:t>
      </w:r>
      <w:r w:rsidRPr="000A4159">
        <w:rPr>
          <w:rFonts w:cs="Taher"/>
          <w:vertAlign w:val="superscript"/>
          <w:rtl/>
        </w:rPr>
        <w:t>(</w:t>
      </w:r>
      <w:r w:rsidRPr="000A4159">
        <w:rPr>
          <w:rStyle w:val="FootnoteReference"/>
          <w:rFonts w:cs="Taher"/>
          <w:rtl/>
        </w:rPr>
        <w:footnoteReference w:id="113"/>
      </w:r>
      <w:r w:rsidRPr="000A4159">
        <w:rPr>
          <w:rFonts w:cs="Taher"/>
          <w:vertAlign w:val="superscript"/>
          <w:rtl/>
        </w:rPr>
        <w:t>)</w:t>
      </w:r>
      <w:r w:rsidRPr="00822CE9">
        <w:rPr>
          <w:rtl/>
        </w:rPr>
        <w:t xml:space="preserve">، </w:t>
      </w:r>
      <w:r w:rsidRPr="00822CE9">
        <w:rPr>
          <w:rFonts w:hint="cs"/>
          <w:rtl/>
        </w:rPr>
        <w:t>أو لأن</w:t>
      </w:r>
      <w:r w:rsidR="007D287B">
        <w:rPr>
          <w:rFonts w:hint="cs"/>
          <w:rtl/>
        </w:rPr>
        <w:t>ّ</w:t>
      </w:r>
      <w:r w:rsidRPr="00822CE9">
        <w:rPr>
          <w:rFonts w:hint="cs"/>
          <w:rtl/>
        </w:rPr>
        <w:t xml:space="preserve"> الطوسي وصفه بالفاضل، وهو مدح</w:t>
      </w:r>
      <w:r w:rsidR="007D287B">
        <w:rPr>
          <w:rFonts w:hint="cs"/>
          <w:rtl/>
        </w:rPr>
        <w:t>ٌ</w:t>
      </w:r>
      <w:r w:rsidRPr="00822CE9">
        <w:rPr>
          <w:rFonts w:hint="cs"/>
          <w:rtl/>
        </w:rPr>
        <w:t xml:space="preserve"> وليس توثيقاً</w:t>
      </w:r>
      <w:r w:rsidR="007D287B">
        <w:rPr>
          <w:rFonts w:hint="cs"/>
          <w:rtl/>
        </w:rPr>
        <w:t>، كما بحثناه في محلّه</w:t>
      </w:r>
      <w:r w:rsidRPr="00822CE9">
        <w:rPr>
          <w:rFonts w:hint="cs"/>
          <w:rtl/>
        </w:rPr>
        <w:t>.</w:t>
      </w:r>
      <w:r w:rsidR="006712C7">
        <w:rPr>
          <w:rFonts w:hint="cs"/>
          <w:rtl/>
        </w:rPr>
        <w:t xml:space="preserve"> </w:t>
      </w:r>
      <w:r w:rsidRPr="00822CE9">
        <w:rPr>
          <w:rFonts w:hint="cs"/>
          <w:rtl/>
        </w:rPr>
        <w:t>كما أن</w:t>
      </w:r>
      <w:r w:rsidR="007D287B">
        <w:rPr>
          <w:rFonts w:hint="cs"/>
          <w:rtl/>
        </w:rPr>
        <w:t>ّ</w:t>
      </w:r>
      <w:r w:rsidRPr="00822CE9">
        <w:rPr>
          <w:rFonts w:hint="cs"/>
          <w:rtl/>
        </w:rPr>
        <w:t xml:space="preserve"> الشاذاني الوارد في السند الآخر للرواية مجهول</w:t>
      </w:r>
      <w:r w:rsidR="007D287B">
        <w:rPr>
          <w:rFonts w:hint="cs"/>
          <w:rtl/>
        </w:rPr>
        <w:t>ٌ</w:t>
      </w:r>
      <w:r w:rsidRPr="000A4159">
        <w:rPr>
          <w:rFonts w:cs="Taher"/>
          <w:vertAlign w:val="superscript"/>
          <w:rtl/>
        </w:rPr>
        <w:t>(</w:t>
      </w:r>
      <w:r w:rsidRPr="000A4159">
        <w:rPr>
          <w:rStyle w:val="FootnoteReference"/>
          <w:rFonts w:cs="Taher"/>
          <w:rtl/>
        </w:rPr>
        <w:footnoteReference w:id="114"/>
      </w:r>
      <w:r w:rsidRPr="000A4159">
        <w:rPr>
          <w:rFonts w:cs="Taher"/>
          <w:vertAlign w:val="superscript"/>
          <w:rtl/>
        </w:rPr>
        <w:t>)</w:t>
      </w:r>
      <w:r w:rsidRPr="00822CE9">
        <w:rPr>
          <w:rtl/>
        </w:rPr>
        <w:t xml:space="preserve">، </w:t>
      </w:r>
      <w:r w:rsidRPr="00822CE9">
        <w:rPr>
          <w:rFonts w:hint="cs"/>
          <w:rtl/>
        </w:rPr>
        <w:t>وعليه فيصعب العمل بهذه الرواية</w:t>
      </w:r>
      <w:r w:rsidR="00013681">
        <w:rPr>
          <w:rFonts w:hint="cs"/>
          <w:rtl/>
        </w:rPr>
        <w:t xml:space="preserve"> منفردةً</w:t>
      </w:r>
      <w:r w:rsidRPr="00822CE9">
        <w:rPr>
          <w:rFonts w:hint="cs"/>
          <w:rtl/>
        </w:rPr>
        <w:t>.</w:t>
      </w:r>
    </w:p>
    <w:p w14:paraId="74929873" w14:textId="77777777" w:rsidR="000A4159" w:rsidRPr="00822CE9" w:rsidRDefault="007D287B" w:rsidP="00A47C06">
      <w:pPr>
        <w:pStyle w:val="normal930"/>
        <w:rPr>
          <w:rtl/>
        </w:rPr>
      </w:pPr>
      <w:r>
        <w:rPr>
          <w:rFonts w:hint="cs"/>
          <w:rtl/>
        </w:rPr>
        <w:t xml:space="preserve">هذا، </w:t>
      </w:r>
      <w:r w:rsidR="000A4159" w:rsidRPr="00822CE9">
        <w:rPr>
          <w:rFonts w:hint="cs"/>
          <w:rtl/>
        </w:rPr>
        <w:t>وهناك بعض الروايات الواردة في ادّعائه الإمامة أو ما شابه ذلك، وفيها ذم</w:t>
      </w:r>
      <w:r>
        <w:rPr>
          <w:rFonts w:hint="cs"/>
          <w:rtl/>
        </w:rPr>
        <w:t xml:space="preserve">ّ له من هذا الجانب، </w:t>
      </w:r>
      <w:r w:rsidR="000A4159" w:rsidRPr="00822CE9">
        <w:rPr>
          <w:rFonts w:hint="cs"/>
          <w:rtl/>
        </w:rPr>
        <w:t>لكن</w:t>
      </w:r>
      <w:r>
        <w:rPr>
          <w:rFonts w:hint="cs"/>
          <w:rtl/>
        </w:rPr>
        <w:t>ّ</w:t>
      </w:r>
      <w:r w:rsidR="000A4159" w:rsidRPr="00822CE9">
        <w:rPr>
          <w:rFonts w:hint="cs"/>
          <w:rtl/>
        </w:rPr>
        <w:t>ها ضعيفة السند، مثل خبر علي بن المغيرة</w:t>
      </w:r>
      <w:r w:rsidR="006712C7">
        <w:rPr>
          <w:rFonts w:hint="cs"/>
          <w:rtl/>
        </w:rPr>
        <w:t>،</w:t>
      </w:r>
      <w:r w:rsidR="000A4159" w:rsidRPr="00822CE9">
        <w:rPr>
          <w:rFonts w:hint="cs"/>
          <w:rtl/>
        </w:rPr>
        <w:t xml:space="preserve"> عن أبي الصباح وغيره..</w:t>
      </w:r>
      <w:r>
        <w:rPr>
          <w:rFonts w:hint="cs"/>
          <w:rtl/>
        </w:rPr>
        <w:t xml:space="preserve"> وفي مقابلها روايات توحي بكونه يؤمن بالأئمّة الاثني عشر بأسمائهم!</w:t>
      </w:r>
      <w:r w:rsidR="006712C7" w:rsidRPr="000A4159">
        <w:rPr>
          <w:rFonts w:cs="Taher"/>
          <w:vertAlign w:val="superscript"/>
          <w:rtl/>
        </w:rPr>
        <w:t>(</w:t>
      </w:r>
      <w:r w:rsidR="006712C7" w:rsidRPr="000A4159">
        <w:rPr>
          <w:rStyle w:val="FootnoteReference"/>
          <w:rFonts w:cs="Taher"/>
          <w:rtl/>
        </w:rPr>
        <w:footnoteReference w:id="115"/>
      </w:r>
      <w:r w:rsidR="006712C7" w:rsidRPr="000A4159">
        <w:rPr>
          <w:rFonts w:cs="Taher"/>
          <w:vertAlign w:val="superscript"/>
          <w:rtl/>
        </w:rPr>
        <w:t>)</w:t>
      </w:r>
      <w:r w:rsidR="006712C7">
        <w:rPr>
          <w:rFonts w:hint="cs"/>
          <w:rtl/>
        </w:rPr>
        <w:t>.</w:t>
      </w:r>
    </w:p>
    <w:p w14:paraId="36EF76FA" w14:textId="77777777" w:rsidR="000A4159" w:rsidRDefault="000A4159" w:rsidP="00A47C06">
      <w:pPr>
        <w:pStyle w:val="normal930"/>
        <w:rPr>
          <w:rtl/>
        </w:rPr>
      </w:pPr>
      <w:r w:rsidRPr="00205919">
        <w:rPr>
          <w:rFonts w:hint="cs"/>
          <w:b/>
          <w:bCs/>
          <w:rtl/>
        </w:rPr>
        <w:lastRenderedPageBreak/>
        <w:t>هذا هو مهم</w:t>
      </w:r>
      <w:r w:rsidR="006712C7" w:rsidRPr="00205919">
        <w:rPr>
          <w:rFonts w:hint="cs"/>
          <w:b/>
          <w:bCs/>
          <w:rtl/>
        </w:rPr>
        <w:t>ّ</w:t>
      </w:r>
      <w:r w:rsidRPr="00205919">
        <w:rPr>
          <w:rFonts w:hint="cs"/>
          <w:b/>
          <w:bCs/>
          <w:rtl/>
        </w:rPr>
        <w:t xml:space="preserve"> النصوص المنقولة عن </w:t>
      </w:r>
      <w:r w:rsidR="009A1626" w:rsidRPr="00205919">
        <w:rPr>
          <w:rFonts w:hint="cs"/>
          <w:b/>
          <w:bCs/>
          <w:rtl/>
        </w:rPr>
        <w:t>أهل البيت</w:t>
      </w:r>
      <w:r w:rsidR="00013681" w:rsidRPr="00205919">
        <w:rPr>
          <w:rFonts w:hint="cs"/>
          <w:b/>
          <w:bCs/>
          <w:rtl/>
        </w:rPr>
        <w:t xml:space="preserve"> النبوي</w:t>
      </w:r>
      <w:r w:rsidRPr="00205919">
        <w:rPr>
          <w:rFonts w:hint="cs"/>
          <w:b/>
          <w:bCs/>
          <w:rtl/>
        </w:rPr>
        <w:t xml:space="preserve"> في رفض ثورة زيد،</w:t>
      </w:r>
      <w:r w:rsidRPr="00822CE9">
        <w:rPr>
          <w:rFonts w:hint="cs"/>
          <w:rtl/>
        </w:rPr>
        <w:t xml:space="preserve"> وقد تبيّن أن</w:t>
      </w:r>
      <w:r w:rsidR="006712C7">
        <w:rPr>
          <w:rFonts w:hint="cs"/>
          <w:rtl/>
        </w:rPr>
        <w:t>ّ</w:t>
      </w:r>
      <w:r w:rsidRPr="00822CE9">
        <w:rPr>
          <w:rFonts w:hint="cs"/>
          <w:rtl/>
        </w:rPr>
        <w:t>ها جميعها ضعيفة السند عدا</w:t>
      </w:r>
      <w:r w:rsidR="006712C7">
        <w:rPr>
          <w:rFonts w:hint="cs"/>
          <w:rtl/>
        </w:rPr>
        <w:t xml:space="preserve"> </w:t>
      </w:r>
      <w:r w:rsidRPr="00822CE9">
        <w:rPr>
          <w:rFonts w:hint="cs"/>
          <w:rtl/>
        </w:rPr>
        <w:t>واحدة، هي رواية أبان في قصّة حوار مؤمن الطاق مع زيد بن علي</w:t>
      </w:r>
      <w:r w:rsidR="006712C7">
        <w:rPr>
          <w:rFonts w:hint="cs"/>
          <w:rtl/>
        </w:rPr>
        <w:t xml:space="preserve"> </w:t>
      </w:r>
      <w:r w:rsidRPr="00822CE9">
        <w:rPr>
          <w:rFonts w:hint="cs"/>
          <w:rtl/>
        </w:rPr>
        <w:t>(الرواية الثانية) والمؤي</w:t>
      </w:r>
      <w:r w:rsidR="006712C7">
        <w:rPr>
          <w:rFonts w:hint="cs"/>
          <w:rtl/>
        </w:rPr>
        <w:t>َّ</w:t>
      </w:r>
      <w:r w:rsidRPr="00822CE9">
        <w:rPr>
          <w:rFonts w:hint="cs"/>
          <w:rtl/>
        </w:rPr>
        <w:t>دة بما يقارب مضمونها بخبر</w:t>
      </w:r>
      <w:r w:rsidR="006712C7">
        <w:rPr>
          <w:rFonts w:hint="cs"/>
          <w:rtl/>
        </w:rPr>
        <w:t>َ</w:t>
      </w:r>
      <w:r w:rsidRPr="00822CE9">
        <w:rPr>
          <w:rFonts w:hint="cs"/>
          <w:rtl/>
        </w:rPr>
        <w:t>ي مؤمن الطاق اللذين رواهما الكشي (الرواية الرابعة والرواية الخامسة)، أم</w:t>
      </w:r>
      <w:r w:rsidR="006712C7">
        <w:rPr>
          <w:rFonts w:hint="cs"/>
          <w:rtl/>
        </w:rPr>
        <w:t>ّ</w:t>
      </w:r>
      <w:r w:rsidRPr="00822CE9">
        <w:rPr>
          <w:rFonts w:hint="cs"/>
          <w:rtl/>
        </w:rPr>
        <w:t>ا من حيث الدلالة فقد تبيّن أن</w:t>
      </w:r>
      <w:r w:rsidR="006712C7">
        <w:rPr>
          <w:rFonts w:hint="cs"/>
          <w:rtl/>
        </w:rPr>
        <w:t>ّ</w:t>
      </w:r>
      <w:r w:rsidRPr="00822CE9">
        <w:rPr>
          <w:rFonts w:hint="cs"/>
          <w:rtl/>
        </w:rPr>
        <w:t xml:space="preserve"> ست</w:t>
      </w:r>
      <w:r w:rsidR="006712C7">
        <w:rPr>
          <w:rFonts w:hint="cs"/>
          <w:rtl/>
        </w:rPr>
        <w:t>ّ</w:t>
      </w:r>
      <w:r w:rsidRPr="00822CE9">
        <w:rPr>
          <w:rFonts w:hint="cs"/>
          <w:rtl/>
        </w:rPr>
        <w:t xml:space="preserve"> روايات من أ</w:t>
      </w:r>
      <w:r w:rsidR="006712C7">
        <w:rPr>
          <w:rFonts w:hint="cs"/>
          <w:rtl/>
        </w:rPr>
        <w:t>ص</w:t>
      </w:r>
      <w:r w:rsidRPr="00822CE9">
        <w:rPr>
          <w:rFonts w:hint="cs"/>
          <w:rtl/>
        </w:rPr>
        <w:t>ل سبعة</w:t>
      </w:r>
      <w:r w:rsidR="006712C7">
        <w:rPr>
          <w:rFonts w:hint="cs"/>
          <w:rtl/>
        </w:rPr>
        <w:t>،</w:t>
      </w:r>
      <w:r w:rsidRPr="00822CE9">
        <w:rPr>
          <w:rFonts w:hint="cs"/>
          <w:rtl/>
        </w:rPr>
        <w:t xml:space="preserve"> ومنها الرواية التام</w:t>
      </w:r>
      <w:r w:rsidR="006712C7">
        <w:rPr>
          <w:rFonts w:hint="cs"/>
          <w:rtl/>
        </w:rPr>
        <w:t>ّ</w:t>
      </w:r>
      <w:r w:rsidRPr="00822CE9">
        <w:rPr>
          <w:rFonts w:hint="cs"/>
          <w:rtl/>
        </w:rPr>
        <w:t>ة السند دالّة على ذم</w:t>
      </w:r>
      <w:r w:rsidR="006712C7">
        <w:rPr>
          <w:rFonts w:hint="cs"/>
          <w:rtl/>
        </w:rPr>
        <w:t>ّ</w:t>
      </w:r>
      <w:r w:rsidRPr="00822CE9">
        <w:rPr>
          <w:rFonts w:hint="cs"/>
          <w:rtl/>
        </w:rPr>
        <w:t xml:space="preserve"> ثورة زيد</w:t>
      </w:r>
      <w:r w:rsidR="006712C7">
        <w:rPr>
          <w:rFonts w:hint="cs"/>
          <w:rtl/>
        </w:rPr>
        <w:t>.</w:t>
      </w:r>
      <w:r w:rsidRPr="00822CE9">
        <w:rPr>
          <w:rFonts w:hint="cs"/>
          <w:rtl/>
        </w:rPr>
        <w:t xml:space="preserve"> ي</w:t>
      </w:r>
      <w:r w:rsidR="006712C7">
        <w:rPr>
          <w:rFonts w:hint="cs"/>
          <w:rtl/>
        </w:rPr>
        <w:t>ُ</w:t>
      </w:r>
      <w:r w:rsidRPr="00822CE9">
        <w:rPr>
          <w:rFonts w:hint="cs"/>
          <w:rtl/>
        </w:rPr>
        <w:t>ضاف إلى ذلك أن</w:t>
      </w:r>
      <w:r w:rsidR="006712C7">
        <w:rPr>
          <w:rFonts w:hint="cs"/>
          <w:rtl/>
        </w:rPr>
        <w:t>ّ</w:t>
      </w:r>
      <w:r w:rsidRPr="00822CE9">
        <w:rPr>
          <w:rFonts w:hint="cs"/>
          <w:rtl/>
        </w:rPr>
        <w:t xml:space="preserve"> روايات ذم</w:t>
      </w:r>
      <w:r w:rsidR="006712C7">
        <w:rPr>
          <w:rFonts w:hint="cs"/>
          <w:rtl/>
        </w:rPr>
        <w:t>ّ</w:t>
      </w:r>
      <w:r w:rsidRPr="00822CE9">
        <w:rPr>
          <w:rFonts w:hint="cs"/>
          <w:rtl/>
        </w:rPr>
        <w:t xml:space="preserve"> ثورة زيد لم نجدها في مصادر الحديث الكبرى الشيعي</w:t>
      </w:r>
      <w:r w:rsidR="006712C7">
        <w:rPr>
          <w:rFonts w:hint="cs"/>
          <w:rtl/>
        </w:rPr>
        <w:t>ّ</w:t>
      </w:r>
      <w:r w:rsidRPr="00822CE9">
        <w:rPr>
          <w:rFonts w:hint="cs"/>
          <w:rtl/>
        </w:rPr>
        <w:t>ة والسني</w:t>
      </w:r>
      <w:r w:rsidR="006712C7">
        <w:rPr>
          <w:rFonts w:hint="cs"/>
          <w:rtl/>
        </w:rPr>
        <w:t>ّ</w:t>
      </w:r>
      <w:r w:rsidRPr="00822CE9">
        <w:rPr>
          <w:rFonts w:hint="cs"/>
          <w:rtl/>
        </w:rPr>
        <w:t xml:space="preserve">ة، ولا في مصادر التاريخ، باستثناء خبر موسى بن بكر (الرواية الأولى) الذي ورد في الكافي، وكذا خبر أبان الصحيح السند الوارد في الكافي أيضاً، وباقي الروايات نقلها لنا الكشي في </w:t>
      </w:r>
      <w:r w:rsidR="006712C7">
        <w:rPr>
          <w:rFonts w:hint="cs"/>
          <w:rtl/>
        </w:rPr>
        <w:t xml:space="preserve">رجاله، </w:t>
      </w:r>
      <w:r w:rsidRPr="00822CE9">
        <w:rPr>
          <w:rFonts w:hint="cs"/>
          <w:rtl/>
        </w:rPr>
        <w:t>مثل الرواية الثالثة إلى آخر الروايات.</w:t>
      </w:r>
    </w:p>
    <w:p w14:paraId="1BB430C3" w14:textId="77777777" w:rsidR="00205919" w:rsidRPr="00205919" w:rsidRDefault="00205919" w:rsidP="0096148C">
      <w:pPr>
        <w:pStyle w:val="Heading3"/>
        <w:rPr>
          <w:rtl/>
        </w:rPr>
      </w:pPr>
      <w:bookmarkStart w:id="48" w:name="_Toc143804114"/>
      <w:bookmarkStart w:id="49" w:name="_Toc238123239"/>
      <w:r>
        <w:rPr>
          <w:rFonts w:hint="cs"/>
          <w:rtl/>
        </w:rPr>
        <w:t>ال</w:t>
      </w:r>
      <w:r w:rsidRPr="00205919">
        <w:rPr>
          <w:rFonts w:hint="cs"/>
          <w:rtl/>
        </w:rPr>
        <w:t xml:space="preserve">مقارنة </w:t>
      </w:r>
      <w:r>
        <w:rPr>
          <w:rFonts w:hint="cs"/>
          <w:rtl/>
        </w:rPr>
        <w:t>الخاطفة ل</w:t>
      </w:r>
      <w:r w:rsidRPr="00205919">
        <w:rPr>
          <w:rFonts w:hint="cs"/>
          <w:rtl/>
        </w:rPr>
        <w:t>نتائج المجموعتين</w:t>
      </w:r>
      <w:bookmarkEnd w:id="48"/>
      <w:bookmarkEnd w:id="49"/>
    </w:p>
    <w:p w14:paraId="6ABF5771" w14:textId="77777777" w:rsidR="00165A76" w:rsidRPr="00013681" w:rsidRDefault="000A4159" w:rsidP="00013681">
      <w:pPr>
        <w:spacing w:line="214" w:lineRule="auto"/>
        <w:rPr>
          <w:b/>
          <w:bCs/>
          <w:rtl/>
        </w:rPr>
      </w:pPr>
      <w:r w:rsidRPr="00013681">
        <w:rPr>
          <w:rFonts w:hint="cs"/>
          <w:b/>
          <w:bCs/>
          <w:rtl/>
        </w:rPr>
        <w:t xml:space="preserve">وبهذا تكتمل أمامنا صورة النصوص المنقولة عن </w:t>
      </w:r>
      <w:r w:rsidR="009A1626" w:rsidRPr="00013681">
        <w:rPr>
          <w:rFonts w:hint="cs"/>
          <w:b/>
          <w:bCs/>
          <w:rtl/>
        </w:rPr>
        <w:t>أهل البيت</w:t>
      </w:r>
      <w:r w:rsidRPr="00013681">
        <w:rPr>
          <w:rFonts w:hint="cs"/>
          <w:b/>
          <w:bCs/>
          <w:rtl/>
        </w:rPr>
        <w:t xml:space="preserve"> في الموقف من ثورة زيد، فأمامنا رواية صحيحة السند تؤيد الثورة، تقابلها رواية تام</w:t>
      </w:r>
      <w:r w:rsidR="00165A76" w:rsidRPr="00013681">
        <w:rPr>
          <w:rFonts w:hint="cs"/>
          <w:b/>
          <w:bCs/>
          <w:rtl/>
        </w:rPr>
        <w:t>ّ</w:t>
      </w:r>
      <w:r w:rsidRPr="00013681">
        <w:rPr>
          <w:rFonts w:hint="cs"/>
          <w:b/>
          <w:bCs/>
          <w:rtl/>
        </w:rPr>
        <w:t>ة السند ترفضها، وأمامن</w:t>
      </w:r>
      <w:r w:rsidR="00165A76" w:rsidRPr="00013681">
        <w:rPr>
          <w:rFonts w:hint="cs"/>
          <w:b/>
          <w:bCs/>
          <w:rtl/>
        </w:rPr>
        <w:t>ا</w:t>
      </w:r>
      <w:r w:rsidRPr="00013681">
        <w:rPr>
          <w:rFonts w:hint="cs"/>
          <w:b/>
          <w:bCs/>
          <w:rtl/>
        </w:rPr>
        <w:t xml:space="preserve"> ثماني روايات دال</w:t>
      </w:r>
      <w:r w:rsidR="00165A76" w:rsidRPr="00013681">
        <w:rPr>
          <w:rFonts w:hint="cs"/>
          <w:b/>
          <w:bCs/>
          <w:rtl/>
        </w:rPr>
        <w:t>ّ</w:t>
      </w:r>
      <w:r w:rsidRPr="00013681">
        <w:rPr>
          <w:rFonts w:hint="cs"/>
          <w:b/>
          <w:bCs/>
          <w:rtl/>
        </w:rPr>
        <w:t>ة على التأييد في مقابل ست</w:t>
      </w:r>
      <w:r w:rsidR="00B24C4C" w:rsidRPr="00013681">
        <w:rPr>
          <w:rFonts w:hint="cs"/>
          <w:b/>
          <w:bCs/>
          <w:rtl/>
        </w:rPr>
        <w:t>ّ</w:t>
      </w:r>
      <w:r w:rsidRPr="00013681">
        <w:rPr>
          <w:rFonts w:hint="cs"/>
          <w:b/>
          <w:bCs/>
          <w:rtl/>
        </w:rPr>
        <w:t xml:space="preserve"> روايات دالّة على الرفض، وإذا كانت أغلب نصوص تأييد الثورة أتانا بها الصدوق فإن</w:t>
      </w:r>
      <w:r w:rsidR="00165A76" w:rsidRPr="00013681">
        <w:rPr>
          <w:rFonts w:hint="cs"/>
          <w:b/>
          <w:bCs/>
          <w:rtl/>
        </w:rPr>
        <w:t>ّ</w:t>
      </w:r>
      <w:r w:rsidRPr="00013681">
        <w:rPr>
          <w:rFonts w:hint="cs"/>
          <w:b/>
          <w:bCs/>
          <w:rtl/>
        </w:rPr>
        <w:t xml:space="preserve"> أغلب نصوص الرفض جاءت من عند الكشي، وإذا كانت أغلب نصوص الرفض ضعيفة السند ولم ترد في مصادر الحديث والتاريخ الكبرى فإن</w:t>
      </w:r>
      <w:r w:rsidR="00165A76" w:rsidRPr="00013681">
        <w:rPr>
          <w:rFonts w:hint="cs"/>
          <w:b/>
          <w:bCs/>
          <w:rtl/>
        </w:rPr>
        <w:t>ّ</w:t>
      </w:r>
      <w:r w:rsidRPr="00013681">
        <w:rPr>
          <w:rFonts w:hint="cs"/>
          <w:b/>
          <w:bCs/>
          <w:rtl/>
        </w:rPr>
        <w:t xml:space="preserve"> أغلب نصوص التأييد حالها كذلك، بل ورد فيها رجال</w:t>
      </w:r>
      <w:r w:rsidR="00165A76" w:rsidRPr="00013681">
        <w:rPr>
          <w:rFonts w:hint="cs"/>
          <w:b/>
          <w:bCs/>
          <w:rtl/>
        </w:rPr>
        <w:t>ٌ</w:t>
      </w:r>
      <w:r w:rsidRPr="00013681">
        <w:rPr>
          <w:rFonts w:hint="cs"/>
          <w:b/>
          <w:bCs/>
          <w:rtl/>
        </w:rPr>
        <w:t xml:space="preserve"> شهد عليهم بالكذب، كما ورد في بعضها رجال من الزيدية أنفسهم</w:t>
      </w:r>
      <w:r w:rsidR="00165A76" w:rsidRPr="00013681">
        <w:rPr>
          <w:rFonts w:hint="cs"/>
          <w:b/>
          <w:bCs/>
          <w:rtl/>
        </w:rPr>
        <w:t>.</w:t>
      </w:r>
    </w:p>
    <w:p w14:paraId="498A8981" w14:textId="77777777" w:rsidR="000A4159" w:rsidRDefault="000A4159" w:rsidP="00165A76">
      <w:pPr>
        <w:spacing w:line="214" w:lineRule="auto"/>
        <w:rPr>
          <w:rtl/>
        </w:rPr>
      </w:pPr>
      <w:r w:rsidRPr="00822CE9">
        <w:rPr>
          <w:rFonts w:hint="cs"/>
          <w:rtl/>
        </w:rPr>
        <w:t>وطبقاً لمجمل هذه الصورة، وانطلاقاً من حجي</w:t>
      </w:r>
      <w:r w:rsidR="00165A76">
        <w:rPr>
          <w:rFonts w:hint="cs"/>
          <w:rtl/>
        </w:rPr>
        <w:t>ّ</w:t>
      </w:r>
      <w:r w:rsidRPr="00822CE9">
        <w:rPr>
          <w:rFonts w:hint="cs"/>
          <w:rtl/>
        </w:rPr>
        <w:t>ة الخبر الموثوق</w:t>
      </w:r>
      <w:r w:rsidR="00165A76">
        <w:rPr>
          <w:rFonts w:hint="cs"/>
          <w:rtl/>
        </w:rPr>
        <w:t>،</w:t>
      </w:r>
      <w:r w:rsidRPr="00822CE9">
        <w:rPr>
          <w:rFonts w:hint="cs"/>
          <w:rtl/>
        </w:rPr>
        <w:t xml:space="preserve"> يصعب الوثوق بالموقف الحقيقي</w:t>
      </w:r>
      <w:r w:rsidR="00165A76">
        <w:rPr>
          <w:rFonts w:hint="cs"/>
          <w:rtl/>
        </w:rPr>
        <w:t>ّ</w:t>
      </w:r>
      <w:r w:rsidRPr="00822CE9">
        <w:rPr>
          <w:rFonts w:hint="cs"/>
          <w:rtl/>
        </w:rPr>
        <w:t xml:space="preserve"> ل</w:t>
      </w:r>
      <w:r w:rsidR="009A1626" w:rsidRPr="00822CE9">
        <w:rPr>
          <w:rFonts w:hint="cs"/>
          <w:rtl/>
        </w:rPr>
        <w:t>أ</w:t>
      </w:r>
      <w:r w:rsidR="00165A76">
        <w:rPr>
          <w:rFonts w:hint="cs"/>
          <w:rtl/>
        </w:rPr>
        <w:t>ئمّة أ</w:t>
      </w:r>
      <w:r w:rsidR="009A1626" w:rsidRPr="00822CE9">
        <w:rPr>
          <w:rFonts w:hint="cs"/>
          <w:rtl/>
        </w:rPr>
        <w:t>هل البيت</w:t>
      </w:r>
      <w:r w:rsidRPr="00822CE9">
        <w:rPr>
          <w:rFonts w:hint="cs"/>
          <w:rtl/>
        </w:rPr>
        <w:t xml:space="preserve"> من الثورة، وبهذا يصعب جعل ثورة زيد دليلاً على شرعي</w:t>
      </w:r>
      <w:r w:rsidR="00165A76">
        <w:rPr>
          <w:rFonts w:hint="cs"/>
          <w:rtl/>
        </w:rPr>
        <w:t>ّ</w:t>
      </w:r>
      <w:r w:rsidRPr="00822CE9">
        <w:rPr>
          <w:rFonts w:hint="cs"/>
          <w:rtl/>
        </w:rPr>
        <w:t>ة أو وجوب الخروج المسلّح ضدّ الأنظمة الفاسدة.</w:t>
      </w:r>
    </w:p>
    <w:p w14:paraId="62C9F294" w14:textId="77777777" w:rsidR="00165A76" w:rsidRPr="00C51DAA" w:rsidRDefault="00503DDA" w:rsidP="0096148C">
      <w:pPr>
        <w:pStyle w:val="Heading3"/>
        <w:rPr>
          <w:rtl/>
        </w:rPr>
      </w:pPr>
      <w:bookmarkStart w:id="50" w:name="_Toc143804115"/>
      <w:bookmarkStart w:id="51" w:name="_Toc238123240"/>
      <w:r>
        <w:rPr>
          <w:rFonts w:hint="cs"/>
          <w:rtl/>
        </w:rPr>
        <w:t xml:space="preserve">11 ـ 2 ـ </w:t>
      </w:r>
      <w:r w:rsidR="00165A76" w:rsidRPr="00C51DAA">
        <w:rPr>
          <w:rFonts w:hint="cs"/>
          <w:rtl/>
        </w:rPr>
        <w:t>محاولات في تفسير الموقف</w:t>
      </w:r>
      <w:r w:rsidR="00C51DAA">
        <w:rPr>
          <w:rFonts w:hint="cs"/>
          <w:rtl/>
        </w:rPr>
        <w:t xml:space="preserve"> وفكّ الاشتباك بين النصوص</w:t>
      </w:r>
      <w:bookmarkEnd w:id="50"/>
      <w:bookmarkEnd w:id="51"/>
    </w:p>
    <w:p w14:paraId="786BF400" w14:textId="77777777" w:rsidR="00C51DAA" w:rsidRDefault="00C51DAA" w:rsidP="00C51DAA">
      <w:pPr>
        <w:spacing w:line="214" w:lineRule="auto"/>
        <w:rPr>
          <w:rtl/>
        </w:rPr>
      </w:pPr>
      <w:r>
        <w:rPr>
          <w:rFonts w:hint="cs"/>
          <w:rtl/>
        </w:rPr>
        <w:t>هناك مجموعة من المحاولات التي تسعى لفضّ الاشتباك بين هذه النصوص؛ لترجيح مجموعةٍ على أخرى، وأبرزها وأهمّها هو الآتي:</w:t>
      </w:r>
    </w:p>
    <w:p w14:paraId="607C94D7" w14:textId="77777777" w:rsidR="00C51DAA" w:rsidRPr="00C51DAA" w:rsidRDefault="00503DDA" w:rsidP="0096148C">
      <w:pPr>
        <w:pStyle w:val="Heading4"/>
        <w:rPr>
          <w:rtl/>
        </w:rPr>
      </w:pPr>
      <w:bookmarkStart w:id="52" w:name="_Toc143804116"/>
      <w:bookmarkStart w:id="53" w:name="_Toc238123241"/>
      <w:r>
        <w:rPr>
          <w:rFonts w:hint="cs"/>
          <w:rtl/>
        </w:rPr>
        <w:lastRenderedPageBreak/>
        <w:t xml:space="preserve">11 ـ 2 ـ 1 ـ </w:t>
      </w:r>
      <w:r w:rsidR="00C51DAA" w:rsidRPr="00C51DAA">
        <w:rPr>
          <w:rFonts w:hint="cs"/>
          <w:rtl/>
        </w:rPr>
        <w:t xml:space="preserve">الكثرة الروائيّة العدديّة </w:t>
      </w:r>
      <w:r w:rsidR="00725451">
        <w:rPr>
          <w:rFonts w:hint="cs"/>
          <w:rtl/>
        </w:rPr>
        <w:t xml:space="preserve">بوصفها </w:t>
      </w:r>
      <w:r w:rsidR="00C51DAA">
        <w:rPr>
          <w:rFonts w:hint="cs"/>
          <w:rtl/>
        </w:rPr>
        <w:t>مرجّ</w:t>
      </w:r>
      <w:r w:rsidR="00725451">
        <w:rPr>
          <w:rFonts w:hint="cs"/>
          <w:rtl/>
        </w:rPr>
        <w:t xml:space="preserve">حاً </w:t>
      </w:r>
      <w:r w:rsidR="00C51DAA" w:rsidRPr="00C51DAA">
        <w:rPr>
          <w:rFonts w:hint="cs"/>
          <w:rtl/>
        </w:rPr>
        <w:t>ل</w:t>
      </w:r>
      <w:r w:rsidR="00725451">
        <w:rPr>
          <w:rFonts w:hint="cs"/>
          <w:rtl/>
        </w:rPr>
        <w:t>ل</w:t>
      </w:r>
      <w:r w:rsidR="00C51DAA" w:rsidRPr="00C51DAA">
        <w:rPr>
          <w:rFonts w:hint="cs"/>
          <w:rtl/>
        </w:rPr>
        <w:t>مجموعة المؤيّدة</w:t>
      </w:r>
      <w:r>
        <w:rPr>
          <w:rFonts w:hint="cs"/>
          <w:rtl/>
        </w:rPr>
        <w:t>، نقد وتعليق</w:t>
      </w:r>
      <w:bookmarkEnd w:id="52"/>
      <w:bookmarkEnd w:id="53"/>
    </w:p>
    <w:p w14:paraId="2666EB3A" w14:textId="77777777" w:rsidR="00165A76" w:rsidRDefault="00C51DAA" w:rsidP="00A47C06">
      <w:pPr>
        <w:pStyle w:val="normal870"/>
        <w:rPr>
          <w:rtl/>
        </w:rPr>
      </w:pPr>
      <w:r>
        <w:rPr>
          <w:rFonts w:hint="cs"/>
          <w:rtl/>
        </w:rPr>
        <w:t xml:space="preserve">ذهب بعض العلماء إلى القول بأنّ </w:t>
      </w:r>
      <w:r w:rsidR="000A4159" w:rsidRPr="00822CE9">
        <w:rPr>
          <w:rFonts w:hint="cs"/>
          <w:rtl/>
        </w:rPr>
        <w:t>روايات المدح والتأييد أكبر وأكثر فيما روايات الذم</w:t>
      </w:r>
      <w:r w:rsidR="00165A76">
        <w:rPr>
          <w:rFonts w:hint="cs"/>
          <w:rtl/>
        </w:rPr>
        <w:t>ّ</w:t>
      </w:r>
      <w:r w:rsidR="000A4159" w:rsidRPr="00822CE9">
        <w:rPr>
          <w:rFonts w:hint="cs"/>
          <w:rtl/>
        </w:rPr>
        <w:t xml:space="preserve"> أقل</w:t>
      </w:r>
      <w:r w:rsidR="00165A76">
        <w:rPr>
          <w:rFonts w:hint="cs"/>
          <w:rtl/>
        </w:rPr>
        <w:t>ّ</w:t>
      </w:r>
      <w:r w:rsidR="000A4159" w:rsidRPr="00822CE9">
        <w:rPr>
          <w:rFonts w:hint="cs"/>
          <w:rtl/>
        </w:rPr>
        <w:t xml:space="preserve">، كما قال </w:t>
      </w:r>
      <w:r w:rsidR="00D66194">
        <w:rPr>
          <w:rFonts w:hint="cs"/>
          <w:rtl/>
        </w:rPr>
        <w:t>المجلسي</w:t>
      </w:r>
      <w:r w:rsidR="000A4159" w:rsidRPr="000A4159">
        <w:rPr>
          <w:rFonts w:cs="Taher"/>
          <w:vertAlign w:val="superscript"/>
          <w:rtl/>
        </w:rPr>
        <w:t>(</w:t>
      </w:r>
      <w:r w:rsidR="000A4159" w:rsidRPr="000A4159">
        <w:rPr>
          <w:rStyle w:val="FootnoteReference"/>
          <w:rFonts w:cs="Taher"/>
          <w:rtl/>
        </w:rPr>
        <w:footnoteReference w:id="116"/>
      </w:r>
      <w:r w:rsidR="000A4159" w:rsidRPr="000A4159">
        <w:rPr>
          <w:rFonts w:cs="Taher"/>
          <w:vertAlign w:val="superscript"/>
          <w:rtl/>
        </w:rPr>
        <w:t>)</w:t>
      </w:r>
      <w:r w:rsidR="00165A76">
        <w:rPr>
          <w:rFonts w:hint="cs"/>
          <w:rtl/>
        </w:rPr>
        <w:t>.</w:t>
      </w:r>
      <w:r w:rsidR="00D66194">
        <w:rPr>
          <w:rFonts w:hint="cs"/>
          <w:rtl/>
        </w:rPr>
        <w:t xml:space="preserve"> ولعلّه يمكن العثور على ما يزيد عن </w:t>
      </w:r>
      <w:r w:rsidR="00863066">
        <w:rPr>
          <w:rFonts w:hint="cs"/>
          <w:rtl/>
        </w:rPr>
        <w:t xml:space="preserve">خمس وعشرين </w:t>
      </w:r>
      <w:r w:rsidR="00D66194">
        <w:rPr>
          <w:rFonts w:hint="cs"/>
          <w:rtl/>
        </w:rPr>
        <w:t>رواية في مدحه في شخصه أو سيرته أو في شيءٍ ما يتعلّق به أو بثورته.</w:t>
      </w:r>
    </w:p>
    <w:p w14:paraId="555AD1DB" w14:textId="77777777" w:rsidR="000A4159" w:rsidRDefault="000A4159" w:rsidP="00134801">
      <w:pPr>
        <w:spacing w:line="214" w:lineRule="auto"/>
        <w:rPr>
          <w:rtl/>
        </w:rPr>
      </w:pPr>
      <w:r w:rsidRPr="000F3768">
        <w:rPr>
          <w:rFonts w:hint="cs"/>
          <w:b/>
          <w:bCs/>
          <w:rtl/>
        </w:rPr>
        <w:t>لكن تبيّن من استطلاع النصوص</w:t>
      </w:r>
      <w:r w:rsidRPr="00822CE9">
        <w:rPr>
          <w:rFonts w:hint="cs"/>
          <w:rtl/>
        </w:rPr>
        <w:t xml:space="preserve"> </w:t>
      </w:r>
      <w:r w:rsidR="00134801">
        <w:rPr>
          <w:rFonts w:hint="cs"/>
          <w:rtl/>
        </w:rPr>
        <w:t xml:space="preserve">ـ مما أشرنا له هنا، وما لم نشر له؛ لرجوعه لشخص زيد ـ </w:t>
      </w:r>
      <w:r w:rsidRPr="00822CE9">
        <w:rPr>
          <w:rFonts w:hint="cs"/>
          <w:rtl/>
        </w:rPr>
        <w:t>أن</w:t>
      </w:r>
      <w:r w:rsidR="00165A76">
        <w:rPr>
          <w:rFonts w:hint="cs"/>
          <w:rtl/>
        </w:rPr>
        <w:t>ّ</w:t>
      </w:r>
      <w:r w:rsidRPr="00822CE9">
        <w:rPr>
          <w:rFonts w:hint="cs"/>
          <w:rtl/>
        </w:rPr>
        <w:t xml:space="preserve">ه لا توجد </w:t>
      </w:r>
      <w:r w:rsidR="00134801">
        <w:rPr>
          <w:rFonts w:hint="cs"/>
          <w:rtl/>
        </w:rPr>
        <w:t>أ</w:t>
      </w:r>
      <w:r w:rsidRPr="00822CE9">
        <w:rPr>
          <w:rFonts w:hint="cs"/>
          <w:rtl/>
        </w:rPr>
        <w:t>كثر</w:t>
      </w:r>
      <w:r w:rsidR="00134801">
        <w:rPr>
          <w:rFonts w:hint="cs"/>
          <w:rtl/>
        </w:rPr>
        <w:t>يّة</w:t>
      </w:r>
      <w:r w:rsidRPr="00822CE9">
        <w:rPr>
          <w:rFonts w:hint="cs"/>
          <w:rtl/>
        </w:rPr>
        <w:t xml:space="preserve"> حقيقي</w:t>
      </w:r>
      <w:r w:rsidR="00165A76">
        <w:rPr>
          <w:rFonts w:hint="cs"/>
          <w:rtl/>
        </w:rPr>
        <w:t>ّ</w:t>
      </w:r>
      <w:r w:rsidRPr="00822CE9">
        <w:rPr>
          <w:rFonts w:hint="cs"/>
          <w:rtl/>
        </w:rPr>
        <w:t>ة</w:t>
      </w:r>
      <w:r w:rsidR="00165A76">
        <w:rPr>
          <w:rFonts w:hint="cs"/>
          <w:rtl/>
        </w:rPr>
        <w:t>،</w:t>
      </w:r>
      <w:r w:rsidRPr="00822CE9">
        <w:rPr>
          <w:rFonts w:hint="cs"/>
          <w:rtl/>
        </w:rPr>
        <w:t xml:space="preserve"> فهناك كما قلنا بين الروايات ذات الدلالة </w:t>
      </w:r>
      <w:r w:rsidR="00134801">
        <w:rPr>
          <w:rFonts w:hint="cs"/>
          <w:rtl/>
        </w:rPr>
        <w:t xml:space="preserve">هنا </w:t>
      </w:r>
      <w:r w:rsidRPr="00822CE9">
        <w:rPr>
          <w:rFonts w:hint="cs"/>
          <w:rtl/>
        </w:rPr>
        <w:t xml:space="preserve">ثماني روايات </w:t>
      </w:r>
      <w:r w:rsidR="00165A76">
        <w:rPr>
          <w:rFonts w:hint="cs"/>
          <w:rtl/>
        </w:rPr>
        <w:t>مؤ</w:t>
      </w:r>
      <w:r w:rsidRPr="00822CE9">
        <w:rPr>
          <w:rFonts w:hint="cs"/>
          <w:rtl/>
        </w:rPr>
        <w:t>ي</w:t>
      </w:r>
      <w:r w:rsidR="00165A76">
        <w:rPr>
          <w:rFonts w:hint="cs"/>
          <w:rtl/>
        </w:rPr>
        <w:t>ّ</w:t>
      </w:r>
      <w:r w:rsidRPr="00822CE9">
        <w:rPr>
          <w:rFonts w:hint="cs"/>
          <w:rtl/>
        </w:rPr>
        <w:t>دة مقابل ست</w:t>
      </w:r>
      <w:r w:rsidR="00165A76">
        <w:rPr>
          <w:rFonts w:hint="cs"/>
          <w:rtl/>
        </w:rPr>
        <w:t>ّ</w:t>
      </w:r>
      <w:r w:rsidRPr="00822CE9">
        <w:rPr>
          <w:rFonts w:hint="cs"/>
          <w:rtl/>
        </w:rPr>
        <w:t xml:space="preserve"> رافضة، وبين الرافضة روايتان في الكافي، فكيف تحصل الكثرة الموجبة لحصول الاطمئنان في ظل</w:t>
      </w:r>
      <w:r w:rsidR="00165A76">
        <w:rPr>
          <w:rFonts w:hint="cs"/>
          <w:rtl/>
        </w:rPr>
        <w:t>ّ</w:t>
      </w:r>
      <w:r w:rsidRPr="00822CE9">
        <w:rPr>
          <w:rFonts w:hint="cs"/>
          <w:rtl/>
        </w:rPr>
        <w:t xml:space="preserve"> الوضع السندي الذي أشرنا إليه.</w:t>
      </w:r>
    </w:p>
    <w:p w14:paraId="1831AAD5" w14:textId="77777777" w:rsidR="00D72DE1" w:rsidRDefault="00134801" w:rsidP="00863066">
      <w:pPr>
        <w:spacing w:line="214" w:lineRule="auto"/>
        <w:rPr>
          <w:rtl/>
        </w:rPr>
      </w:pPr>
      <w:r>
        <w:rPr>
          <w:rFonts w:hint="cs"/>
          <w:rtl/>
        </w:rPr>
        <w:t xml:space="preserve">أضف إلى ذلك أنّنا لو راجعنا مجمل روايات زيد في شخصه وحركته وليس فقط في ثورته، لوجدنا أنّ روايات المدح تزيد عن </w:t>
      </w:r>
      <w:r w:rsidR="00863066">
        <w:rPr>
          <w:rFonts w:hint="cs"/>
          <w:rtl/>
        </w:rPr>
        <w:t>خمس وعشرين</w:t>
      </w:r>
      <w:r>
        <w:rPr>
          <w:rFonts w:hint="cs"/>
          <w:rtl/>
        </w:rPr>
        <w:t>، وروايات الذمّ تزيد عن العشرين، فأيّ أكثريّة ساحقة توجب الترجيح في هذا المضمار؟!</w:t>
      </w:r>
      <w:r w:rsidR="00CB60C6">
        <w:rPr>
          <w:rFonts w:hint="cs"/>
          <w:rtl/>
        </w:rPr>
        <w:t xml:space="preserve"> هذا فضلاً عن أنّنا لاحظنا ورود أسماء أشخاص من الزيديّة في أسانيد النصوص المادحة، وهذا يتطلّب مراعاة النسبة الوثوقيّة في هذه الحال.</w:t>
      </w:r>
    </w:p>
    <w:p w14:paraId="447372EA" w14:textId="77777777" w:rsidR="00D72DE1" w:rsidRDefault="00D66194" w:rsidP="00D72DE1">
      <w:pPr>
        <w:spacing w:line="214" w:lineRule="auto"/>
        <w:rPr>
          <w:rtl/>
        </w:rPr>
      </w:pPr>
      <w:r>
        <w:rPr>
          <w:rFonts w:hint="cs"/>
          <w:rtl/>
        </w:rPr>
        <w:t xml:space="preserve">ولا بأس بنقل ما قاله الخوئي هنا حول الروايات المادحة لزيد: </w:t>
      </w:r>
      <w:r>
        <w:rPr>
          <w:rFonts w:hint="eastAsia"/>
          <w:rtl/>
        </w:rPr>
        <w:t>«</w:t>
      </w:r>
      <w:r w:rsidRPr="00D66194">
        <w:rPr>
          <w:rtl/>
        </w:rPr>
        <w:t>وإن</w:t>
      </w:r>
      <w:r>
        <w:rPr>
          <w:rFonts w:hint="cs"/>
          <w:rtl/>
        </w:rPr>
        <w:t>ّ</w:t>
      </w:r>
      <w:r w:rsidRPr="00D66194">
        <w:rPr>
          <w:rtl/>
        </w:rPr>
        <w:t xml:space="preserve"> استفاضة الروايات أغنتنا عن النظر في إسنادها</w:t>
      </w:r>
      <w:r>
        <w:rPr>
          <w:rFonts w:hint="cs"/>
          <w:rtl/>
        </w:rPr>
        <w:t>،</w:t>
      </w:r>
      <w:r w:rsidRPr="00D66194">
        <w:rPr>
          <w:rtl/>
        </w:rPr>
        <w:t xml:space="preserve"> وإن كانت جل</w:t>
      </w:r>
      <w:r>
        <w:rPr>
          <w:rFonts w:hint="cs"/>
          <w:rtl/>
        </w:rPr>
        <w:t>ّ</w:t>
      </w:r>
      <w:r w:rsidRPr="00D66194">
        <w:rPr>
          <w:rtl/>
        </w:rPr>
        <w:t>ها</w:t>
      </w:r>
      <w:r>
        <w:rPr>
          <w:rFonts w:hint="cs"/>
          <w:rtl/>
        </w:rPr>
        <w:t>،</w:t>
      </w:r>
      <w:r w:rsidRPr="00D66194">
        <w:rPr>
          <w:rtl/>
        </w:rPr>
        <w:t xml:space="preserve"> بل</w:t>
      </w:r>
      <w:r>
        <w:rPr>
          <w:rFonts w:hint="cs"/>
          <w:rtl/>
        </w:rPr>
        <w:t xml:space="preserve"> </w:t>
      </w:r>
      <w:r w:rsidRPr="00D66194">
        <w:rPr>
          <w:rtl/>
        </w:rPr>
        <w:t>كل</w:t>
      </w:r>
      <w:r>
        <w:rPr>
          <w:rFonts w:hint="cs"/>
          <w:rtl/>
        </w:rPr>
        <w:t>ّ</w:t>
      </w:r>
      <w:r w:rsidRPr="00D66194">
        <w:rPr>
          <w:rtl/>
        </w:rPr>
        <w:t>ها ضعيفة أو قابلة للمناقشة، على أن</w:t>
      </w:r>
      <w:r>
        <w:rPr>
          <w:rFonts w:hint="cs"/>
          <w:rtl/>
        </w:rPr>
        <w:t>ّ</w:t>
      </w:r>
      <w:r w:rsidRPr="00D66194">
        <w:rPr>
          <w:rtl/>
        </w:rPr>
        <w:t xml:space="preserve"> في ما ذكرناه أو</w:t>
      </w:r>
      <w:r>
        <w:rPr>
          <w:rFonts w:hint="cs"/>
          <w:rtl/>
        </w:rPr>
        <w:t>ّ</w:t>
      </w:r>
      <w:r w:rsidRPr="00D66194">
        <w:rPr>
          <w:rtl/>
        </w:rPr>
        <w:t>لا</w:t>
      </w:r>
      <w:r>
        <w:rPr>
          <w:rFonts w:hint="cs"/>
          <w:rtl/>
        </w:rPr>
        <w:t>ً</w:t>
      </w:r>
      <w:r w:rsidRPr="00D66194">
        <w:rPr>
          <w:rtl/>
        </w:rPr>
        <w:t xml:space="preserve"> غنى وكفاية، ومن أراد</w:t>
      </w:r>
      <w:r>
        <w:rPr>
          <w:rFonts w:hint="cs"/>
          <w:rtl/>
        </w:rPr>
        <w:t xml:space="preserve"> </w:t>
      </w:r>
      <w:r w:rsidRPr="00D66194">
        <w:rPr>
          <w:rtl/>
        </w:rPr>
        <w:t>الاط</w:t>
      </w:r>
      <w:r>
        <w:rPr>
          <w:rFonts w:hint="cs"/>
          <w:rtl/>
        </w:rPr>
        <w:t>ّ</w:t>
      </w:r>
      <w:r w:rsidRPr="00D66194">
        <w:rPr>
          <w:rtl/>
        </w:rPr>
        <w:t>لاع عليها فليراجع كتابي الأمالي والعيون للصدوق قد</w:t>
      </w:r>
      <w:r>
        <w:rPr>
          <w:rFonts w:hint="cs"/>
          <w:rtl/>
        </w:rPr>
        <w:t>ّ</w:t>
      </w:r>
      <w:r w:rsidRPr="00D66194">
        <w:rPr>
          <w:rtl/>
        </w:rPr>
        <w:t>س سر</w:t>
      </w:r>
      <w:r>
        <w:rPr>
          <w:rFonts w:hint="cs"/>
          <w:rtl/>
        </w:rPr>
        <w:t>ّ</w:t>
      </w:r>
      <w:r w:rsidRPr="00D66194">
        <w:rPr>
          <w:rtl/>
        </w:rPr>
        <w:t>ه</w:t>
      </w:r>
      <w:r>
        <w:rPr>
          <w:rFonts w:hint="cs"/>
          <w:rtl/>
        </w:rPr>
        <w:t xml:space="preserve"> </w:t>
      </w:r>
      <w:r w:rsidRPr="00D66194">
        <w:rPr>
          <w:rtl/>
        </w:rPr>
        <w:t>وغيرهما</w:t>
      </w:r>
      <w:r>
        <w:rPr>
          <w:rFonts w:hint="cs"/>
          <w:rtl/>
        </w:rPr>
        <w:t>»</w:t>
      </w:r>
      <w:r w:rsidRPr="000A4159">
        <w:rPr>
          <w:rFonts w:cs="Taher"/>
          <w:vertAlign w:val="superscript"/>
          <w:rtl/>
        </w:rPr>
        <w:t>(</w:t>
      </w:r>
      <w:r w:rsidRPr="000A4159">
        <w:rPr>
          <w:rStyle w:val="FootnoteReference"/>
          <w:rFonts w:cs="Taher"/>
          <w:rtl/>
        </w:rPr>
        <w:footnoteReference w:id="117"/>
      </w:r>
      <w:r w:rsidRPr="000A4159">
        <w:rPr>
          <w:rFonts w:cs="Taher"/>
          <w:vertAlign w:val="superscript"/>
          <w:rtl/>
        </w:rPr>
        <w:t>)</w:t>
      </w:r>
      <w:r>
        <w:rPr>
          <w:rFonts w:hint="cs"/>
          <w:rtl/>
        </w:rPr>
        <w:t>.</w:t>
      </w:r>
    </w:p>
    <w:p w14:paraId="1C0C4411" w14:textId="77777777" w:rsidR="00CB60C6" w:rsidRPr="00CB60C6" w:rsidRDefault="00503DDA" w:rsidP="0096148C">
      <w:pPr>
        <w:pStyle w:val="Heading4"/>
        <w:rPr>
          <w:rtl/>
        </w:rPr>
      </w:pPr>
      <w:bookmarkStart w:id="54" w:name="_Toc143804117"/>
      <w:bookmarkStart w:id="55" w:name="_Toc238123242"/>
      <w:r>
        <w:rPr>
          <w:rFonts w:hint="cs"/>
          <w:rtl/>
        </w:rPr>
        <w:t>11 ـ 2 ـ 2 ـ ا</w:t>
      </w:r>
      <w:r w:rsidR="00CB60C6" w:rsidRPr="00CB60C6">
        <w:rPr>
          <w:rFonts w:hint="cs"/>
          <w:rtl/>
        </w:rPr>
        <w:t xml:space="preserve">لترجيح بفرضيّة اختلاق </w:t>
      </w:r>
      <w:r w:rsidR="00031E2C">
        <w:rPr>
          <w:rFonts w:hint="cs"/>
          <w:rtl/>
        </w:rPr>
        <w:t>الأموي</w:t>
      </w:r>
      <w:r w:rsidR="00205919">
        <w:rPr>
          <w:rFonts w:hint="cs"/>
          <w:rtl/>
        </w:rPr>
        <w:t>ّ</w:t>
      </w:r>
      <w:r w:rsidR="00031E2C">
        <w:rPr>
          <w:rFonts w:hint="cs"/>
          <w:rtl/>
        </w:rPr>
        <w:t>ين و</w:t>
      </w:r>
      <w:r w:rsidR="00CB60C6" w:rsidRPr="00CB60C6">
        <w:rPr>
          <w:rFonts w:hint="cs"/>
          <w:rtl/>
        </w:rPr>
        <w:t>العباسي</w:t>
      </w:r>
      <w:r w:rsidR="00031E2C">
        <w:rPr>
          <w:rFonts w:hint="cs"/>
          <w:rtl/>
        </w:rPr>
        <w:t>ّ</w:t>
      </w:r>
      <w:r w:rsidR="00CB60C6" w:rsidRPr="00CB60C6">
        <w:rPr>
          <w:rFonts w:hint="cs"/>
          <w:rtl/>
        </w:rPr>
        <w:t>ين نصوص الذمّ</w:t>
      </w:r>
      <w:r>
        <w:rPr>
          <w:rFonts w:hint="cs"/>
          <w:rtl/>
        </w:rPr>
        <w:t xml:space="preserve">، إشكال </w:t>
      </w:r>
      <w:r>
        <w:rPr>
          <w:rFonts w:hint="cs"/>
          <w:rtl/>
        </w:rPr>
        <w:lastRenderedPageBreak/>
        <w:t>وترقٍّ</w:t>
      </w:r>
      <w:bookmarkEnd w:id="54"/>
      <w:bookmarkEnd w:id="55"/>
    </w:p>
    <w:p w14:paraId="1D9BF77A" w14:textId="77777777" w:rsidR="00CB60C6" w:rsidRDefault="00CB60C6" w:rsidP="00A47C06">
      <w:pPr>
        <w:pStyle w:val="normal84"/>
        <w:rPr>
          <w:rtl/>
        </w:rPr>
      </w:pPr>
      <w:r>
        <w:rPr>
          <w:rFonts w:hint="cs"/>
          <w:rtl/>
        </w:rPr>
        <w:t>المحاولة الأخرى هنا ما ذكره بعضهم</w:t>
      </w:r>
      <w:r w:rsidR="008F2F88" w:rsidRPr="000A4159">
        <w:rPr>
          <w:rFonts w:cs="Taher"/>
          <w:vertAlign w:val="superscript"/>
          <w:rtl/>
        </w:rPr>
        <w:t>(</w:t>
      </w:r>
      <w:r w:rsidR="008F2F88" w:rsidRPr="000A4159">
        <w:rPr>
          <w:rStyle w:val="FootnoteReference"/>
          <w:rFonts w:cs="Taher"/>
          <w:rtl/>
        </w:rPr>
        <w:footnoteReference w:id="118"/>
      </w:r>
      <w:r w:rsidR="008F2F88" w:rsidRPr="000A4159">
        <w:rPr>
          <w:rFonts w:cs="Taher"/>
          <w:vertAlign w:val="superscript"/>
          <w:rtl/>
        </w:rPr>
        <w:t>)</w:t>
      </w:r>
      <w:r>
        <w:rPr>
          <w:rFonts w:hint="cs"/>
          <w:rtl/>
        </w:rPr>
        <w:t xml:space="preserve"> من أنّ روايات ذمّ زيد يترجّح أنّها مختَلَقَة من طرف </w:t>
      </w:r>
      <w:r w:rsidR="00031E2C">
        <w:rPr>
          <w:rFonts w:hint="cs"/>
          <w:rtl/>
        </w:rPr>
        <w:t xml:space="preserve">الأمويّين ثمّ </w:t>
      </w:r>
      <w:r>
        <w:rPr>
          <w:rFonts w:hint="cs"/>
          <w:rtl/>
        </w:rPr>
        <w:t>العباسيّين وأنصارهم لاحقاً؛ بهدف إيقاع الفتنة بين الشيعة الإمامية والزيديّة، وكلاهما من معارضي الدولة العباسيّة، وهو ما تترتّب عليه مصالح سياسيّة وأمنيّة عليا لهذه الدولة.</w:t>
      </w:r>
    </w:p>
    <w:p w14:paraId="0371B8C0" w14:textId="77777777" w:rsidR="00D33EA7" w:rsidRDefault="00CB60C6" w:rsidP="00A47C06">
      <w:pPr>
        <w:pStyle w:val="normal84"/>
        <w:rPr>
          <w:rtl/>
        </w:rPr>
      </w:pPr>
      <w:r w:rsidRPr="000F3768">
        <w:rPr>
          <w:rFonts w:hint="cs"/>
          <w:b/>
          <w:bCs/>
          <w:rtl/>
        </w:rPr>
        <w:t>ومن الواضح أنّ هذه الفرضيّة ممكنة في نفسها</w:t>
      </w:r>
      <w:r w:rsidR="00B934BF" w:rsidRPr="000A4159">
        <w:rPr>
          <w:rFonts w:cs="Taher"/>
          <w:vertAlign w:val="superscript"/>
          <w:rtl/>
        </w:rPr>
        <w:t>(</w:t>
      </w:r>
      <w:r w:rsidR="00B934BF" w:rsidRPr="000A4159">
        <w:rPr>
          <w:rStyle w:val="FootnoteReference"/>
          <w:rFonts w:cs="Taher"/>
          <w:rtl/>
        </w:rPr>
        <w:footnoteReference w:id="119"/>
      </w:r>
      <w:r w:rsidR="00B934BF" w:rsidRPr="000A4159">
        <w:rPr>
          <w:rFonts w:cs="Taher"/>
          <w:vertAlign w:val="superscript"/>
          <w:rtl/>
        </w:rPr>
        <w:t>)</w:t>
      </w:r>
      <w:r w:rsidRPr="000F3768">
        <w:rPr>
          <w:rFonts w:hint="cs"/>
          <w:b/>
          <w:bCs/>
          <w:rtl/>
        </w:rPr>
        <w:t>، غير أنّ السؤال عن دليل إثباتها،</w:t>
      </w:r>
      <w:r>
        <w:rPr>
          <w:rFonts w:hint="cs"/>
          <w:rtl/>
        </w:rPr>
        <w:t xml:space="preserve"> بوصفها مرجّحاً، وبخاصّة مع عدم العثور على أسماء في الرواة الناقلين لنصوص الذمّ فيهم شبهة الميل للعباسيّين</w:t>
      </w:r>
      <w:r w:rsidR="00031E2C">
        <w:rPr>
          <w:rFonts w:hint="cs"/>
          <w:rtl/>
        </w:rPr>
        <w:t xml:space="preserve"> أو الأمويّين</w:t>
      </w:r>
      <w:r>
        <w:rPr>
          <w:rFonts w:hint="cs"/>
          <w:rtl/>
        </w:rPr>
        <w:t xml:space="preserve">، </w:t>
      </w:r>
      <w:r w:rsidRPr="00B934BF">
        <w:rPr>
          <w:rFonts w:hint="cs"/>
          <w:b/>
          <w:bCs/>
          <w:rtl/>
        </w:rPr>
        <w:t>بل يمكن طرح فرضيّة منافِسة هنا بأنّ نقول:</w:t>
      </w:r>
      <w:r>
        <w:rPr>
          <w:rFonts w:hint="cs"/>
          <w:rtl/>
        </w:rPr>
        <w:t xml:space="preserve"> كما يمكن فرض أنّ الروايات الذامّة موضوعة عباسيّاً كذلك يمكن للطرف الآخر أن يقول بأنّ روايات المدح موضوعة زيديّاً لجلب بقايا الشيعة للتيار الزيدي لاحقاً، </w:t>
      </w:r>
      <w:r w:rsidR="00B934BF">
        <w:rPr>
          <w:rFonts w:hint="cs"/>
          <w:rtl/>
        </w:rPr>
        <w:t>وب</w:t>
      </w:r>
      <w:r>
        <w:rPr>
          <w:rFonts w:hint="cs"/>
          <w:rtl/>
        </w:rPr>
        <w:t>خاصّة أنّنا لاحظنا وجود أسماء من الزيديّة في أسانيد العديد من الروايات المادحة كما تقدّم.</w:t>
      </w:r>
    </w:p>
    <w:p w14:paraId="3CC93E6B" w14:textId="77777777" w:rsidR="00CB60C6" w:rsidRDefault="00D33EA7" w:rsidP="00D33EA7">
      <w:pPr>
        <w:spacing w:line="214" w:lineRule="auto"/>
        <w:rPr>
          <w:rtl/>
        </w:rPr>
      </w:pPr>
      <w:r w:rsidRPr="00B934BF">
        <w:rPr>
          <w:rFonts w:hint="cs"/>
          <w:b/>
          <w:bCs/>
          <w:rtl/>
        </w:rPr>
        <w:t xml:space="preserve">بل يمكن الترقّي أكثر بافتراض أنّ الأمويّين أقحموا ـ باختلاق روايات المدح ـ اسمَ الإمام الصادق؛ لجعله مستهدَفاً من قبلهم وتبرير الضغط عليه وعلى المقرّبين منه </w:t>
      </w:r>
      <w:r>
        <w:rPr>
          <w:rFonts w:hint="cs"/>
          <w:rtl/>
        </w:rPr>
        <w:t>وشيعته أكثر فأكثر، فإنّ هذا احتمالٌ ممكن أيضاً بالمراقبة التاريخيّة، فكيف يمكن نفيه أو ترجيح احتمالٍ آخرَ عليه؟!</w:t>
      </w:r>
    </w:p>
    <w:p w14:paraId="0F6C7035" w14:textId="77777777" w:rsidR="00031E2C" w:rsidRPr="00031E2C" w:rsidRDefault="00503DDA" w:rsidP="0096148C">
      <w:pPr>
        <w:pStyle w:val="Heading4"/>
        <w:rPr>
          <w:rtl/>
        </w:rPr>
      </w:pPr>
      <w:bookmarkStart w:id="56" w:name="_Toc143804118"/>
      <w:bookmarkStart w:id="57" w:name="_Toc238123243"/>
      <w:r>
        <w:rPr>
          <w:rFonts w:hint="cs"/>
          <w:rtl/>
        </w:rPr>
        <w:t xml:space="preserve">11 ـ 2 ـ 3 ـ </w:t>
      </w:r>
      <w:r w:rsidR="00031E2C" w:rsidRPr="00031E2C">
        <w:rPr>
          <w:rFonts w:hint="cs"/>
          <w:rtl/>
        </w:rPr>
        <w:t>الترجيح بشهرة مدح زيد بين الإماميّة</w:t>
      </w:r>
      <w:r>
        <w:rPr>
          <w:rFonts w:hint="cs"/>
          <w:rtl/>
        </w:rPr>
        <w:t>، عرض وتفنيد</w:t>
      </w:r>
      <w:bookmarkEnd w:id="56"/>
      <w:bookmarkEnd w:id="57"/>
    </w:p>
    <w:p w14:paraId="4E1952DB" w14:textId="77777777" w:rsidR="00165A76" w:rsidRDefault="00031E2C" w:rsidP="00A47C06">
      <w:pPr>
        <w:pStyle w:val="normal930"/>
        <w:rPr>
          <w:rtl/>
        </w:rPr>
      </w:pPr>
      <w:r>
        <w:rPr>
          <w:rFonts w:hint="cs"/>
          <w:rtl/>
        </w:rPr>
        <w:t>المحاولة الأخرى هنا هو ال</w:t>
      </w:r>
      <w:r w:rsidR="000A4159" w:rsidRPr="00822CE9">
        <w:rPr>
          <w:rFonts w:hint="cs"/>
          <w:rtl/>
        </w:rPr>
        <w:t>قول</w:t>
      </w:r>
      <w:r>
        <w:rPr>
          <w:rFonts w:hint="cs"/>
          <w:rtl/>
        </w:rPr>
        <w:t xml:space="preserve"> بأ</w:t>
      </w:r>
      <w:r w:rsidR="000A4159" w:rsidRPr="00822CE9">
        <w:rPr>
          <w:rFonts w:hint="cs"/>
          <w:rtl/>
        </w:rPr>
        <w:t>ن</w:t>
      </w:r>
      <w:r w:rsidR="00165A76">
        <w:rPr>
          <w:rFonts w:hint="cs"/>
          <w:rtl/>
        </w:rPr>
        <w:t>ّ</w:t>
      </w:r>
      <w:r w:rsidR="000A4159" w:rsidRPr="00822CE9">
        <w:rPr>
          <w:rFonts w:hint="cs"/>
          <w:rtl/>
        </w:rPr>
        <w:t xml:space="preserve"> المشهور بين الإمامي</w:t>
      </w:r>
      <w:r w:rsidR="00E312D1">
        <w:rPr>
          <w:rFonts w:hint="cs"/>
          <w:rtl/>
        </w:rPr>
        <w:t>ّ</w:t>
      </w:r>
      <w:r w:rsidR="000A4159" w:rsidRPr="00822CE9">
        <w:rPr>
          <w:rFonts w:hint="cs"/>
          <w:rtl/>
        </w:rPr>
        <w:t xml:space="preserve">ة </w:t>
      </w:r>
      <w:r>
        <w:rPr>
          <w:rFonts w:hint="cs"/>
          <w:rtl/>
        </w:rPr>
        <w:t>مدح زيدٍ و</w:t>
      </w:r>
      <w:r w:rsidR="000A4159" w:rsidRPr="00822CE9">
        <w:rPr>
          <w:rFonts w:hint="cs"/>
          <w:rtl/>
        </w:rPr>
        <w:t>تأييد ثور</w:t>
      </w:r>
      <w:r>
        <w:rPr>
          <w:rFonts w:hint="cs"/>
          <w:rtl/>
        </w:rPr>
        <w:t>ته</w:t>
      </w:r>
      <w:r w:rsidR="00165A76">
        <w:rPr>
          <w:rFonts w:hint="cs"/>
          <w:rtl/>
        </w:rPr>
        <w:t>،</w:t>
      </w:r>
      <w:r w:rsidR="000A4159" w:rsidRPr="00822CE9">
        <w:rPr>
          <w:rFonts w:hint="cs"/>
          <w:rtl/>
        </w:rPr>
        <w:t xml:space="preserve"> فيكون هذا العمل المشهوري موجب</w:t>
      </w:r>
      <w:r w:rsidR="00165A76">
        <w:rPr>
          <w:rFonts w:hint="cs"/>
          <w:rtl/>
        </w:rPr>
        <w:t xml:space="preserve">اً </w:t>
      </w:r>
      <w:r w:rsidR="000A4159" w:rsidRPr="00822CE9">
        <w:rPr>
          <w:rFonts w:hint="cs"/>
          <w:rtl/>
        </w:rPr>
        <w:t>لليقين بروايات التأييد</w:t>
      </w:r>
      <w:r>
        <w:rPr>
          <w:rFonts w:hint="cs"/>
          <w:rtl/>
        </w:rPr>
        <w:t>، إمّا بما هو شهرة فتوائيّة (بمعنى الموقف)، أو بوصف هذه الشهرة جابرةً لضعف الأسانيد في نصوص المدح</w:t>
      </w:r>
      <w:r w:rsidR="00C3673F">
        <w:rPr>
          <w:rFonts w:hint="cs"/>
          <w:rtl/>
        </w:rPr>
        <w:t>، أو بوصفها ـ من حيث كونها إعراضاً عن روايات الذمّ ـ موجبّةً لوهن نصوص الذمّ</w:t>
      </w:r>
      <w:r w:rsidR="008F2F88" w:rsidRPr="000A4159">
        <w:rPr>
          <w:rFonts w:cs="Taher"/>
          <w:vertAlign w:val="superscript"/>
          <w:rtl/>
        </w:rPr>
        <w:t>(</w:t>
      </w:r>
      <w:r w:rsidR="008F2F88" w:rsidRPr="000A4159">
        <w:rPr>
          <w:rStyle w:val="FootnoteReference"/>
          <w:rFonts w:cs="Taher"/>
          <w:rtl/>
        </w:rPr>
        <w:footnoteReference w:id="120"/>
      </w:r>
      <w:r w:rsidR="008F2F88" w:rsidRPr="000A4159">
        <w:rPr>
          <w:rFonts w:cs="Taher"/>
          <w:vertAlign w:val="superscript"/>
          <w:rtl/>
        </w:rPr>
        <w:t>)</w:t>
      </w:r>
      <w:r w:rsidR="00165A76">
        <w:rPr>
          <w:rFonts w:hint="cs"/>
          <w:rtl/>
        </w:rPr>
        <w:t>.</w:t>
      </w:r>
    </w:p>
    <w:p w14:paraId="3C8C7ED7" w14:textId="77777777" w:rsidR="00E312D1" w:rsidRDefault="00E312D1" w:rsidP="00A47C06">
      <w:pPr>
        <w:rPr>
          <w:rtl/>
        </w:rPr>
      </w:pPr>
      <w:r w:rsidRPr="00CD4EF6">
        <w:rPr>
          <w:rFonts w:hint="cs"/>
          <w:b/>
          <w:bCs/>
          <w:rtl/>
        </w:rPr>
        <w:lastRenderedPageBreak/>
        <w:t>قال الشيخ المفيد (413هـ):</w:t>
      </w:r>
      <w:r>
        <w:rPr>
          <w:rFonts w:hint="cs"/>
          <w:rtl/>
        </w:rPr>
        <w:t xml:space="preserve"> </w:t>
      </w:r>
      <w:r>
        <w:rPr>
          <w:rFonts w:hint="eastAsia"/>
          <w:rtl/>
        </w:rPr>
        <w:t>«</w:t>
      </w:r>
      <w:r w:rsidRPr="00E312D1">
        <w:rPr>
          <w:rtl/>
        </w:rPr>
        <w:t>كان زيد بن علي بن الحسين عين إخوته بعد أبي جعفر</w:t>
      </w:r>
      <w:r>
        <w:rPr>
          <w:rFonts w:hint="cs"/>
          <w:rtl/>
        </w:rPr>
        <w:t xml:space="preserve">× </w:t>
      </w:r>
      <w:r w:rsidRPr="00E312D1">
        <w:rPr>
          <w:rtl/>
        </w:rPr>
        <w:t>وأفضلهم، وكان عابدا</w:t>
      </w:r>
      <w:r>
        <w:rPr>
          <w:rFonts w:hint="cs"/>
          <w:rtl/>
        </w:rPr>
        <w:t>ً</w:t>
      </w:r>
      <w:r w:rsidRPr="00E312D1">
        <w:rPr>
          <w:rtl/>
        </w:rPr>
        <w:t xml:space="preserve"> ورعا</w:t>
      </w:r>
      <w:r>
        <w:rPr>
          <w:rFonts w:hint="cs"/>
          <w:rtl/>
        </w:rPr>
        <w:t>ً</w:t>
      </w:r>
      <w:r w:rsidRPr="00E312D1">
        <w:rPr>
          <w:rtl/>
        </w:rPr>
        <w:t xml:space="preserve"> فقيها</w:t>
      </w:r>
      <w:r>
        <w:rPr>
          <w:rFonts w:hint="cs"/>
          <w:rtl/>
        </w:rPr>
        <w:t>ً</w:t>
      </w:r>
      <w:r w:rsidRPr="00E312D1">
        <w:rPr>
          <w:rtl/>
        </w:rPr>
        <w:t xml:space="preserve"> سخي</w:t>
      </w:r>
      <w:r>
        <w:rPr>
          <w:rFonts w:hint="cs"/>
          <w:rtl/>
        </w:rPr>
        <w:t>ّ</w:t>
      </w:r>
      <w:r w:rsidRPr="00E312D1">
        <w:rPr>
          <w:rtl/>
        </w:rPr>
        <w:t>ا</w:t>
      </w:r>
      <w:r>
        <w:rPr>
          <w:rFonts w:hint="cs"/>
          <w:rtl/>
        </w:rPr>
        <w:t>ً</w:t>
      </w:r>
      <w:r w:rsidRPr="00E312D1">
        <w:rPr>
          <w:rtl/>
        </w:rPr>
        <w:t xml:space="preserve"> شجاعا</w:t>
      </w:r>
      <w:r>
        <w:rPr>
          <w:rFonts w:hint="cs"/>
          <w:rtl/>
        </w:rPr>
        <w:t>ً</w:t>
      </w:r>
      <w:r w:rsidRPr="00E312D1">
        <w:rPr>
          <w:rtl/>
        </w:rPr>
        <w:t>، وظهر بالسيف يأمر</w:t>
      </w:r>
      <w:r>
        <w:rPr>
          <w:rFonts w:hint="cs"/>
          <w:rtl/>
        </w:rPr>
        <w:t xml:space="preserve"> </w:t>
      </w:r>
      <w:r w:rsidRPr="00E312D1">
        <w:rPr>
          <w:rtl/>
        </w:rPr>
        <w:t>بالمعروف وينهي عن المنكر ويطالب بثارات الحسين</w:t>
      </w:r>
      <w:r>
        <w:rPr>
          <w:rFonts w:hint="cs"/>
          <w:rtl/>
        </w:rPr>
        <w:t>×</w:t>
      </w:r>
      <w:r>
        <w:rPr>
          <w:rFonts w:hint="eastAsia"/>
          <w:rtl/>
        </w:rPr>
        <w:t>»</w:t>
      </w:r>
      <w:r w:rsidRPr="000A4159">
        <w:rPr>
          <w:rFonts w:cs="Taher"/>
          <w:vertAlign w:val="superscript"/>
          <w:rtl/>
        </w:rPr>
        <w:t>(</w:t>
      </w:r>
      <w:r w:rsidRPr="000A4159">
        <w:rPr>
          <w:rStyle w:val="FootnoteReference"/>
          <w:rFonts w:cs="Taher"/>
          <w:rtl/>
        </w:rPr>
        <w:footnoteReference w:id="121"/>
      </w:r>
      <w:r w:rsidRPr="000A4159">
        <w:rPr>
          <w:rFonts w:cs="Taher"/>
          <w:vertAlign w:val="superscript"/>
          <w:rtl/>
        </w:rPr>
        <w:t>)</w:t>
      </w:r>
      <w:r w:rsidRPr="00E312D1">
        <w:rPr>
          <w:rtl/>
        </w:rPr>
        <w:t>.</w:t>
      </w:r>
    </w:p>
    <w:p w14:paraId="74EACB6E" w14:textId="77777777" w:rsidR="00E312D1" w:rsidRDefault="00E312D1" w:rsidP="00CA209C">
      <w:pPr>
        <w:spacing w:line="214" w:lineRule="auto"/>
        <w:rPr>
          <w:rtl/>
        </w:rPr>
      </w:pPr>
      <w:r w:rsidRPr="00CD4EF6">
        <w:rPr>
          <w:rFonts w:hint="cs"/>
          <w:b/>
          <w:bCs/>
          <w:rtl/>
        </w:rPr>
        <w:t>وقال الخزاز القمي</w:t>
      </w:r>
      <w:r w:rsidR="00CA209C" w:rsidRPr="00CD4EF6">
        <w:rPr>
          <w:rFonts w:hint="cs"/>
          <w:b/>
          <w:bCs/>
          <w:rtl/>
        </w:rPr>
        <w:t xml:space="preserve"> (ق 4هـ)</w:t>
      </w:r>
      <w:r w:rsidRPr="00CD4EF6">
        <w:rPr>
          <w:rFonts w:hint="cs"/>
          <w:b/>
          <w:bCs/>
          <w:rtl/>
        </w:rPr>
        <w:t>:</w:t>
      </w:r>
      <w:r>
        <w:rPr>
          <w:rFonts w:hint="cs"/>
          <w:rtl/>
        </w:rPr>
        <w:t xml:space="preserve"> </w:t>
      </w:r>
      <w:r>
        <w:rPr>
          <w:rFonts w:hint="eastAsia"/>
          <w:rtl/>
        </w:rPr>
        <w:t>«</w:t>
      </w:r>
      <w:r w:rsidRPr="00E312D1">
        <w:rPr>
          <w:rtl/>
        </w:rPr>
        <w:t>إن</w:t>
      </w:r>
      <w:r>
        <w:rPr>
          <w:rFonts w:hint="cs"/>
          <w:rtl/>
        </w:rPr>
        <w:t>ّ</w:t>
      </w:r>
      <w:r w:rsidRPr="00E312D1">
        <w:rPr>
          <w:rtl/>
        </w:rPr>
        <w:t xml:space="preserve"> زيد بن علي</w:t>
      </w:r>
      <w:r>
        <w:rPr>
          <w:rFonts w:hint="cs"/>
          <w:rtl/>
        </w:rPr>
        <w:t>×</w:t>
      </w:r>
      <w:r w:rsidRPr="00E312D1">
        <w:rPr>
          <w:rtl/>
        </w:rPr>
        <w:t xml:space="preserve"> خرج</w:t>
      </w:r>
      <w:r>
        <w:rPr>
          <w:rFonts w:hint="cs"/>
          <w:rtl/>
        </w:rPr>
        <w:t xml:space="preserve"> </w:t>
      </w:r>
      <w:r w:rsidRPr="00E312D1">
        <w:rPr>
          <w:rtl/>
        </w:rPr>
        <w:t>على سبيل الأمر بالمعروف والنهي عن المنكر لا على سبيل المخالفة</w:t>
      </w:r>
      <w:r>
        <w:rPr>
          <w:rFonts w:hint="cs"/>
          <w:rtl/>
        </w:rPr>
        <w:t xml:space="preserve"> </w:t>
      </w:r>
      <w:r w:rsidRPr="00E312D1">
        <w:rPr>
          <w:rtl/>
        </w:rPr>
        <w:t>لابن أخيه جعفر بن محم</w:t>
      </w:r>
      <w:r>
        <w:rPr>
          <w:rFonts w:hint="cs"/>
          <w:rtl/>
        </w:rPr>
        <w:t>ّ</w:t>
      </w:r>
      <w:r w:rsidRPr="00E312D1">
        <w:rPr>
          <w:rtl/>
        </w:rPr>
        <w:t>د عليهما السلام، وإن</w:t>
      </w:r>
      <w:r>
        <w:rPr>
          <w:rFonts w:hint="cs"/>
          <w:rtl/>
        </w:rPr>
        <w:t>ّ</w:t>
      </w:r>
      <w:r w:rsidRPr="00E312D1">
        <w:rPr>
          <w:rtl/>
        </w:rPr>
        <w:t>ما وقع الخلاف من</w:t>
      </w:r>
      <w:r>
        <w:rPr>
          <w:rFonts w:hint="cs"/>
          <w:rtl/>
        </w:rPr>
        <w:t xml:space="preserve"> </w:t>
      </w:r>
      <w:r w:rsidRPr="00E312D1">
        <w:rPr>
          <w:rtl/>
        </w:rPr>
        <w:t>جهة الناس، وذلك أن</w:t>
      </w:r>
      <w:r w:rsidR="00CA209C">
        <w:rPr>
          <w:rFonts w:hint="cs"/>
          <w:rtl/>
        </w:rPr>
        <w:t>ّ</w:t>
      </w:r>
      <w:r w:rsidRPr="00E312D1">
        <w:rPr>
          <w:rtl/>
        </w:rPr>
        <w:t xml:space="preserve"> زيد بن علي</w:t>
      </w:r>
      <w:r w:rsidR="00CA209C">
        <w:rPr>
          <w:rFonts w:hint="cs"/>
          <w:rtl/>
        </w:rPr>
        <w:t xml:space="preserve">× </w:t>
      </w:r>
      <w:r w:rsidRPr="00E312D1">
        <w:rPr>
          <w:rtl/>
        </w:rPr>
        <w:t>لما خرج ولم</w:t>
      </w:r>
      <w:r w:rsidR="00CA209C">
        <w:rPr>
          <w:rFonts w:hint="cs"/>
          <w:rtl/>
        </w:rPr>
        <w:t xml:space="preserve"> </w:t>
      </w:r>
      <w:r w:rsidRPr="00E312D1">
        <w:rPr>
          <w:rtl/>
        </w:rPr>
        <w:t>يخرج جعفر بن محم</w:t>
      </w:r>
      <w:r w:rsidR="00CA209C">
        <w:rPr>
          <w:rFonts w:hint="cs"/>
          <w:rtl/>
        </w:rPr>
        <w:t>ّ</w:t>
      </w:r>
      <w:r w:rsidRPr="00E312D1">
        <w:rPr>
          <w:rtl/>
        </w:rPr>
        <w:t>د عليهما السلام توه</w:t>
      </w:r>
      <w:r w:rsidR="00CA209C">
        <w:rPr>
          <w:rFonts w:hint="cs"/>
          <w:rtl/>
        </w:rPr>
        <w:t>ّ</w:t>
      </w:r>
      <w:r w:rsidRPr="00E312D1">
        <w:rPr>
          <w:rtl/>
        </w:rPr>
        <w:t>م من الشيعة أن</w:t>
      </w:r>
      <w:r w:rsidR="00CA209C">
        <w:rPr>
          <w:rFonts w:hint="cs"/>
          <w:rtl/>
        </w:rPr>
        <w:t>ّ</w:t>
      </w:r>
      <w:r w:rsidRPr="00E312D1">
        <w:rPr>
          <w:rtl/>
        </w:rPr>
        <w:t xml:space="preserve"> امتناع</w:t>
      </w:r>
      <w:r w:rsidR="00CA209C">
        <w:rPr>
          <w:rFonts w:hint="cs"/>
          <w:rtl/>
        </w:rPr>
        <w:t xml:space="preserve"> </w:t>
      </w:r>
      <w:r w:rsidRPr="00E312D1">
        <w:rPr>
          <w:rtl/>
        </w:rPr>
        <w:t>جعفر كان للمخالفة</w:t>
      </w:r>
      <w:r w:rsidR="00CA209C">
        <w:rPr>
          <w:rFonts w:hint="cs"/>
          <w:rtl/>
        </w:rPr>
        <w:t>،</w:t>
      </w:r>
      <w:r w:rsidRPr="00E312D1">
        <w:rPr>
          <w:rtl/>
        </w:rPr>
        <w:t xml:space="preserve"> وإن</w:t>
      </w:r>
      <w:r w:rsidR="00CA209C">
        <w:rPr>
          <w:rFonts w:hint="cs"/>
          <w:rtl/>
        </w:rPr>
        <w:t>ّ</w:t>
      </w:r>
      <w:r w:rsidRPr="00E312D1">
        <w:rPr>
          <w:rtl/>
        </w:rPr>
        <w:t>ما كان لضرب</w:t>
      </w:r>
      <w:r w:rsidR="00CA209C">
        <w:rPr>
          <w:rFonts w:hint="cs"/>
          <w:rtl/>
        </w:rPr>
        <w:t>ٍ</w:t>
      </w:r>
      <w:r w:rsidRPr="00E312D1">
        <w:rPr>
          <w:rtl/>
        </w:rPr>
        <w:t xml:space="preserve"> من التدبير، فلما رأى الذي</w:t>
      </w:r>
      <w:r w:rsidR="00CA209C">
        <w:rPr>
          <w:rFonts w:hint="cs"/>
          <w:rtl/>
        </w:rPr>
        <w:t xml:space="preserve"> </w:t>
      </w:r>
      <w:r w:rsidRPr="00E312D1">
        <w:rPr>
          <w:rtl/>
        </w:rPr>
        <w:t>صاروا للزيدي</w:t>
      </w:r>
      <w:r w:rsidR="00CA209C">
        <w:rPr>
          <w:rFonts w:hint="cs"/>
          <w:rtl/>
        </w:rPr>
        <w:t>ّ</w:t>
      </w:r>
      <w:r w:rsidRPr="00E312D1">
        <w:rPr>
          <w:rtl/>
        </w:rPr>
        <w:t>ة سلفا</w:t>
      </w:r>
      <w:r w:rsidR="00CA209C">
        <w:rPr>
          <w:rFonts w:hint="cs"/>
          <w:rtl/>
        </w:rPr>
        <w:t>ً</w:t>
      </w:r>
      <w:r w:rsidRPr="00E312D1">
        <w:rPr>
          <w:rtl/>
        </w:rPr>
        <w:t xml:space="preserve"> قالوا: ليس الإمام من جلس في بيته وأغلق</w:t>
      </w:r>
      <w:r w:rsidR="00CA209C">
        <w:rPr>
          <w:rFonts w:hint="cs"/>
          <w:rtl/>
        </w:rPr>
        <w:t xml:space="preserve"> </w:t>
      </w:r>
      <w:r w:rsidRPr="00E312D1">
        <w:rPr>
          <w:rtl/>
        </w:rPr>
        <w:t>بابه وأرخى ستره</w:t>
      </w:r>
      <w:r w:rsidR="00CA209C">
        <w:rPr>
          <w:rFonts w:hint="cs"/>
          <w:rtl/>
        </w:rPr>
        <w:t>،</w:t>
      </w:r>
      <w:r w:rsidRPr="00E312D1">
        <w:rPr>
          <w:rtl/>
        </w:rPr>
        <w:t xml:space="preserve"> وإن</w:t>
      </w:r>
      <w:r w:rsidR="00CA209C">
        <w:rPr>
          <w:rFonts w:hint="cs"/>
          <w:rtl/>
        </w:rPr>
        <w:t>ّ</w:t>
      </w:r>
      <w:r w:rsidRPr="00E312D1">
        <w:rPr>
          <w:rtl/>
        </w:rPr>
        <w:t>ما الإمام من خرج بسيفه يأمر بالمعروف وينهى</w:t>
      </w:r>
      <w:r w:rsidR="00CA209C">
        <w:rPr>
          <w:rFonts w:hint="cs"/>
          <w:rtl/>
        </w:rPr>
        <w:t xml:space="preserve"> </w:t>
      </w:r>
      <w:r w:rsidRPr="00E312D1">
        <w:rPr>
          <w:rtl/>
        </w:rPr>
        <w:t>عن المنكر، فهذا كان سبب وقوع الخلاف بين الشيعة، وأم</w:t>
      </w:r>
      <w:r w:rsidR="00CA209C">
        <w:rPr>
          <w:rFonts w:hint="cs"/>
          <w:rtl/>
        </w:rPr>
        <w:t>ّ</w:t>
      </w:r>
      <w:r w:rsidRPr="00E312D1">
        <w:rPr>
          <w:rtl/>
        </w:rPr>
        <w:t>ا</w:t>
      </w:r>
      <w:r w:rsidR="00CA209C">
        <w:rPr>
          <w:rFonts w:hint="cs"/>
          <w:rtl/>
        </w:rPr>
        <w:t xml:space="preserve"> </w:t>
      </w:r>
      <w:r w:rsidRPr="00E312D1">
        <w:rPr>
          <w:rtl/>
        </w:rPr>
        <w:t>جعفر وزيد عليهما السلام فما كان بينهما خلاف</w:t>
      </w:r>
      <w:r w:rsidR="00CA209C">
        <w:rPr>
          <w:rFonts w:hint="cs"/>
          <w:rtl/>
        </w:rPr>
        <w:t>..</w:t>
      </w:r>
      <w:r w:rsidR="00CA209C">
        <w:rPr>
          <w:rFonts w:hint="eastAsia"/>
          <w:rtl/>
        </w:rPr>
        <w:t>»</w:t>
      </w:r>
      <w:r w:rsidR="00CA209C" w:rsidRPr="000A4159">
        <w:rPr>
          <w:rFonts w:cs="Taher"/>
          <w:vertAlign w:val="superscript"/>
          <w:rtl/>
        </w:rPr>
        <w:t>(</w:t>
      </w:r>
      <w:r w:rsidR="00CA209C" w:rsidRPr="000A4159">
        <w:rPr>
          <w:rStyle w:val="FootnoteReference"/>
          <w:rFonts w:cs="Taher"/>
          <w:rtl/>
        </w:rPr>
        <w:footnoteReference w:id="122"/>
      </w:r>
      <w:r w:rsidR="00CA209C" w:rsidRPr="000A4159">
        <w:rPr>
          <w:rFonts w:cs="Taher"/>
          <w:vertAlign w:val="superscript"/>
          <w:rtl/>
        </w:rPr>
        <w:t>)</w:t>
      </w:r>
      <w:r w:rsidR="00CA209C">
        <w:rPr>
          <w:rFonts w:hint="cs"/>
          <w:rtl/>
        </w:rPr>
        <w:t>.</w:t>
      </w:r>
    </w:p>
    <w:p w14:paraId="6E8B262E" w14:textId="77777777" w:rsidR="00CA209C" w:rsidRDefault="00CA209C" w:rsidP="000F3768">
      <w:pPr>
        <w:spacing w:line="214" w:lineRule="auto"/>
        <w:rPr>
          <w:rtl/>
        </w:rPr>
      </w:pPr>
      <w:r w:rsidRPr="00CD4EF6">
        <w:rPr>
          <w:rFonts w:hint="cs"/>
          <w:b/>
          <w:bCs/>
          <w:rtl/>
        </w:rPr>
        <w:t xml:space="preserve">ويذهب الشهيد الأوّل </w:t>
      </w:r>
      <w:r w:rsidR="008333A6" w:rsidRPr="00CD4EF6">
        <w:rPr>
          <w:rFonts w:hint="cs"/>
          <w:b/>
          <w:bCs/>
          <w:rtl/>
        </w:rPr>
        <w:t xml:space="preserve">(786هـ) </w:t>
      </w:r>
      <w:r w:rsidRPr="00CD4EF6">
        <w:rPr>
          <w:rFonts w:hint="cs"/>
          <w:b/>
          <w:bCs/>
          <w:rtl/>
        </w:rPr>
        <w:t>أبعد من ذلك فيقول:</w:t>
      </w:r>
      <w:r>
        <w:rPr>
          <w:rFonts w:hint="cs"/>
          <w:rtl/>
        </w:rPr>
        <w:t xml:space="preserve"> </w:t>
      </w:r>
      <w:r>
        <w:rPr>
          <w:rFonts w:hint="eastAsia"/>
          <w:rtl/>
        </w:rPr>
        <w:t>«</w:t>
      </w:r>
      <w:r w:rsidRPr="00CA209C">
        <w:rPr>
          <w:rtl/>
        </w:rPr>
        <w:t>قالوا: خرج مع ابن الأشعث جمع</w:t>
      </w:r>
      <w:r>
        <w:rPr>
          <w:rFonts w:hint="cs"/>
          <w:rtl/>
        </w:rPr>
        <w:t>ٌ</w:t>
      </w:r>
      <w:r w:rsidRPr="00CA209C">
        <w:rPr>
          <w:rtl/>
        </w:rPr>
        <w:t xml:space="preserve"> عظيم من التابعين في قتال</w:t>
      </w:r>
      <w:r>
        <w:rPr>
          <w:rFonts w:hint="cs"/>
          <w:rtl/>
        </w:rPr>
        <w:t xml:space="preserve"> </w:t>
      </w:r>
      <w:r w:rsidRPr="00CA209C">
        <w:rPr>
          <w:rtl/>
        </w:rPr>
        <w:t>الحج</w:t>
      </w:r>
      <w:r>
        <w:rPr>
          <w:rFonts w:hint="cs"/>
          <w:rtl/>
        </w:rPr>
        <w:t>ّ</w:t>
      </w:r>
      <w:r w:rsidRPr="00CA209C">
        <w:rPr>
          <w:rtl/>
        </w:rPr>
        <w:t>اج</w:t>
      </w:r>
      <w:r>
        <w:rPr>
          <w:rFonts w:hint="cs"/>
          <w:rtl/>
        </w:rPr>
        <w:t>؛</w:t>
      </w:r>
      <w:r w:rsidRPr="00CA209C">
        <w:rPr>
          <w:rtl/>
        </w:rPr>
        <w:t xml:space="preserve"> لإزالة ظلمه وظلم الخليفة عبد الملك، ولم ينكر ذلك</w:t>
      </w:r>
      <w:r>
        <w:rPr>
          <w:rFonts w:hint="cs"/>
          <w:rtl/>
        </w:rPr>
        <w:t xml:space="preserve"> </w:t>
      </w:r>
      <w:r w:rsidRPr="00CA209C">
        <w:rPr>
          <w:rtl/>
        </w:rPr>
        <w:t>عليهم أحد</w:t>
      </w:r>
      <w:r>
        <w:rPr>
          <w:rFonts w:hint="cs"/>
          <w:rtl/>
        </w:rPr>
        <w:t>ٌ</w:t>
      </w:r>
      <w:r w:rsidRPr="00CA209C">
        <w:rPr>
          <w:rtl/>
        </w:rPr>
        <w:t xml:space="preserve"> من العلماء.</w:t>
      </w:r>
      <w:r>
        <w:rPr>
          <w:rFonts w:hint="cs"/>
          <w:rtl/>
        </w:rPr>
        <w:t xml:space="preserve"> </w:t>
      </w:r>
      <w:r w:rsidRPr="00CA209C">
        <w:rPr>
          <w:rtl/>
        </w:rPr>
        <w:t>قلنا: لم يكونوا كل</w:t>
      </w:r>
      <w:r>
        <w:rPr>
          <w:rFonts w:hint="cs"/>
          <w:rtl/>
        </w:rPr>
        <w:t>ّ</w:t>
      </w:r>
      <w:r w:rsidRPr="00CA209C">
        <w:rPr>
          <w:rtl/>
        </w:rPr>
        <w:t xml:space="preserve"> الأم</w:t>
      </w:r>
      <w:r>
        <w:rPr>
          <w:rFonts w:hint="cs"/>
          <w:rtl/>
        </w:rPr>
        <w:t>ّ</w:t>
      </w:r>
      <w:r w:rsidRPr="00CA209C">
        <w:rPr>
          <w:rtl/>
        </w:rPr>
        <w:t>ة. ولا علمنا أن</w:t>
      </w:r>
      <w:r>
        <w:rPr>
          <w:rFonts w:hint="cs"/>
          <w:rtl/>
        </w:rPr>
        <w:t>ّ</w:t>
      </w:r>
      <w:r w:rsidRPr="00CA209C">
        <w:rPr>
          <w:rtl/>
        </w:rPr>
        <w:t>هم ظن</w:t>
      </w:r>
      <w:r>
        <w:rPr>
          <w:rFonts w:hint="cs"/>
          <w:rtl/>
        </w:rPr>
        <w:t>ّ</w:t>
      </w:r>
      <w:r w:rsidRPr="00CA209C">
        <w:rPr>
          <w:rtl/>
        </w:rPr>
        <w:t>وا القتل، بل</w:t>
      </w:r>
      <w:r>
        <w:rPr>
          <w:rFonts w:hint="cs"/>
          <w:rtl/>
        </w:rPr>
        <w:t xml:space="preserve"> </w:t>
      </w:r>
      <w:r w:rsidRPr="00CA209C">
        <w:rPr>
          <w:rtl/>
        </w:rPr>
        <w:t>جو</w:t>
      </w:r>
      <w:r>
        <w:rPr>
          <w:rFonts w:hint="cs"/>
          <w:rtl/>
        </w:rPr>
        <w:t>ّ</w:t>
      </w:r>
      <w:r w:rsidRPr="00CA209C">
        <w:rPr>
          <w:rtl/>
        </w:rPr>
        <w:t>زوا التأثير ورفع المنكر. أو جاز أن يكون خروجهم بإذن إمام</w:t>
      </w:r>
      <w:r>
        <w:rPr>
          <w:rFonts w:hint="cs"/>
          <w:rtl/>
        </w:rPr>
        <w:t xml:space="preserve">ٍ </w:t>
      </w:r>
      <w:r w:rsidRPr="00CA209C">
        <w:rPr>
          <w:rtl/>
        </w:rPr>
        <w:t>واجب الطاعة، كخروج زيد بن علي</w:t>
      </w:r>
      <w:r>
        <w:rPr>
          <w:rFonts w:hint="cs"/>
          <w:rtl/>
        </w:rPr>
        <w:t>×</w:t>
      </w:r>
      <w:r w:rsidRPr="00CA209C">
        <w:rPr>
          <w:rtl/>
        </w:rPr>
        <w:t xml:space="preserve"> وغيره من بني علي</w:t>
      </w:r>
      <w:r>
        <w:rPr>
          <w:rFonts w:hint="cs"/>
          <w:rtl/>
        </w:rPr>
        <w:t>ّ×</w:t>
      </w:r>
      <w:r>
        <w:rPr>
          <w:rFonts w:hint="eastAsia"/>
          <w:rtl/>
        </w:rPr>
        <w:t>»</w:t>
      </w:r>
      <w:r w:rsidRPr="000A4159">
        <w:rPr>
          <w:rFonts w:cs="Taher"/>
          <w:vertAlign w:val="superscript"/>
          <w:rtl/>
        </w:rPr>
        <w:t>(</w:t>
      </w:r>
      <w:r w:rsidRPr="000A4159">
        <w:rPr>
          <w:rStyle w:val="FootnoteReference"/>
          <w:rFonts w:cs="Taher"/>
          <w:rtl/>
        </w:rPr>
        <w:footnoteReference w:id="123"/>
      </w:r>
      <w:r w:rsidRPr="000A4159">
        <w:rPr>
          <w:rFonts w:cs="Taher"/>
          <w:vertAlign w:val="superscript"/>
          <w:rtl/>
        </w:rPr>
        <w:t>)</w:t>
      </w:r>
      <w:r>
        <w:rPr>
          <w:rFonts w:hint="eastAsia"/>
          <w:rtl/>
        </w:rPr>
        <w:t>.</w:t>
      </w:r>
      <w:r>
        <w:rPr>
          <w:rFonts w:hint="cs"/>
          <w:rtl/>
        </w:rPr>
        <w:t xml:space="preserve"> فهو يرى أنّ أبناء عليّ من الذين نظّموا ثورات على الحكّام كان خروجهم بإذن الإمام مفترض الطاعة تماماً مثل زيد</w:t>
      </w:r>
      <w:r w:rsidR="000F3768">
        <w:rPr>
          <w:rFonts w:hint="cs"/>
          <w:rtl/>
        </w:rPr>
        <w:t>، وهو أمرٌ ليس من السهل إثباته</w:t>
      </w:r>
      <w:r>
        <w:rPr>
          <w:rFonts w:hint="cs"/>
          <w:rtl/>
        </w:rPr>
        <w:t>.</w:t>
      </w:r>
    </w:p>
    <w:p w14:paraId="6B44B037" w14:textId="77777777" w:rsidR="008333A6" w:rsidRDefault="008333A6" w:rsidP="00A47C06">
      <w:pPr>
        <w:pStyle w:val="normal930"/>
        <w:rPr>
          <w:rtl/>
        </w:rPr>
      </w:pPr>
      <w:r w:rsidRPr="00E3415C">
        <w:rPr>
          <w:rFonts w:hint="cs"/>
          <w:b/>
          <w:bCs/>
          <w:rtl/>
        </w:rPr>
        <w:t>وقال العلامة المجلسي (1111هـ) في نصٍّ دالّ:</w:t>
      </w:r>
      <w:r>
        <w:rPr>
          <w:rFonts w:hint="cs"/>
          <w:rtl/>
        </w:rPr>
        <w:t xml:space="preserve"> </w:t>
      </w:r>
      <w:r>
        <w:rPr>
          <w:rFonts w:hint="eastAsia"/>
          <w:rtl/>
        </w:rPr>
        <w:t>«</w:t>
      </w:r>
      <w:r w:rsidRPr="008333A6">
        <w:rPr>
          <w:rtl/>
        </w:rPr>
        <w:t>ثم</w:t>
      </w:r>
      <w:r>
        <w:rPr>
          <w:rFonts w:hint="cs"/>
          <w:rtl/>
        </w:rPr>
        <w:t>ّ</w:t>
      </w:r>
      <w:r w:rsidRPr="008333A6">
        <w:rPr>
          <w:rtl/>
        </w:rPr>
        <w:t xml:space="preserve"> اعلم أن</w:t>
      </w:r>
      <w:r>
        <w:rPr>
          <w:rFonts w:hint="cs"/>
          <w:rtl/>
        </w:rPr>
        <w:t>ّ</w:t>
      </w:r>
      <w:r w:rsidRPr="008333A6">
        <w:rPr>
          <w:rtl/>
        </w:rPr>
        <w:t xml:space="preserve"> الأخبار اختلفت في حال زيد</w:t>
      </w:r>
      <w:r>
        <w:rPr>
          <w:rFonts w:hint="cs"/>
          <w:rtl/>
        </w:rPr>
        <w:t>،</w:t>
      </w:r>
      <w:r w:rsidRPr="008333A6">
        <w:rPr>
          <w:rtl/>
        </w:rPr>
        <w:t xml:space="preserve"> فمنها ما يدل</w:t>
      </w:r>
      <w:r>
        <w:rPr>
          <w:rFonts w:hint="cs"/>
          <w:rtl/>
        </w:rPr>
        <w:t>ّ</w:t>
      </w:r>
      <w:r w:rsidRPr="008333A6">
        <w:rPr>
          <w:rtl/>
        </w:rPr>
        <w:t xml:space="preserve"> على ذم</w:t>
      </w:r>
      <w:r>
        <w:rPr>
          <w:rFonts w:hint="cs"/>
          <w:rtl/>
        </w:rPr>
        <w:t>ّ</w:t>
      </w:r>
      <w:r w:rsidRPr="008333A6">
        <w:rPr>
          <w:rtl/>
        </w:rPr>
        <w:t>ه</w:t>
      </w:r>
      <w:r>
        <w:rPr>
          <w:rFonts w:hint="cs"/>
          <w:rtl/>
        </w:rPr>
        <w:t>،</w:t>
      </w:r>
      <w:r w:rsidRPr="008333A6">
        <w:rPr>
          <w:rtl/>
        </w:rPr>
        <w:t xml:space="preserve"> بل كفره</w:t>
      </w:r>
      <w:r>
        <w:rPr>
          <w:rFonts w:hint="cs"/>
          <w:rtl/>
        </w:rPr>
        <w:t>؛</w:t>
      </w:r>
      <w:r w:rsidRPr="008333A6">
        <w:rPr>
          <w:rtl/>
        </w:rPr>
        <w:t xml:space="preserve"> لدلالتها على أن</w:t>
      </w:r>
      <w:r>
        <w:rPr>
          <w:rFonts w:hint="cs"/>
          <w:rtl/>
        </w:rPr>
        <w:t>ّ</w:t>
      </w:r>
      <w:r w:rsidRPr="008333A6">
        <w:rPr>
          <w:rtl/>
        </w:rPr>
        <w:t>ه اد</w:t>
      </w:r>
      <w:r>
        <w:rPr>
          <w:rFonts w:hint="cs"/>
          <w:rtl/>
        </w:rPr>
        <w:t>ّ</w:t>
      </w:r>
      <w:r w:rsidRPr="008333A6">
        <w:rPr>
          <w:rtl/>
        </w:rPr>
        <w:t>عى الإمامة وجحد إمامة أئم</w:t>
      </w:r>
      <w:r>
        <w:rPr>
          <w:rFonts w:hint="cs"/>
          <w:rtl/>
        </w:rPr>
        <w:t>ّ</w:t>
      </w:r>
      <w:r w:rsidRPr="008333A6">
        <w:rPr>
          <w:rtl/>
        </w:rPr>
        <w:t>ة الحق</w:t>
      </w:r>
      <w:r>
        <w:rPr>
          <w:rFonts w:hint="cs"/>
          <w:rtl/>
        </w:rPr>
        <w:t>ّ،</w:t>
      </w:r>
      <w:r w:rsidRPr="008333A6">
        <w:rPr>
          <w:rtl/>
        </w:rPr>
        <w:t xml:space="preserve"> وهو يوجب الكفر كهذا الخبر، وأكثرها يدل</w:t>
      </w:r>
      <w:r>
        <w:rPr>
          <w:rFonts w:hint="cs"/>
          <w:rtl/>
        </w:rPr>
        <w:t>ّ</w:t>
      </w:r>
      <w:r w:rsidRPr="008333A6">
        <w:rPr>
          <w:rtl/>
        </w:rPr>
        <w:t xml:space="preserve"> عل</w:t>
      </w:r>
      <w:r>
        <w:rPr>
          <w:rFonts w:hint="cs"/>
          <w:rtl/>
        </w:rPr>
        <w:t>ى</w:t>
      </w:r>
      <w:r w:rsidRPr="008333A6">
        <w:rPr>
          <w:rtl/>
        </w:rPr>
        <w:t xml:space="preserve"> كونه مشكورا</w:t>
      </w:r>
      <w:r>
        <w:rPr>
          <w:rFonts w:hint="cs"/>
          <w:rtl/>
        </w:rPr>
        <w:t>ً</w:t>
      </w:r>
      <w:r w:rsidRPr="008333A6">
        <w:rPr>
          <w:rtl/>
        </w:rPr>
        <w:t>، وأن</w:t>
      </w:r>
      <w:r>
        <w:rPr>
          <w:rFonts w:hint="cs"/>
          <w:rtl/>
        </w:rPr>
        <w:t>ّ</w:t>
      </w:r>
      <w:r w:rsidRPr="008333A6">
        <w:rPr>
          <w:rtl/>
        </w:rPr>
        <w:t>ه لم يد</w:t>
      </w:r>
      <w:r>
        <w:rPr>
          <w:rFonts w:hint="cs"/>
          <w:rtl/>
        </w:rPr>
        <w:t>ّ</w:t>
      </w:r>
      <w:r w:rsidRPr="008333A6">
        <w:rPr>
          <w:rtl/>
        </w:rPr>
        <w:t>ع الإمامة، وأن</w:t>
      </w:r>
      <w:r>
        <w:rPr>
          <w:rFonts w:hint="cs"/>
          <w:rtl/>
        </w:rPr>
        <w:t>ّ</w:t>
      </w:r>
      <w:r w:rsidRPr="008333A6">
        <w:rPr>
          <w:rtl/>
        </w:rPr>
        <w:t>ه كان قائلا</w:t>
      </w:r>
      <w:r>
        <w:rPr>
          <w:rFonts w:hint="cs"/>
          <w:rtl/>
        </w:rPr>
        <w:t>ً</w:t>
      </w:r>
      <w:r w:rsidRPr="008333A6">
        <w:rPr>
          <w:rtl/>
        </w:rPr>
        <w:t xml:space="preserve"> بإمامة الباقر والصادق عليهما السلام، وإن</w:t>
      </w:r>
      <w:r>
        <w:rPr>
          <w:rFonts w:hint="cs"/>
          <w:rtl/>
        </w:rPr>
        <w:t>ّ</w:t>
      </w:r>
      <w:r w:rsidRPr="008333A6">
        <w:rPr>
          <w:rtl/>
        </w:rPr>
        <w:t>ما خرج لطلب ثار الحسين</w:t>
      </w:r>
      <w:r>
        <w:rPr>
          <w:rFonts w:hint="cs"/>
          <w:rtl/>
        </w:rPr>
        <w:t>×</w:t>
      </w:r>
      <w:r w:rsidRPr="008333A6">
        <w:rPr>
          <w:rtl/>
        </w:rPr>
        <w:t xml:space="preserve"> وللأمر بالمعروف </w:t>
      </w:r>
      <w:r w:rsidRPr="008333A6">
        <w:rPr>
          <w:rtl/>
        </w:rPr>
        <w:lastRenderedPageBreak/>
        <w:t>والنهي عن المنكر</w:t>
      </w:r>
      <w:r>
        <w:rPr>
          <w:rFonts w:hint="cs"/>
          <w:rtl/>
        </w:rPr>
        <w:t>،</w:t>
      </w:r>
      <w:r w:rsidRPr="008333A6">
        <w:rPr>
          <w:rtl/>
        </w:rPr>
        <w:t xml:space="preserve"> وكان يدعو إلى الرضا من آل محم</w:t>
      </w:r>
      <w:r>
        <w:rPr>
          <w:rFonts w:hint="cs"/>
          <w:rtl/>
        </w:rPr>
        <w:t>ّ</w:t>
      </w:r>
      <w:r w:rsidRPr="008333A6">
        <w:rPr>
          <w:rtl/>
        </w:rPr>
        <w:t>د</w:t>
      </w:r>
      <w:r>
        <w:rPr>
          <w:rFonts w:hint="cs"/>
          <w:rtl/>
        </w:rPr>
        <w:t>×</w:t>
      </w:r>
      <w:r w:rsidRPr="008333A6">
        <w:rPr>
          <w:rtl/>
        </w:rPr>
        <w:t xml:space="preserve"> وأن</w:t>
      </w:r>
      <w:r>
        <w:rPr>
          <w:rFonts w:hint="cs"/>
          <w:rtl/>
        </w:rPr>
        <w:t>ّ</w:t>
      </w:r>
      <w:r w:rsidRPr="008333A6">
        <w:rPr>
          <w:rtl/>
        </w:rPr>
        <w:t>ه كان عازما</w:t>
      </w:r>
      <w:r>
        <w:rPr>
          <w:rFonts w:hint="cs"/>
          <w:rtl/>
        </w:rPr>
        <w:t>ً</w:t>
      </w:r>
      <w:r w:rsidRPr="008333A6">
        <w:rPr>
          <w:rtl/>
        </w:rPr>
        <w:t xml:space="preserve"> على أن</w:t>
      </w:r>
      <w:r>
        <w:rPr>
          <w:rFonts w:hint="cs"/>
          <w:rtl/>
        </w:rPr>
        <w:t>ّ</w:t>
      </w:r>
      <w:r w:rsidRPr="008333A6">
        <w:rPr>
          <w:rtl/>
        </w:rPr>
        <w:t>ه إن غلب على الأمر فو</w:t>
      </w:r>
      <w:r>
        <w:rPr>
          <w:rFonts w:hint="cs"/>
          <w:rtl/>
        </w:rPr>
        <w:t>ّ</w:t>
      </w:r>
      <w:r w:rsidRPr="008333A6">
        <w:rPr>
          <w:rtl/>
        </w:rPr>
        <w:t>ضه إلى أفضلهم وأعلمهم، وإليه ذهب أكثر أصحابنا</w:t>
      </w:r>
      <w:r>
        <w:rPr>
          <w:rFonts w:hint="cs"/>
          <w:rtl/>
        </w:rPr>
        <w:t>،</w:t>
      </w:r>
      <w:r w:rsidRPr="008333A6">
        <w:rPr>
          <w:rtl/>
        </w:rPr>
        <w:t xml:space="preserve"> بل لم أر</w:t>
      </w:r>
      <w:r w:rsidR="000F3768">
        <w:rPr>
          <w:rFonts w:hint="cs"/>
          <w:rtl/>
        </w:rPr>
        <w:t>َ</w:t>
      </w:r>
      <w:r w:rsidRPr="008333A6">
        <w:rPr>
          <w:rtl/>
        </w:rPr>
        <w:t xml:space="preserve"> في كلامهم غيره.</w:t>
      </w:r>
      <w:r>
        <w:rPr>
          <w:rFonts w:hint="cs"/>
          <w:rtl/>
        </w:rPr>
        <w:t xml:space="preserve"> </w:t>
      </w:r>
      <w:r w:rsidRPr="008333A6">
        <w:rPr>
          <w:rtl/>
        </w:rPr>
        <w:t>وقيل: إن</w:t>
      </w:r>
      <w:r>
        <w:rPr>
          <w:rFonts w:hint="cs"/>
          <w:rtl/>
        </w:rPr>
        <w:t>ّ</w:t>
      </w:r>
      <w:r w:rsidRPr="008333A6">
        <w:rPr>
          <w:rtl/>
        </w:rPr>
        <w:t>ه كان مأذونا</w:t>
      </w:r>
      <w:r>
        <w:rPr>
          <w:rFonts w:hint="cs"/>
          <w:rtl/>
        </w:rPr>
        <w:t>ً</w:t>
      </w:r>
      <w:r w:rsidRPr="008333A6">
        <w:rPr>
          <w:rtl/>
        </w:rPr>
        <w:t xml:space="preserve"> من قبل الإمام</w:t>
      </w:r>
      <w:r>
        <w:rPr>
          <w:rFonts w:hint="cs"/>
          <w:rtl/>
        </w:rPr>
        <w:t>×</w:t>
      </w:r>
      <w:r w:rsidRPr="008333A6">
        <w:rPr>
          <w:rtl/>
        </w:rPr>
        <w:t xml:space="preserve"> سر</w:t>
      </w:r>
      <w:r>
        <w:rPr>
          <w:rFonts w:hint="cs"/>
          <w:rtl/>
        </w:rPr>
        <w:t>ّ</w:t>
      </w:r>
      <w:r w:rsidRPr="008333A6">
        <w:rPr>
          <w:rtl/>
        </w:rPr>
        <w:t>ا</w:t>
      </w:r>
      <w:r>
        <w:rPr>
          <w:rFonts w:hint="cs"/>
          <w:rtl/>
        </w:rPr>
        <w:t>ً</w:t>
      </w:r>
      <w:r w:rsidRPr="008333A6">
        <w:rPr>
          <w:rtl/>
        </w:rPr>
        <w:t>، ويؤي</w:t>
      </w:r>
      <w:r>
        <w:rPr>
          <w:rFonts w:hint="cs"/>
          <w:rtl/>
        </w:rPr>
        <w:t>ّ</w:t>
      </w:r>
      <w:r w:rsidRPr="008333A6">
        <w:rPr>
          <w:rtl/>
        </w:rPr>
        <w:t>ده ما استفيض من بكاء الصادق عليه، وترح</w:t>
      </w:r>
      <w:r>
        <w:rPr>
          <w:rFonts w:hint="cs"/>
          <w:rtl/>
        </w:rPr>
        <w:t>ّ</w:t>
      </w:r>
      <w:r w:rsidRPr="008333A6">
        <w:rPr>
          <w:rtl/>
        </w:rPr>
        <w:t>مه ودعائه له، ولو كان قتل على دعوى الإمامة لم يستحق</w:t>
      </w:r>
      <w:r>
        <w:rPr>
          <w:rFonts w:hint="cs"/>
          <w:rtl/>
        </w:rPr>
        <w:t>ّ</w:t>
      </w:r>
      <w:r w:rsidRPr="008333A6">
        <w:rPr>
          <w:rtl/>
        </w:rPr>
        <w:t xml:space="preserve"> ذلك</w:t>
      </w:r>
      <w:r w:rsidR="000F3768" w:rsidRPr="000A4159">
        <w:rPr>
          <w:rFonts w:cs="Taher"/>
          <w:vertAlign w:val="superscript"/>
          <w:rtl/>
        </w:rPr>
        <w:t>(</w:t>
      </w:r>
      <w:r w:rsidR="000F3768" w:rsidRPr="000A4159">
        <w:rPr>
          <w:rStyle w:val="FootnoteReference"/>
          <w:rFonts w:cs="Taher"/>
          <w:rtl/>
        </w:rPr>
        <w:footnoteReference w:id="124"/>
      </w:r>
      <w:r w:rsidR="000F3768" w:rsidRPr="000A4159">
        <w:rPr>
          <w:rFonts w:cs="Taher"/>
          <w:vertAlign w:val="superscript"/>
          <w:rtl/>
        </w:rPr>
        <w:t>)</w:t>
      </w:r>
      <w:r w:rsidR="000F3768">
        <w:rPr>
          <w:rFonts w:hint="cs"/>
          <w:rtl/>
        </w:rPr>
        <w:t>..</w:t>
      </w:r>
      <w:r>
        <w:rPr>
          <w:rFonts w:hint="cs"/>
          <w:rtl/>
        </w:rPr>
        <w:t>»</w:t>
      </w:r>
      <w:r w:rsidRPr="000A4159">
        <w:rPr>
          <w:rFonts w:cs="Taher"/>
          <w:vertAlign w:val="superscript"/>
          <w:rtl/>
        </w:rPr>
        <w:t>(</w:t>
      </w:r>
      <w:r w:rsidRPr="000A4159">
        <w:rPr>
          <w:rStyle w:val="FootnoteReference"/>
          <w:rFonts w:cs="Taher"/>
          <w:rtl/>
        </w:rPr>
        <w:footnoteReference w:id="125"/>
      </w:r>
      <w:r w:rsidRPr="000A4159">
        <w:rPr>
          <w:rFonts w:cs="Taher"/>
          <w:vertAlign w:val="superscript"/>
          <w:rtl/>
        </w:rPr>
        <w:t>)</w:t>
      </w:r>
      <w:r>
        <w:rPr>
          <w:rFonts w:hint="cs"/>
          <w:rtl/>
        </w:rPr>
        <w:t>.</w:t>
      </w:r>
    </w:p>
    <w:p w14:paraId="45291169" w14:textId="77777777" w:rsidR="00211B5D" w:rsidRDefault="00211B5D" w:rsidP="00A47C06">
      <w:pPr>
        <w:pStyle w:val="normal930"/>
        <w:rPr>
          <w:rtl/>
        </w:rPr>
      </w:pPr>
      <w:r>
        <w:rPr>
          <w:rFonts w:hint="cs"/>
          <w:rtl/>
        </w:rPr>
        <w:t>فالمجلسي يعتبر أنّ أكثر الأصحاب ـ بل لم يَعلَم في ذلك خلافاً ـ ذهبوا لتحسين زيد والموافقة على ثورته.</w:t>
      </w:r>
    </w:p>
    <w:p w14:paraId="538DC47B" w14:textId="77777777" w:rsidR="00211B5D" w:rsidRDefault="00211B5D" w:rsidP="00A47C06">
      <w:pPr>
        <w:pStyle w:val="normal930"/>
        <w:rPr>
          <w:rtl/>
        </w:rPr>
      </w:pPr>
      <w:r w:rsidRPr="00E3415C">
        <w:rPr>
          <w:rFonts w:hint="cs"/>
          <w:b/>
          <w:bCs/>
          <w:rtl/>
        </w:rPr>
        <w:t>وفي موضعٍ آخر قال:</w:t>
      </w:r>
      <w:r>
        <w:rPr>
          <w:rFonts w:hint="cs"/>
          <w:rtl/>
        </w:rPr>
        <w:t xml:space="preserve"> </w:t>
      </w:r>
      <w:r>
        <w:rPr>
          <w:rFonts w:hint="eastAsia"/>
          <w:rtl/>
        </w:rPr>
        <w:t>«</w:t>
      </w:r>
      <w:r w:rsidRPr="00211B5D">
        <w:rPr>
          <w:rtl/>
        </w:rPr>
        <w:t>اعلم أن</w:t>
      </w:r>
      <w:r>
        <w:rPr>
          <w:rFonts w:hint="cs"/>
          <w:rtl/>
        </w:rPr>
        <w:t>ّ</w:t>
      </w:r>
      <w:r>
        <w:rPr>
          <w:rtl/>
        </w:rPr>
        <w:t xml:space="preserve"> ال</w:t>
      </w:r>
      <w:r>
        <w:rPr>
          <w:rFonts w:hint="cs"/>
          <w:rtl/>
        </w:rPr>
        <w:t>أ</w:t>
      </w:r>
      <w:r w:rsidRPr="00211B5D">
        <w:rPr>
          <w:rtl/>
        </w:rPr>
        <w:t>خبار اختلفت وتعارضت في أحوال زيد وأضرابه</w:t>
      </w:r>
      <w:r>
        <w:rPr>
          <w:rFonts w:hint="cs"/>
          <w:rtl/>
        </w:rPr>
        <w:t>،</w:t>
      </w:r>
      <w:r w:rsidRPr="00211B5D">
        <w:rPr>
          <w:rtl/>
        </w:rPr>
        <w:t xml:space="preserve"> كما عرفت</w:t>
      </w:r>
      <w:r>
        <w:rPr>
          <w:rFonts w:hint="cs"/>
          <w:rtl/>
        </w:rPr>
        <w:t xml:space="preserve">، </w:t>
      </w:r>
      <w:r w:rsidRPr="00211B5D">
        <w:rPr>
          <w:rtl/>
        </w:rPr>
        <w:t>لكن</w:t>
      </w:r>
      <w:r>
        <w:rPr>
          <w:rFonts w:hint="cs"/>
          <w:rtl/>
        </w:rPr>
        <w:t>ّ</w:t>
      </w:r>
      <w:r w:rsidRPr="00211B5D">
        <w:rPr>
          <w:rtl/>
        </w:rPr>
        <w:t xml:space="preserve"> الأخبار الدال</w:t>
      </w:r>
      <w:r>
        <w:rPr>
          <w:rFonts w:hint="cs"/>
          <w:rtl/>
        </w:rPr>
        <w:t>ّ</w:t>
      </w:r>
      <w:r w:rsidRPr="00211B5D">
        <w:rPr>
          <w:rtl/>
        </w:rPr>
        <w:t>ة على جلالة زيد ومدحه، وعدم كونه مد</w:t>
      </w:r>
      <w:r>
        <w:rPr>
          <w:rFonts w:hint="cs"/>
          <w:rtl/>
        </w:rPr>
        <w:t>ّ</w:t>
      </w:r>
      <w:r w:rsidRPr="00211B5D">
        <w:rPr>
          <w:rtl/>
        </w:rPr>
        <w:t>عيا</w:t>
      </w:r>
      <w:r>
        <w:rPr>
          <w:rFonts w:hint="cs"/>
          <w:rtl/>
        </w:rPr>
        <w:t>ً</w:t>
      </w:r>
      <w:r w:rsidRPr="00211B5D">
        <w:rPr>
          <w:rtl/>
        </w:rPr>
        <w:t xml:space="preserve"> لغير الحق</w:t>
      </w:r>
      <w:r>
        <w:rPr>
          <w:rFonts w:hint="cs"/>
          <w:rtl/>
        </w:rPr>
        <w:t>ّ</w:t>
      </w:r>
      <w:r w:rsidRPr="00211B5D">
        <w:rPr>
          <w:rtl/>
        </w:rPr>
        <w:t xml:space="preserve"> أكثر</w:t>
      </w:r>
      <w:r>
        <w:rPr>
          <w:rFonts w:hint="cs"/>
          <w:rtl/>
        </w:rPr>
        <w:t xml:space="preserve">. </w:t>
      </w:r>
      <w:r w:rsidRPr="00211B5D">
        <w:rPr>
          <w:rtl/>
        </w:rPr>
        <w:t>وقد حكم أكثر الأصحاب بعلو</w:t>
      </w:r>
      <w:r>
        <w:rPr>
          <w:rFonts w:hint="cs"/>
          <w:rtl/>
        </w:rPr>
        <w:t>ّ</w:t>
      </w:r>
      <w:r w:rsidRPr="00211B5D">
        <w:rPr>
          <w:rtl/>
        </w:rPr>
        <w:t xml:space="preserve"> شأنه، فالمناسب حسن الظن</w:t>
      </w:r>
      <w:r>
        <w:rPr>
          <w:rFonts w:hint="cs"/>
          <w:rtl/>
        </w:rPr>
        <w:t>ّ</w:t>
      </w:r>
      <w:r w:rsidRPr="00211B5D">
        <w:rPr>
          <w:rtl/>
        </w:rPr>
        <w:t xml:space="preserve"> به، وعدم القدح فيه</w:t>
      </w:r>
      <w:r>
        <w:rPr>
          <w:rFonts w:hint="cs"/>
          <w:rtl/>
        </w:rPr>
        <w:t xml:space="preserve">، </w:t>
      </w:r>
      <w:r w:rsidRPr="00211B5D">
        <w:rPr>
          <w:rtl/>
        </w:rPr>
        <w:t>بل عدم التعر</w:t>
      </w:r>
      <w:r>
        <w:rPr>
          <w:rFonts w:hint="cs"/>
          <w:rtl/>
        </w:rPr>
        <w:t>ّ</w:t>
      </w:r>
      <w:r w:rsidRPr="00211B5D">
        <w:rPr>
          <w:rtl/>
        </w:rPr>
        <w:t>ض لأمثاله من أولاد المعصومين</w:t>
      </w:r>
      <w:r w:rsidR="00004FDB" w:rsidRPr="000A4159">
        <w:rPr>
          <w:rFonts w:cs="Taher"/>
          <w:vertAlign w:val="superscript"/>
          <w:rtl/>
        </w:rPr>
        <w:t>(</w:t>
      </w:r>
      <w:r w:rsidR="00004FDB" w:rsidRPr="000A4159">
        <w:rPr>
          <w:rStyle w:val="FootnoteReference"/>
          <w:rFonts w:cs="Taher"/>
          <w:rtl/>
        </w:rPr>
        <w:footnoteReference w:id="126"/>
      </w:r>
      <w:r w:rsidR="00004FDB" w:rsidRPr="000A4159">
        <w:rPr>
          <w:rFonts w:cs="Taher"/>
          <w:vertAlign w:val="superscript"/>
          <w:rtl/>
        </w:rPr>
        <w:t>)</w:t>
      </w:r>
      <w:r w:rsidRPr="00211B5D">
        <w:rPr>
          <w:rtl/>
        </w:rPr>
        <w:t xml:space="preserve"> عليهم السلام إلا من ثبت من قبل الأئم</w:t>
      </w:r>
      <w:r>
        <w:rPr>
          <w:rFonts w:hint="cs"/>
          <w:rtl/>
        </w:rPr>
        <w:t>ّ</w:t>
      </w:r>
      <w:r w:rsidRPr="00211B5D">
        <w:rPr>
          <w:rtl/>
        </w:rPr>
        <w:t>ة</w:t>
      </w:r>
      <w:r>
        <w:rPr>
          <w:rFonts w:hint="cs"/>
          <w:rtl/>
        </w:rPr>
        <w:t xml:space="preserve"> </w:t>
      </w:r>
      <w:r w:rsidRPr="00211B5D">
        <w:rPr>
          <w:rtl/>
        </w:rPr>
        <w:t>عليهم السلام الحكم بكفرهم، ولزوم التبر</w:t>
      </w:r>
      <w:r>
        <w:rPr>
          <w:rFonts w:hint="cs"/>
          <w:rtl/>
        </w:rPr>
        <w:t>ّ</w:t>
      </w:r>
      <w:r w:rsidRPr="00211B5D">
        <w:rPr>
          <w:rtl/>
        </w:rPr>
        <w:t>ي عنهم</w:t>
      </w:r>
      <w:r>
        <w:rPr>
          <w:rFonts w:hint="cs"/>
          <w:rtl/>
        </w:rPr>
        <w:t>»</w:t>
      </w:r>
      <w:r w:rsidRPr="000A4159">
        <w:rPr>
          <w:rFonts w:cs="Taher"/>
          <w:vertAlign w:val="superscript"/>
          <w:rtl/>
        </w:rPr>
        <w:t>(</w:t>
      </w:r>
      <w:r w:rsidRPr="000A4159">
        <w:rPr>
          <w:rStyle w:val="FootnoteReference"/>
          <w:rFonts w:cs="Taher"/>
          <w:rtl/>
        </w:rPr>
        <w:footnoteReference w:id="127"/>
      </w:r>
      <w:r w:rsidRPr="000A4159">
        <w:rPr>
          <w:rFonts w:cs="Taher"/>
          <w:vertAlign w:val="superscript"/>
          <w:rtl/>
        </w:rPr>
        <w:t>)</w:t>
      </w:r>
      <w:r>
        <w:rPr>
          <w:rFonts w:hint="cs"/>
          <w:rtl/>
        </w:rPr>
        <w:t>.</w:t>
      </w:r>
    </w:p>
    <w:p w14:paraId="00B78CA3" w14:textId="77777777" w:rsidR="0011431E" w:rsidRDefault="0011431E" w:rsidP="00A47C06">
      <w:pPr>
        <w:rPr>
          <w:rtl/>
        </w:rPr>
      </w:pPr>
      <w:r w:rsidRPr="006171DB">
        <w:rPr>
          <w:rFonts w:hint="cs"/>
          <w:b/>
          <w:bCs/>
          <w:rtl/>
        </w:rPr>
        <w:t>وقد أفاض العلامة الأميني (1392هـ)،</w:t>
      </w:r>
      <w:r>
        <w:rPr>
          <w:rFonts w:hint="cs"/>
          <w:rtl/>
        </w:rPr>
        <w:t xml:space="preserve"> في الحديث عن مواقف علماء الشيعة وشعرا</w:t>
      </w:r>
      <w:r w:rsidR="006171DB">
        <w:rPr>
          <w:rFonts w:hint="cs"/>
          <w:rtl/>
        </w:rPr>
        <w:t>ئ</w:t>
      </w:r>
      <w:r>
        <w:rPr>
          <w:rFonts w:hint="cs"/>
          <w:rtl/>
        </w:rPr>
        <w:t xml:space="preserve">هم فيه </w:t>
      </w:r>
      <w:r>
        <w:rPr>
          <w:rFonts w:hint="cs"/>
          <w:rtl/>
        </w:rPr>
        <w:lastRenderedPageBreak/>
        <w:t>واحترام الإماميّة له، فراجع</w:t>
      </w:r>
      <w:r w:rsidRPr="000A4159">
        <w:rPr>
          <w:rFonts w:cs="Taher"/>
          <w:vertAlign w:val="superscript"/>
          <w:rtl/>
        </w:rPr>
        <w:t>(</w:t>
      </w:r>
      <w:r w:rsidRPr="000A4159">
        <w:rPr>
          <w:rStyle w:val="FootnoteReference"/>
          <w:rFonts w:cs="Taher"/>
          <w:rtl/>
        </w:rPr>
        <w:footnoteReference w:id="128"/>
      </w:r>
      <w:r w:rsidRPr="000A4159">
        <w:rPr>
          <w:rFonts w:cs="Taher"/>
          <w:vertAlign w:val="superscript"/>
          <w:rtl/>
        </w:rPr>
        <w:t>)</w:t>
      </w:r>
      <w:r>
        <w:rPr>
          <w:rFonts w:hint="cs"/>
          <w:rtl/>
        </w:rPr>
        <w:t>.</w:t>
      </w:r>
      <w:r w:rsidRPr="006171DB">
        <w:rPr>
          <w:rFonts w:hint="cs"/>
          <w:b/>
          <w:bCs/>
          <w:rtl/>
        </w:rPr>
        <w:t xml:space="preserve"> وقد جاء ذلك في سياق نقده ـ فيما يبدو ـ للشيخ بن تيمية الحراني وغيره، وفي هذا قال الأميني:</w:t>
      </w:r>
      <w:r>
        <w:rPr>
          <w:rFonts w:hint="cs"/>
          <w:rtl/>
        </w:rPr>
        <w:t xml:space="preserve"> </w:t>
      </w:r>
      <w:r>
        <w:rPr>
          <w:rFonts w:hint="eastAsia"/>
          <w:rtl/>
        </w:rPr>
        <w:t>«</w:t>
      </w:r>
      <w:r w:rsidRPr="0011431E">
        <w:rPr>
          <w:rtl/>
        </w:rPr>
        <w:t>هذا زيد ومقامه وقداسته عند الشيعة جمعاء، فلست أدري أين يكون إذن مقيل</w:t>
      </w:r>
      <w:r>
        <w:rPr>
          <w:rFonts w:hint="cs"/>
          <w:rtl/>
        </w:rPr>
        <w:t xml:space="preserve"> </w:t>
      </w:r>
      <w:r w:rsidRPr="0011431E">
        <w:rPr>
          <w:rtl/>
        </w:rPr>
        <w:t>قول ابن تيمية من مستوى الحقيقة: إن</w:t>
      </w:r>
      <w:r>
        <w:rPr>
          <w:rFonts w:hint="cs"/>
          <w:rtl/>
        </w:rPr>
        <w:t>ّ</w:t>
      </w:r>
      <w:r w:rsidRPr="0011431E">
        <w:rPr>
          <w:rtl/>
        </w:rPr>
        <w:t xml:space="preserve"> الرافضة رفضوا زيد بن علي بن الحسين ومن</w:t>
      </w:r>
      <w:r>
        <w:rPr>
          <w:rFonts w:hint="cs"/>
          <w:rtl/>
        </w:rPr>
        <w:t xml:space="preserve"> </w:t>
      </w:r>
      <w:r w:rsidRPr="0011431E">
        <w:rPr>
          <w:rtl/>
        </w:rPr>
        <w:t>والاه وشهدوا عليه بالكفر والفسق؟! وتبعه على هذه الهفوة السيد محمود الآلوسي</w:t>
      </w:r>
      <w:r>
        <w:rPr>
          <w:rFonts w:hint="cs"/>
          <w:rtl/>
        </w:rPr>
        <w:t xml:space="preserve"> </w:t>
      </w:r>
      <w:r w:rsidRPr="0011431E">
        <w:rPr>
          <w:rtl/>
        </w:rPr>
        <w:t>في رسالته المطبوعة في كتاب (السن</w:t>
      </w:r>
      <w:r>
        <w:rPr>
          <w:rFonts w:hint="cs"/>
          <w:rtl/>
        </w:rPr>
        <w:t>ّ</w:t>
      </w:r>
      <w:r w:rsidRPr="0011431E">
        <w:rPr>
          <w:rtl/>
        </w:rPr>
        <w:t>ة والشيعة) ص 52</w:t>
      </w:r>
      <w:r>
        <w:rPr>
          <w:rFonts w:hint="cs"/>
          <w:rtl/>
        </w:rPr>
        <w:t>،</w:t>
      </w:r>
      <w:r w:rsidRPr="0011431E">
        <w:rPr>
          <w:rtl/>
        </w:rPr>
        <w:t xml:space="preserve"> وقال: الرافضة مثلهم كمثل اليهود</w:t>
      </w:r>
      <w:r>
        <w:rPr>
          <w:rFonts w:hint="cs"/>
          <w:rtl/>
        </w:rPr>
        <w:t xml:space="preserve"> </w:t>
      </w:r>
      <w:r w:rsidRPr="0011431E">
        <w:rPr>
          <w:rtl/>
        </w:rPr>
        <w:t>الرافضة يبغضون كثيرا</w:t>
      </w:r>
      <w:r>
        <w:rPr>
          <w:rFonts w:hint="cs"/>
          <w:rtl/>
        </w:rPr>
        <w:t>ً</w:t>
      </w:r>
      <w:r w:rsidRPr="0011431E">
        <w:rPr>
          <w:rtl/>
        </w:rPr>
        <w:t xml:space="preserve"> من أولاد فاطمة رضي الله عنها بل يسب</w:t>
      </w:r>
      <w:r>
        <w:rPr>
          <w:rFonts w:hint="cs"/>
          <w:rtl/>
        </w:rPr>
        <w:t>ّ</w:t>
      </w:r>
      <w:r w:rsidRPr="0011431E">
        <w:rPr>
          <w:rtl/>
        </w:rPr>
        <w:t>ونهم كزيد بن علي، وقد</w:t>
      </w:r>
      <w:r>
        <w:rPr>
          <w:rFonts w:hint="cs"/>
          <w:rtl/>
        </w:rPr>
        <w:t xml:space="preserve"> </w:t>
      </w:r>
      <w:r w:rsidRPr="0011431E">
        <w:rPr>
          <w:rtl/>
        </w:rPr>
        <w:t>كان في العلم والزهد على جانب عظيم. وأخذ عنه القصيمي هذه الأكذوبة وذكرها في</w:t>
      </w:r>
      <w:r>
        <w:rPr>
          <w:rFonts w:hint="cs"/>
          <w:rtl/>
        </w:rPr>
        <w:t xml:space="preserve"> </w:t>
      </w:r>
      <w:r w:rsidRPr="0011431E">
        <w:rPr>
          <w:rtl/>
        </w:rPr>
        <w:t>كتابه (</w:t>
      </w:r>
      <w:r>
        <w:rPr>
          <w:rtl/>
        </w:rPr>
        <w:t>الصراع بن ال</w:t>
      </w:r>
      <w:r>
        <w:rPr>
          <w:rFonts w:hint="cs"/>
          <w:rtl/>
        </w:rPr>
        <w:t>إ</w:t>
      </w:r>
      <w:r w:rsidRPr="0011431E">
        <w:rPr>
          <w:rtl/>
        </w:rPr>
        <w:t>سلام والوثني</w:t>
      </w:r>
      <w:r>
        <w:rPr>
          <w:rFonts w:hint="cs"/>
          <w:rtl/>
        </w:rPr>
        <w:t>ّ</w:t>
      </w:r>
      <w:r w:rsidRPr="0011431E">
        <w:rPr>
          <w:rtl/>
        </w:rPr>
        <w:t>ة)</w:t>
      </w:r>
      <w:r>
        <w:rPr>
          <w:rFonts w:hint="cs"/>
          <w:rtl/>
        </w:rPr>
        <w:t>»</w:t>
      </w:r>
      <w:r w:rsidRPr="000A4159">
        <w:rPr>
          <w:rFonts w:cs="Taher"/>
          <w:vertAlign w:val="superscript"/>
          <w:rtl/>
        </w:rPr>
        <w:t>(</w:t>
      </w:r>
      <w:r w:rsidRPr="000A4159">
        <w:rPr>
          <w:rStyle w:val="FootnoteReference"/>
          <w:rFonts w:cs="Taher"/>
          <w:rtl/>
        </w:rPr>
        <w:footnoteReference w:id="129"/>
      </w:r>
      <w:r w:rsidRPr="000A4159">
        <w:rPr>
          <w:rFonts w:cs="Taher"/>
          <w:vertAlign w:val="superscript"/>
          <w:rtl/>
        </w:rPr>
        <w:t>)</w:t>
      </w:r>
      <w:r>
        <w:rPr>
          <w:rFonts w:hint="cs"/>
          <w:rtl/>
        </w:rPr>
        <w:t>.</w:t>
      </w:r>
    </w:p>
    <w:p w14:paraId="1C9AF68D" w14:textId="77777777" w:rsidR="00854D7F" w:rsidRDefault="00854D7F" w:rsidP="00854D7F">
      <w:pPr>
        <w:spacing w:line="214" w:lineRule="auto"/>
        <w:rPr>
          <w:rtl/>
        </w:rPr>
      </w:pPr>
      <w:r w:rsidRPr="006171DB">
        <w:rPr>
          <w:rFonts w:hint="cs"/>
          <w:b/>
          <w:bCs/>
          <w:rtl/>
        </w:rPr>
        <w:t>نعم</w:t>
      </w:r>
      <w:r w:rsidR="006171DB" w:rsidRPr="006171DB">
        <w:rPr>
          <w:rFonts w:hint="cs"/>
          <w:b/>
          <w:bCs/>
          <w:rtl/>
        </w:rPr>
        <w:t>،</w:t>
      </w:r>
      <w:r w:rsidRPr="006171DB">
        <w:rPr>
          <w:rFonts w:hint="cs"/>
          <w:b/>
          <w:bCs/>
          <w:rtl/>
        </w:rPr>
        <w:t xml:space="preserve"> إماميّاً يبدو أنّ التعبير عنه بـ "زيد الشهيد</w:t>
      </w:r>
      <w:r w:rsidRPr="006171DB">
        <w:rPr>
          <w:rFonts w:cs="Cambria" w:hint="cs"/>
          <w:b/>
          <w:bCs/>
          <w:rtl/>
        </w:rPr>
        <w:t>"</w:t>
      </w:r>
      <w:r w:rsidRPr="006171DB">
        <w:rPr>
          <w:rFonts w:hint="cs"/>
          <w:b/>
          <w:bCs/>
          <w:rtl/>
        </w:rPr>
        <w:t xml:space="preserve"> نادرٌ في الماضي، وأخذ ينتشر أكثر في القرنين الأخيرين،</w:t>
      </w:r>
      <w:r>
        <w:rPr>
          <w:rFonts w:hint="cs"/>
          <w:rtl/>
        </w:rPr>
        <w:t xml:space="preserve"> لكنّ هذا لا يضرّ بأصل الموقف منه.</w:t>
      </w:r>
    </w:p>
    <w:p w14:paraId="7FF12E93" w14:textId="77777777" w:rsidR="000A4159" w:rsidRDefault="003E5326" w:rsidP="00A47C06">
      <w:pPr>
        <w:pStyle w:val="normal930"/>
        <w:rPr>
          <w:rtl/>
        </w:rPr>
      </w:pPr>
      <w:r w:rsidRPr="003E5326">
        <w:rPr>
          <w:rFonts w:hint="cs"/>
          <w:b/>
          <w:bCs/>
          <w:rtl/>
        </w:rPr>
        <w:t>غير أنّ الاستناد للشهرة هنا يمكن التعليق عليه</w:t>
      </w:r>
      <w:r>
        <w:rPr>
          <w:rFonts w:hint="cs"/>
          <w:b/>
          <w:bCs/>
          <w:rtl/>
        </w:rPr>
        <w:t>؛</w:t>
      </w:r>
      <w:r>
        <w:rPr>
          <w:rFonts w:hint="cs"/>
          <w:rtl/>
        </w:rPr>
        <w:t xml:space="preserve"> وذلك </w:t>
      </w:r>
      <w:r w:rsidR="000A4159" w:rsidRPr="00822CE9">
        <w:rPr>
          <w:rFonts w:hint="cs"/>
          <w:rtl/>
        </w:rPr>
        <w:t>أن</w:t>
      </w:r>
      <w:r w:rsidR="00165A76">
        <w:rPr>
          <w:rFonts w:hint="cs"/>
          <w:rtl/>
        </w:rPr>
        <w:t>ّ</w:t>
      </w:r>
      <w:r w:rsidR="000A4159" w:rsidRPr="00822CE9">
        <w:rPr>
          <w:rFonts w:hint="cs"/>
          <w:rtl/>
        </w:rPr>
        <w:t xml:space="preserve"> المورد من موارد التعارض</w:t>
      </w:r>
      <w:r>
        <w:rPr>
          <w:rFonts w:hint="cs"/>
          <w:rtl/>
        </w:rPr>
        <w:t xml:space="preserve"> بين النصوص</w:t>
      </w:r>
      <w:r w:rsidR="000A4159" w:rsidRPr="00822CE9">
        <w:rPr>
          <w:rFonts w:hint="cs"/>
          <w:rtl/>
        </w:rPr>
        <w:t>، وربما أخذوا بهذه الطائفة من النصوص أو تلك لاجتهاد</w:t>
      </w:r>
      <w:r w:rsidR="00165A76">
        <w:rPr>
          <w:rFonts w:hint="cs"/>
          <w:rtl/>
        </w:rPr>
        <w:t>ٍ</w:t>
      </w:r>
      <w:r w:rsidR="000A4159" w:rsidRPr="00822CE9">
        <w:rPr>
          <w:rFonts w:hint="cs"/>
          <w:rtl/>
        </w:rPr>
        <w:t xml:space="preserve"> وحدس، لا لأن</w:t>
      </w:r>
      <w:r w:rsidR="00165A76">
        <w:rPr>
          <w:rFonts w:hint="cs"/>
          <w:rtl/>
        </w:rPr>
        <w:t>ّ</w:t>
      </w:r>
      <w:r w:rsidR="000A4159" w:rsidRPr="00822CE9">
        <w:rPr>
          <w:rFonts w:hint="cs"/>
          <w:rtl/>
        </w:rPr>
        <w:t>هم يصح</w:t>
      </w:r>
      <w:r w:rsidR="00165A76">
        <w:rPr>
          <w:rFonts w:hint="cs"/>
          <w:rtl/>
        </w:rPr>
        <w:t>ّ</w:t>
      </w:r>
      <w:r w:rsidR="000A4159" w:rsidRPr="00822CE9">
        <w:rPr>
          <w:rFonts w:hint="cs"/>
          <w:rtl/>
        </w:rPr>
        <w:t>حون صدورها بحسب المعايير السندي</w:t>
      </w:r>
      <w:r w:rsidR="00165A76">
        <w:rPr>
          <w:rFonts w:hint="cs"/>
          <w:rtl/>
        </w:rPr>
        <w:t>ّ</w:t>
      </w:r>
      <w:r w:rsidR="000A4159" w:rsidRPr="00822CE9">
        <w:rPr>
          <w:rFonts w:hint="cs"/>
          <w:rtl/>
        </w:rPr>
        <w:t>ة</w:t>
      </w:r>
      <w:r w:rsidR="006171DB">
        <w:rPr>
          <w:rFonts w:hint="cs"/>
          <w:rtl/>
        </w:rPr>
        <w:t xml:space="preserve"> والتاريخيّة</w:t>
      </w:r>
      <w:r w:rsidR="000A4159" w:rsidRPr="00822CE9">
        <w:rPr>
          <w:rFonts w:hint="cs"/>
          <w:rtl/>
        </w:rPr>
        <w:t>، فضلاً عن أن</w:t>
      </w:r>
      <w:r w:rsidR="00165A76">
        <w:rPr>
          <w:rFonts w:hint="cs"/>
          <w:rtl/>
        </w:rPr>
        <w:t>ّه لا يحرز حصول شهرة بين المتق</w:t>
      </w:r>
      <w:r w:rsidR="000A4159" w:rsidRPr="00822CE9">
        <w:rPr>
          <w:rFonts w:hint="cs"/>
          <w:rtl/>
        </w:rPr>
        <w:t>د</w:t>
      </w:r>
      <w:r w:rsidR="00165A76">
        <w:rPr>
          <w:rFonts w:hint="cs"/>
          <w:rtl/>
        </w:rPr>
        <w:t>ّ</w:t>
      </w:r>
      <w:r w:rsidR="000A4159" w:rsidRPr="00822CE9">
        <w:rPr>
          <w:rFonts w:hint="cs"/>
          <w:rtl/>
        </w:rPr>
        <w:t>مين تفرض هذا الأمر، فالشهرة في شخص زيد</w:t>
      </w:r>
      <w:r w:rsidR="00165A76">
        <w:rPr>
          <w:rFonts w:hint="cs"/>
          <w:rtl/>
        </w:rPr>
        <w:t>ٍ</w:t>
      </w:r>
      <w:r w:rsidR="000A4159" w:rsidRPr="00822CE9">
        <w:rPr>
          <w:rFonts w:hint="cs"/>
          <w:rtl/>
        </w:rPr>
        <w:t xml:space="preserve"> ووثاقته وجلالته، أم</w:t>
      </w:r>
      <w:r w:rsidR="00165A76">
        <w:rPr>
          <w:rFonts w:hint="cs"/>
          <w:rtl/>
        </w:rPr>
        <w:t>ّ</w:t>
      </w:r>
      <w:r w:rsidR="000A4159" w:rsidRPr="00822CE9">
        <w:rPr>
          <w:rFonts w:hint="cs"/>
          <w:rtl/>
        </w:rPr>
        <w:t>ا ثورته فغير معلومة.</w:t>
      </w:r>
      <w:r>
        <w:rPr>
          <w:rFonts w:hint="cs"/>
          <w:rtl/>
        </w:rPr>
        <w:t xml:space="preserve"> بل نحن قبل المفيد لا نكاد نعثر على نصّ من أحد علماء الإماميّة يمتدح زيداً، بل كثيرون جداً </w:t>
      </w:r>
      <w:r w:rsidR="00C83144">
        <w:rPr>
          <w:rFonts w:hint="cs"/>
          <w:rtl/>
        </w:rPr>
        <w:t xml:space="preserve">ما بين </w:t>
      </w:r>
      <w:r>
        <w:rPr>
          <w:rFonts w:hint="cs"/>
          <w:rtl/>
        </w:rPr>
        <w:t xml:space="preserve">المفيد </w:t>
      </w:r>
      <w:r w:rsidR="00C83144">
        <w:rPr>
          <w:rFonts w:hint="cs"/>
          <w:rtl/>
        </w:rPr>
        <w:t xml:space="preserve">والقرن الثامن الهجري </w:t>
      </w:r>
      <w:r>
        <w:rPr>
          <w:rFonts w:hint="cs"/>
          <w:rtl/>
        </w:rPr>
        <w:t>لم يبدو</w:t>
      </w:r>
      <w:r w:rsidR="00C83144">
        <w:rPr>
          <w:rFonts w:hint="cs"/>
          <w:rtl/>
        </w:rPr>
        <w:t>ا</w:t>
      </w:r>
      <w:r>
        <w:rPr>
          <w:rFonts w:hint="cs"/>
          <w:rtl/>
        </w:rPr>
        <w:t xml:space="preserve"> رأيهم في الموضوع.</w:t>
      </w:r>
    </w:p>
    <w:p w14:paraId="6294C150" w14:textId="77777777" w:rsidR="00681D88" w:rsidRPr="00681D88" w:rsidRDefault="00503DDA" w:rsidP="0096148C">
      <w:pPr>
        <w:pStyle w:val="Heading4"/>
        <w:rPr>
          <w:rtl/>
        </w:rPr>
      </w:pPr>
      <w:bookmarkStart w:id="58" w:name="_Toc143804119"/>
      <w:bookmarkStart w:id="59" w:name="_Toc238123244"/>
      <w:r>
        <w:rPr>
          <w:rFonts w:hint="cs"/>
          <w:rtl/>
        </w:rPr>
        <w:t xml:space="preserve">11 ـ 2 ـ 4 ـ </w:t>
      </w:r>
      <w:r w:rsidR="00681D88" w:rsidRPr="00681D88">
        <w:rPr>
          <w:rFonts w:hint="cs"/>
          <w:rtl/>
        </w:rPr>
        <w:t xml:space="preserve">ترجيح نصوص التأييد عبر </w:t>
      </w:r>
      <w:r w:rsidR="00681D88">
        <w:rPr>
          <w:rFonts w:hint="cs"/>
          <w:rtl/>
        </w:rPr>
        <w:t xml:space="preserve">توظيف </w:t>
      </w:r>
      <w:r w:rsidR="00681D88" w:rsidRPr="00681D88">
        <w:rPr>
          <w:rFonts w:hint="cs"/>
          <w:rtl/>
        </w:rPr>
        <w:t>نظريّة التقيّة</w:t>
      </w:r>
      <w:r>
        <w:rPr>
          <w:rFonts w:hint="cs"/>
          <w:rtl/>
        </w:rPr>
        <w:t>، مشاكل وعوائق</w:t>
      </w:r>
      <w:bookmarkEnd w:id="58"/>
      <w:bookmarkEnd w:id="59"/>
    </w:p>
    <w:p w14:paraId="7FC8FEB0" w14:textId="77777777" w:rsidR="000A4159" w:rsidRDefault="00681D88" w:rsidP="00681D88">
      <w:pPr>
        <w:spacing w:line="214" w:lineRule="auto"/>
        <w:rPr>
          <w:rtl/>
        </w:rPr>
      </w:pPr>
      <w:r>
        <w:rPr>
          <w:rFonts w:hint="cs"/>
          <w:rtl/>
        </w:rPr>
        <w:t>تعتبر هذه المحاولة</w:t>
      </w:r>
      <w:r w:rsidR="000A4159" w:rsidRPr="00822CE9">
        <w:rPr>
          <w:rFonts w:hint="cs"/>
          <w:rtl/>
        </w:rPr>
        <w:t xml:space="preserve"> أن</w:t>
      </w:r>
      <w:r w:rsidR="00165A76">
        <w:rPr>
          <w:rFonts w:hint="cs"/>
          <w:rtl/>
        </w:rPr>
        <w:t>ّ</w:t>
      </w:r>
      <w:r w:rsidR="000A4159" w:rsidRPr="00822CE9">
        <w:rPr>
          <w:rFonts w:hint="cs"/>
          <w:rtl/>
        </w:rPr>
        <w:t xml:space="preserve"> الروايات الرافضة للثورة ت</w:t>
      </w:r>
      <w:r w:rsidR="00165A76">
        <w:rPr>
          <w:rFonts w:hint="cs"/>
          <w:rtl/>
        </w:rPr>
        <w:t>ُ</w:t>
      </w:r>
      <w:r w:rsidR="000A4159" w:rsidRPr="00822CE9">
        <w:rPr>
          <w:rFonts w:hint="cs"/>
          <w:rtl/>
        </w:rPr>
        <w:t>حمل على التقية، فالأمر سياسيّ</w:t>
      </w:r>
      <w:r w:rsidR="00165A76">
        <w:rPr>
          <w:rFonts w:hint="cs"/>
          <w:rtl/>
        </w:rPr>
        <w:t>ٌ</w:t>
      </w:r>
      <w:r w:rsidR="000A4159" w:rsidRPr="00822CE9">
        <w:rPr>
          <w:rFonts w:hint="cs"/>
          <w:rtl/>
        </w:rPr>
        <w:t xml:space="preserve"> خطير </w:t>
      </w:r>
      <w:r w:rsidR="00165A76">
        <w:rPr>
          <w:rFonts w:hint="cs"/>
          <w:rtl/>
        </w:rPr>
        <w:t xml:space="preserve">ما </w:t>
      </w:r>
      <w:r w:rsidR="000A4159" w:rsidRPr="00822CE9">
        <w:rPr>
          <w:rFonts w:hint="cs"/>
          <w:rtl/>
        </w:rPr>
        <w:t>من شأنه ورود التقي</w:t>
      </w:r>
      <w:r w:rsidR="00165A76">
        <w:rPr>
          <w:rFonts w:hint="cs"/>
          <w:rtl/>
        </w:rPr>
        <w:t>ّ</w:t>
      </w:r>
      <w:r w:rsidR="000A4159" w:rsidRPr="00822CE9">
        <w:rPr>
          <w:rFonts w:hint="cs"/>
          <w:rtl/>
        </w:rPr>
        <w:t>ة فيه، على خلاف الروايات المؤي</w:t>
      </w:r>
      <w:r w:rsidR="00165A76">
        <w:rPr>
          <w:rFonts w:hint="cs"/>
          <w:rtl/>
        </w:rPr>
        <w:t>ّ</w:t>
      </w:r>
      <w:r w:rsidR="000A4159" w:rsidRPr="00822CE9">
        <w:rPr>
          <w:rFonts w:hint="cs"/>
          <w:rtl/>
        </w:rPr>
        <w:t>دة للثورة حيث تصعب التقي</w:t>
      </w:r>
      <w:r w:rsidR="00165A76">
        <w:rPr>
          <w:rFonts w:hint="cs"/>
          <w:rtl/>
        </w:rPr>
        <w:t>ّ</w:t>
      </w:r>
      <w:r w:rsidR="000A4159" w:rsidRPr="00822CE9">
        <w:rPr>
          <w:rFonts w:hint="cs"/>
          <w:rtl/>
        </w:rPr>
        <w:t>ة فيها ما دام الموقف الذي تشتمل عليه معار</w:t>
      </w:r>
      <w:r w:rsidR="00165A76">
        <w:rPr>
          <w:rFonts w:hint="cs"/>
          <w:rtl/>
        </w:rPr>
        <w:t>ِ</w:t>
      </w:r>
      <w:r w:rsidR="000A4159" w:rsidRPr="00822CE9">
        <w:rPr>
          <w:rFonts w:hint="cs"/>
          <w:rtl/>
        </w:rPr>
        <w:t>ضاً للسلطات الحاكمة، فيكون هذا شاهداً معز</w:t>
      </w:r>
      <w:r w:rsidR="00165A76">
        <w:rPr>
          <w:rFonts w:hint="cs"/>
          <w:rtl/>
        </w:rPr>
        <w:t>ّ</w:t>
      </w:r>
      <w:r w:rsidR="000A4159" w:rsidRPr="00822CE9">
        <w:rPr>
          <w:rFonts w:hint="cs"/>
          <w:rtl/>
        </w:rPr>
        <w:t xml:space="preserve">زاً لروايات التأييد </w:t>
      </w:r>
      <w:r w:rsidR="000A4159" w:rsidRPr="00822CE9">
        <w:rPr>
          <w:rFonts w:hint="cs"/>
          <w:rtl/>
        </w:rPr>
        <w:lastRenderedPageBreak/>
        <w:t>وموه</w:t>
      </w:r>
      <w:r w:rsidR="00165A76">
        <w:rPr>
          <w:rFonts w:hint="cs"/>
          <w:rtl/>
        </w:rPr>
        <w:t>ِ</w:t>
      </w:r>
      <w:r w:rsidR="000A4159" w:rsidRPr="00822CE9">
        <w:rPr>
          <w:rFonts w:hint="cs"/>
          <w:rtl/>
        </w:rPr>
        <w:t>ناً لنصوص الرفض.</w:t>
      </w:r>
      <w:r w:rsidR="003E1BBD">
        <w:rPr>
          <w:rFonts w:hint="cs"/>
          <w:rtl/>
        </w:rPr>
        <w:t xml:space="preserve"> بل لعلّ بإمكاننا افتراض أنّ نصوص الرفض كانت في حياة زيدٍ تقيّةً، فيما نصوص التأييد كانت بعد رحيله، وربما بعد زوال الدولة الأمويّة؛ لانتفاء مبّرر التقيّة في تلك الحال.</w:t>
      </w:r>
    </w:p>
    <w:p w14:paraId="5CDFA3F7" w14:textId="77777777" w:rsidR="00A31A0E" w:rsidRDefault="003E1BBD" w:rsidP="00A47C06">
      <w:pPr>
        <w:pStyle w:val="normal84"/>
        <w:rPr>
          <w:rtl/>
        </w:rPr>
      </w:pPr>
      <w:r w:rsidRPr="006171DB">
        <w:rPr>
          <w:rFonts w:hint="cs"/>
          <w:b/>
          <w:bCs/>
          <w:rtl/>
        </w:rPr>
        <w:t xml:space="preserve">يقول السيّد </w:t>
      </w:r>
      <w:r w:rsidR="00A31A0E" w:rsidRPr="006171DB">
        <w:rPr>
          <w:rFonts w:hint="cs"/>
          <w:b/>
          <w:bCs/>
          <w:rtl/>
        </w:rPr>
        <w:t xml:space="preserve">نعمة الله الجزائري </w:t>
      </w:r>
      <w:r w:rsidRPr="006171DB">
        <w:rPr>
          <w:rFonts w:hint="cs"/>
          <w:b/>
          <w:bCs/>
          <w:rtl/>
        </w:rPr>
        <w:t>(1112هـ)</w:t>
      </w:r>
      <w:r w:rsidR="00A31A0E" w:rsidRPr="006171DB">
        <w:rPr>
          <w:rFonts w:hint="cs"/>
          <w:b/>
          <w:bCs/>
          <w:rtl/>
        </w:rPr>
        <w:t>:</w:t>
      </w:r>
      <w:r w:rsidR="00A31A0E">
        <w:rPr>
          <w:rFonts w:hint="cs"/>
          <w:rtl/>
        </w:rPr>
        <w:t xml:space="preserve"> </w:t>
      </w:r>
      <w:r w:rsidR="00A31A0E">
        <w:rPr>
          <w:rFonts w:hint="eastAsia"/>
          <w:rtl/>
        </w:rPr>
        <w:t>«</w:t>
      </w:r>
      <w:r w:rsidR="00A31A0E" w:rsidRPr="004F41C8">
        <w:rPr>
          <w:rtl/>
        </w:rPr>
        <w:t>وإن ورد طعن</w:t>
      </w:r>
      <w:r>
        <w:rPr>
          <w:rFonts w:hint="cs"/>
          <w:rtl/>
        </w:rPr>
        <w:t>ٌ</w:t>
      </w:r>
      <w:r w:rsidR="00A31A0E" w:rsidRPr="004F41C8">
        <w:rPr>
          <w:rtl/>
        </w:rPr>
        <w:t xml:space="preserve"> من الأئم</w:t>
      </w:r>
      <w:r>
        <w:rPr>
          <w:rFonts w:hint="cs"/>
          <w:rtl/>
        </w:rPr>
        <w:t>ّ</w:t>
      </w:r>
      <w:r w:rsidR="00A31A0E" w:rsidRPr="004F41C8">
        <w:rPr>
          <w:rtl/>
        </w:rPr>
        <w:t>ة</w:t>
      </w:r>
      <w:r>
        <w:rPr>
          <w:rFonts w:hint="cs"/>
          <w:rtl/>
        </w:rPr>
        <w:t xml:space="preserve"> ـ</w:t>
      </w:r>
      <w:r w:rsidR="00A31A0E" w:rsidRPr="004F41C8">
        <w:rPr>
          <w:rtl/>
        </w:rPr>
        <w:t xml:space="preserve"> عليهم السّلام</w:t>
      </w:r>
      <w:r>
        <w:rPr>
          <w:rFonts w:hint="cs"/>
          <w:rtl/>
        </w:rPr>
        <w:t xml:space="preserve"> ـ</w:t>
      </w:r>
      <w:r w:rsidR="00A31A0E" w:rsidRPr="004F41C8">
        <w:rPr>
          <w:rtl/>
        </w:rPr>
        <w:t xml:space="preserve"> في خروجه، فالظاهر أن</w:t>
      </w:r>
      <w:r>
        <w:rPr>
          <w:rFonts w:hint="cs"/>
          <w:rtl/>
        </w:rPr>
        <w:t>ّ</w:t>
      </w:r>
      <w:r w:rsidR="00A31A0E" w:rsidRPr="004F41C8">
        <w:rPr>
          <w:rtl/>
        </w:rPr>
        <w:t>ه إم</w:t>
      </w:r>
      <w:r>
        <w:rPr>
          <w:rFonts w:hint="cs"/>
          <w:rtl/>
        </w:rPr>
        <w:t>ّ</w:t>
      </w:r>
      <w:r w:rsidR="00A31A0E" w:rsidRPr="004F41C8">
        <w:rPr>
          <w:rtl/>
        </w:rPr>
        <w:t>ا تقي</w:t>
      </w:r>
      <w:r>
        <w:rPr>
          <w:rFonts w:hint="cs"/>
          <w:rtl/>
        </w:rPr>
        <w:t>ّ</w:t>
      </w:r>
      <w:r w:rsidR="00A31A0E" w:rsidRPr="004F41C8">
        <w:rPr>
          <w:rtl/>
        </w:rPr>
        <w:t>ة من سلاطين الجور</w:t>
      </w:r>
      <w:r>
        <w:rPr>
          <w:rFonts w:hint="cs"/>
          <w:rtl/>
        </w:rPr>
        <w:t>،</w:t>
      </w:r>
      <w:r w:rsidR="00A31A0E" w:rsidRPr="004F41C8">
        <w:rPr>
          <w:rtl/>
        </w:rPr>
        <w:t xml:space="preserve"> لئلا يعرفوا من حالهم الرضا بخروج زيد، وإم</w:t>
      </w:r>
      <w:r>
        <w:rPr>
          <w:rFonts w:hint="cs"/>
          <w:rtl/>
        </w:rPr>
        <w:t>ّ</w:t>
      </w:r>
      <w:r w:rsidR="00A31A0E" w:rsidRPr="004F41C8">
        <w:rPr>
          <w:rtl/>
        </w:rPr>
        <w:t>ا رعاية لجه</w:t>
      </w:r>
      <w:r>
        <w:rPr>
          <w:rFonts w:hint="cs"/>
          <w:rtl/>
        </w:rPr>
        <w:t>ّ</w:t>
      </w:r>
      <w:r w:rsidR="00A31A0E" w:rsidRPr="004F41C8">
        <w:rPr>
          <w:rtl/>
        </w:rPr>
        <w:t>ال الشيعة لئلا يعتقدوا إمام</w:t>
      </w:r>
      <w:r>
        <w:rPr>
          <w:rFonts w:hint="cs"/>
          <w:rtl/>
        </w:rPr>
        <w:t>َ</w:t>
      </w:r>
      <w:r w:rsidR="00A31A0E" w:rsidRPr="004F41C8">
        <w:rPr>
          <w:rtl/>
        </w:rPr>
        <w:t>ت</w:t>
      </w:r>
      <w:r>
        <w:rPr>
          <w:rFonts w:hint="cs"/>
          <w:rtl/>
        </w:rPr>
        <w:t>َ</w:t>
      </w:r>
      <w:r w:rsidR="00A31A0E" w:rsidRPr="004F41C8">
        <w:rPr>
          <w:rtl/>
        </w:rPr>
        <w:t>ه بسبب أن</w:t>
      </w:r>
      <w:r>
        <w:rPr>
          <w:rFonts w:hint="cs"/>
          <w:rtl/>
        </w:rPr>
        <w:t>ّ</w:t>
      </w:r>
      <w:r w:rsidR="00A31A0E" w:rsidRPr="004F41C8">
        <w:rPr>
          <w:rtl/>
        </w:rPr>
        <w:t>ه محقّ</w:t>
      </w:r>
      <w:r>
        <w:rPr>
          <w:rFonts w:hint="cs"/>
          <w:rtl/>
        </w:rPr>
        <w:t>ٌ</w:t>
      </w:r>
      <w:r w:rsidR="00A31A0E" w:rsidRPr="004F41C8">
        <w:rPr>
          <w:rtl/>
        </w:rPr>
        <w:t xml:space="preserve"> في خروجه وجلوس الإمام</w:t>
      </w:r>
      <w:r>
        <w:rPr>
          <w:rFonts w:hint="cs"/>
          <w:rtl/>
        </w:rPr>
        <w:t xml:space="preserve">× </w:t>
      </w:r>
      <w:r w:rsidR="00A31A0E" w:rsidRPr="004F41C8">
        <w:rPr>
          <w:rtl/>
        </w:rPr>
        <w:t>عن الخروج، كما اتفق ذلك للزيدي</w:t>
      </w:r>
      <w:r>
        <w:rPr>
          <w:rFonts w:hint="cs"/>
          <w:rtl/>
        </w:rPr>
        <w:t>ّ</w:t>
      </w:r>
      <w:r w:rsidR="00A31A0E" w:rsidRPr="004F41C8">
        <w:rPr>
          <w:rtl/>
        </w:rPr>
        <w:t>ة</w:t>
      </w:r>
      <w:r w:rsidR="00A31A0E">
        <w:rPr>
          <w:rFonts w:hint="cs"/>
          <w:rtl/>
        </w:rPr>
        <w:t>»</w:t>
      </w:r>
      <w:r w:rsidRPr="000A4159">
        <w:rPr>
          <w:rFonts w:cs="Taher"/>
          <w:vertAlign w:val="superscript"/>
          <w:rtl/>
        </w:rPr>
        <w:t>(</w:t>
      </w:r>
      <w:r w:rsidRPr="000A4159">
        <w:rPr>
          <w:rStyle w:val="FootnoteReference"/>
          <w:rFonts w:cs="Taher"/>
          <w:rtl/>
        </w:rPr>
        <w:footnoteReference w:id="130"/>
      </w:r>
      <w:r w:rsidRPr="000A4159">
        <w:rPr>
          <w:rFonts w:cs="Taher"/>
          <w:vertAlign w:val="superscript"/>
          <w:rtl/>
        </w:rPr>
        <w:t>)</w:t>
      </w:r>
      <w:r>
        <w:rPr>
          <w:rFonts w:hint="cs"/>
          <w:rtl/>
        </w:rPr>
        <w:t>.</w:t>
      </w:r>
    </w:p>
    <w:p w14:paraId="0AA228A7" w14:textId="77777777" w:rsidR="00E84988" w:rsidRPr="00E84988" w:rsidRDefault="00AB6219" w:rsidP="007521F3">
      <w:pPr>
        <w:spacing w:line="214" w:lineRule="auto"/>
        <w:rPr>
          <w:rtl/>
        </w:rPr>
      </w:pPr>
      <w:r w:rsidRPr="006171DB">
        <w:rPr>
          <w:rFonts w:hint="cs"/>
          <w:b/>
          <w:bCs/>
          <w:rtl/>
        </w:rPr>
        <w:t>و</w:t>
      </w:r>
      <w:r w:rsidR="007521F3" w:rsidRPr="006171DB">
        <w:rPr>
          <w:rFonts w:hint="cs"/>
          <w:b/>
          <w:bCs/>
          <w:rtl/>
        </w:rPr>
        <w:t xml:space="preserve">قد تقدّم كلام </w:t>
      </w:r>
      <w:r w:rsidRPr="006171DB">
        <w:rPr>
          <w:rFonts w:hint="cs"/>
          <w:b/>
          <w:bCs/>
          <w:rtl/>
        </w:rPr>
        <w:t>الخزاز القمي</w:t>
      </w:r>
      <w:r w:rsidR="007521F3" w:rsidRPr="006171DB">
        <w:rPr>
          <w:rFonts w:cs="Taher"/>
          <w:b/>
          <w:bCs/>
          <w:vertAlign w:val="superscript"/>
          <w:rtl/>
        </w:rPr>
        <w:t>(</w:t>
      </w:r>
      <w:r w:rsidR="007521F3" w:rsidRPr="006171DB">
        <w:rPr>
          <w:rStyle w:val="FootnoteReference"/>
          <w:rFonts w:cs="Taher"/>
          <w:b/>
          <w:bCs/>
          <w:rtl/>
        </w:rPr>
        <w:footnoteReference w:id="131"/>
      </w:r>
      <w:r w:rsidR="007521F3" w:rsidRPr="006171DB">
        <w:rPr>
          <w:rFonts w:cs="Taher"/>
          <w:b/>
          <w:bCs/>
          <w:vertAlign w:val="superscript"/>
          <w:rtl/>
        </w:rPr>
        <w:t>)</w:t>
      </w:r>
      <w:r w:rsidR="007521F3" w:rsidRPr="006171DB">
        <w:rPr>
          <w:rFonts w:hint="cs"/>
          <w:b/>
          <w:bCs/>
          <w:rtl/>
        </w:rPr>
        <w:t xml:space="preserve">، فلا نعيد، وقد أكّد فيها القمي </w:t>
      </w:r>
      <w:r w:rsidR="00E84988" w:rsidRPr="006171DB">
        <w:rPr>
          <w:rFonts w:hint="cs"/>
          <w:b/>
          <w:bCs/>
          <w:rtl/>
        </w:rPr>
        <w:t>أنّ هناك تنسيقاً ذكيّاً بين جعفر وزيد،</w:t>
      </w:r>
      <w:r w:rsidR="00E84988" w:rsidRPr="00E84988">
        <w:rPr>
          <w:rFonts w:hint="cs"/>
          <w:rtl/>
        </w:rPr>
        <w:t xml:space="preserve"> فحتى لا تنزل البليّ</w:t>
      </w:r>
      <w:r w:rsidR="00E84988">
        <w:rPr>
          <w:rFonts w:hint="cs"/>
          <w:rtl/>
        </w:rPr>
        <w:t>ة</w:t>
      </w:r>
      <w:r w:rsidR="00E84988" w:rsidRPr="00E84988">
        <w:rPr>
          <w:rFonts w:hint="cs"/>
          <w:rtl/>
        </w:rPr>
        <w:t xml:space="preserve"> على الشيعة جم</w:t>
      </w:r>
      <w:r w:rsidR="00E84988">
        <w:rPr>
          <w:rFonts w:hint="cs"/>
          <w:rtl/>
        </w:rPr>
        <w:t>يع</w:t>
      </w:r>
      <w:r w:rsidR="00E84988" w:rsidRPr="00E84988">
        <w:rPr>
          <w:rFonts w:hint="cs"/>
          <w:rtl/>
        </w:rPr>
        <w:t>هم، صار الاتفاق بينهما على خروج زيد</w:t>
      </w:r>
      <w:r w:rsidR="00E84988">
        <w:rPr>
          <w:rFonts w:hint="cs"/>
          <w:rtl/>
        </w:rPr>
        <w:t>ٍ</w:t>
      </w:r>
      <w:r w:rsidR="00E84988" w:rsidRPr="00E84988">
        <w:rPr>
          <w:rFonts w:hint="cs"/>
          <w:rtl/>
        </w:rPr>
        <w:t xml:space="preserve"> وبقاء جعفر، فإذا نجح زيد</w:t>
      </w:r>
      <w:r w:rsidR="00E84988">
        <w:rPr>
          <w:rFonts w:hint="cs"/>
          <w:rtl/>
        </w:rPr>
        <w:t>ٌ</w:t>
      </w:r>
      <w:r w:rsidR="00E84988" w:rsidRPr="00E84988">
        <w:rPr>
          <w:rFonts w:hint="cs"/>
          <w:rtl/>
        </w:rPr>
        <w:t xml:space="preserve"> سلّم الإمامة لجعفر، وإذا فشل أكمل جعفر</w:t>
      </w:r>
      <w:r w:rsidR="00E84988">
        <w:rPr>
          <w:rFonts w:hint="cs"/>
          <w:rtl/>
        </w:rPr>
        <w:t>ُ</w:t>
      </w:r>
      <w:r w:rsidR="00E84988" w:rsidRPr="00E84988">
        <w:rPr>
          <w:rFonts w:hint="cs"/>
          <w:rtl/>
        </w:rPr>
        <w:t xml:space="preserve"> الطريق.</w:t>
      </w:r>
    </w:p>
    <w:p w14:paraId="09FE540E" w14:textId="77777777" w:rsidR="00C54417" w:rsidRPr="00C54417" w:rsidRDefault="000A4159" w:rsidP="00E84988">
      <w:pPr>
        <w:spacing w:line="214" w:lineRule="auto"/>
        <w:rPr>
          <w:b/>
          <w:bCs/>
          <w:rtl/>
        </w:rPr>
      </w:pPr>
      <w:r w:rsidRPr="00C54417">
        <w:rPr>
          <w:rFonts w:hint="cs"/>
          <w:b/>
          <w:bCs/>
          <w:rtl/>
        </w:rPr>
        <w:t>وهذا الاحتمال في غاية المنطقي</w:t>
      </w:r>
      <w:r w:rsidR="00E84988" w:rsidRPr="00C54417">
        <w:rPr>
          <w:rFonts w:hint="cs"/>
          <w:b/>
          <w:bCs/>
          <w:rtl/>
        </w:rPr>
        <w:t>ّ</w:t>
      </w:r>
      <w:r w:rsidRPr="00C54417">
        <w:rPr>
          <w:rFonts w:hint="cs"/>
          <w:b/>
          <w:bCs/>
          <w:rtl/>
        </w:rPr>
        <w:t>ة، والتقي</w:t>
      </w:r>
      <w:r w:rsidR="00E84988" w:rsidRPr="00C54417">
        <w:rPr>
          <w:rFonts w:hint="cs"/>
          <w:b/>
          <w:bCs/>
          <w:rtl/>
        </w:rPr>
        <w:t>ّ</w:t>
      </w:r>
      <w:r w:rsidRPr="00C54417">
        <w:rPr>
          <w:rFonts w:hint="cs"/>
          <w:b/>
          <w:bCs/>
          <w:rtl/>
        </w:rPr>
        <w:t>ة هنا واردة</w:t>
      </w:r>
      <w:r w:rsidR="00C54417" w:rsidRPr="00C54417">
        <w:rPr>
          <w:rFonts w:hint="cs"/>
          <w:b/>
          <w:bCs/>
          <w:rtl/>
        </w:rPr>
        <w:t xml:space="preserve"> بالفعل</w:t>
      </w:r>
      <w:r w:rsidRPr="00C54417">
        <w:rPr>
          <w:rFonts w:hint="cs"/>
          <w:b/>
          <w:bCs/>
          <w:rtl/>
        </w:rPr>
        <w:t>، فالموضوع سياسي</w:t>
      </w:r>
      <w:r w:rsidR="00E84988" w:rsidRPr="00C54417">
        <w:rPr>
          <w:rFonts w:hint="cs"/>
          <w:b/>
          <w:bCs/>
          <w:rtl/>
        </w:rPr>
        <w:t>ٌّ</w:t>
      </w:r>
      <w:r w:rsidRPr="00C54417">
        <w:rPr>
          <w:rFonts w:hint="cs"/>
          <w:b/>
          <w:bCs/>
          <w:rtl/>
        </w:rPr>
        <w:t xml:space="preserve"> </w:t>
      </w:r>
      <w:r w:rsidR="00C54417" w:rsidRPr="00C54417">
        <w:rPr>
          <w:rFonts w:hint="cs"/>
          <w:b/>
          <w:bCs/>
          <w:rtl/>
        </w:rPr>
        <w:t xml:space="preserve">أمنيٌّ </w:t>
      </w:r>
      <w:r w:rsidRPr="00C54417">
        <w:rPr>
          <w:rFonts w:hint="cs"/>
          <w:b/>
          <w:bCs/>
          <w:rtl/>
        </w:rPr>
        <w:t>بامتياز</w:t>
      </w:r>
      <w:r w:rsidR="00E84988" w:rsidRPr="00C54417">
        <w:rPr>
          <w:rFonts w:hint="cs"/>
          <w:b/>
          <w:bCs/>
          <w:rtl/>
        </w:rPr>
        <w:t xml:space="preserve">، لكن </w:t>
      </w:r>
      <w:r w:rsidR="00C54417" w:rsidRPr="00C54417">
        <w:rPr>
          <w:rFonts w:hint="cs"/>
          <w:b/>
          <w:bCs/>
          <w:rtl/>
        </w:rPr>
        <w:t>قد تسجّل ملاحظات:</w:t>
      </w:r>
    </w:p>
    <w:p w14:paraId="7CEB5833" w14:textId="77777777" w:rsidR="00C54417" w:rsidRDefault="00C54417" w:rsidP="00A47C06">
      <w:pPr>
        <w:pStyle w:val="normal84"/>
        <w:rPr>
          <w:rtl/>
        </w:rPr>
      </w:pPr>
      <w:r w:rsidRPr="00C54417">
        <w:rPr>
          <w:rFonts w:hint="cs"/>
          <w:b/>
          <w:bCs/>
          <w:rtl/>
        </w:rPr>
        <w:t>أ ـ</w:t>
      </w:r>
      <w:r>
        <w:rPr>
          <w:rFonts w:hint="cs"/>
          <w:rtl/>
        </w:rPr>
        <w:t xml:space="preserve"> </w:t>
      </w:r>
      <w:r w:rsidR="00E84988">
        <w:rPr>
          <w:rFonts w:hint="cs"/>
          <w:rtl/>
        </w:rPr>
        <w:t>يجب أن نلتفت إلى أنّه</w:t>
      </w:r>
      <w:r w:rsidR="000A4159" w:rsidRPr="00822CE9">
        <w:rPr>
          <w:rFonts w:hint="cs"/>
          <w:rtl/>
        </w:rPr>
        <w:t xml:space="preserve"> ليس هناك في النصوص ما يشير إلى حضور أحد في موقف الإمام</w:t>
      </w:r>
      <w:r w:rsidR="009A1626" w:rsidRPr="00822CE9">
        <w:rPr>
          <w:rFonts w:hint="cs"/>
          <w:rtl/>
        </w:rPr>
        <w:t>×</w:t>
      </w:r>
      <w:r w:rsidR="000A4159" w:rsidRPr="00822CE9">
        <w:rPr>
          <w:rFonts w:hint="cs"/>
          <w:rtl/>
        </w:rPr>
        <w:t xml:space="preserve"> هذا</w:t>
      </w:r>
      <w:r w:rsidR="00E84988">
        <w:rPr>
          <w:rFonts w:hint="cs"/>
          <w:rtl/>
        </w:rPr>
        <w:t xml:space="preserve"> من زيد</w:t>
      </w:r>
      <w:r w:rsidR="000A4159" w:rsidRPr="00822CE9">
        <w:rPr>
          <w:rFonts w:hint="cs"/>
          <w:rtl/>
        </w:rPr>
        <w:t>، وإن</w:t>
      </w:r>
      <w:r w:rsidR="00E84988">
        <w:rPr>
          <w:rFonts w:hint="cs"/>
          <w:rtl/>
        </w:rPr>
        <w:t>ّ</w:t>
      </w:r>
      <w:r w:rsidR="000A4159" w:rsidRPr="00822CE9">
        <w:rPr>
          <w:rFonts w:hint="cs"/>
          <w:rtl/>
        </w:rPr>
        <w:t>ما الحاضر هم خ</w:t>
      </w:r>
      <w:r w:rsidR="00E84988">
        <w:rPr>
          <w:rFonts w:hint="cs"/>
          <w:rtl/>
        </w:rPr>
        <w:t>ُ</w:t>
      </w:r>
      <w:r w:rsidR="000A4159" w:rsidRPr="00822CE9">
        <w:rPr>
          <w:rFonts w:hint="cs"/>
          <w:rtl/>
        </w:rPr>
        <w:t>لّص الأصحاب مثل مؤمن الطاق..</w:t>
      </w:r>
      <w:r>
        <w:rPr>
          <w:rFonts w:hint="cs"/>
          <w:rtl/>
        </w:rPr>
        <w:t xml:space="preserve"> فما معنى التقيّة هنا؟!</w:t>
      </w:r>
    </w:p>
    <w:p w14:paraId="6BA3A8CA" w14:textId="77777777" w:rsidR="00A84DDC" w:rsidRDefault="00C54417" w:rsidP="00A47C06">
      <w:pPr>
        <w:pStyle w:val="normal84"/>
        <w:rPr>
          <w:rtl/>
        </w:rPr>
      </w:pPr>
      <w:r w:rsidRPr="00C54417">
        <w:rPr>
          <w:rFonts w:hint="cs"/>
          <w:b/>
          <w:bCs/>
          <w:rtl/>
        </w:rPr>
        <w:t>لكن قد يقال ـ في مقابل ذلك ـ:</w:t>
      </w:r>
      <w:r>
        <w:rPr>
          <w:rFonts w:hint="cs"/>
          <w:rtl/>
        </w:rPr>
        <w:t xml:space="preserve"> إنّ خصوصيّة وحساسية الموقف كانت تستدعي التقية حتى من أقرب المقرّبين، وأنّه لم يكن يعرف أحدٌ بهذا الاتفاق ـ ربما ـ عدا زيد والصادق فقط.</w:t>
      </w:r>
      <w:r w:rsidR="000A4159" w:rsidRPr="00822CE9">
        <w:rPr>
          <w:rFonts w:hint="cs"/>
          <w:rtl/>
        </w:rPr>
        <w:t xml:space="preserve"> </w:t>
      </w:r>
      <w:r w:rsidR="00A84DDC">
        <w:rPr>
          <w:rFonts w:hint="cs"/>
          <w:rtl/>
        </w:rPr>
        <w:t>وبهذا يمكن تفسير ممارسة التقيّة حتى من أقرب المقرّبين.</w:t>
      </w:r>
      <w:r w:rsidR="006171DB">
        <w:rPr>
          <w:rFonts w:hint="cs"/>
          <w:rtl/>
        </w:rPr>
        <w:t xml:space="preserve"> لكن لو كان الأمر كذلك فكيف عرفنا فيما بعد بالتقيّة وبالاتفاق بينهما؟!</w:t>
      </w:r>
    </w:p>
    <w:p w14:paraId="008F4ECA" w14:textId="77777777" w:rsidR="00A84DDC" w:rsidRDefault="00A84DDC" w:rsidP="00A84DDC">
      <w:pPr>
        <w:spacing w:line="214" w:lineRule="auto"/>
        <w:rPr>
          <w:rtl/>
        </w:rPr>
      </w:pPr>
      <w:r w:rsidRPr="00A84DDC">
        <w:rPr>
          <w:rFonts w:hint="cs"/>
          <w:b/>
          <w:bCs/>
          <w:rtl/>
        </w:rPr>
        <w:t>ب ـ</w:t>
      </w:r>
      <w:r>
        <w:rPr>
          <w:rFonts w:hint="cs"/>
          <w:rtl/>
        </w:rPr>
        <w:t xml:space="preserve"> إنّ هناك احتمالاً آخر في التقية يواجه أخبار التأييد أيضاً؛ وذلك أنّ الإمام الصادق من الممكن أنّه واجه تيّاراً عظيماً في الشيعة بدأ يتنامى بقوّة بعد شهادة زيد، فاستخدم معه التقيّة كي لا يخسر هؤلاء الشيعة ويضحّي بهم، فلكي يقترب منهم مارس معهم التقيّة، فاحتمال التقيّة </w:t>
      </w:r>
      <w:r>
        <w:rPr>
          <w:rFonts w:hint="cs"/>
          <w:rtl/>
        </w:rPr>
        <w:lastRenderedPageBreak/>
        <w:t>يمكن أن يُدّعى أنّه محتمل</w:t>
      </w:r>
      <w:r w:rsidR="001C163D">
        <w:rPr>
          <w:rFonts w:hint="cs"/>
          <w:rtl/>
        </w:rPr>
        <w:t>ٌ</w:t>
      </w:r>
      <w:r>
        <w:rPr>
          <w:rFonts w:hint="cs"/>
          <w:rtl/>
        </w:rPr>
        <w:t xml:space="preserve"> على الخطيّن معاً، وإن كان احتمالها على خطّ السلطان أقوى بكثير </w:t>
      </w:r>
      <w:r w:rsidR="001C163D">
        <w:rPr>
          <w:rFonts w:hint="cs"/>
          <w:rtl/>
        </w:rPr>
        <w:t xml:space="preserve">ـ عادةً ـ </w:t>
      </w:r>
      <w:r>
        <w:rPr>
          <w:rFonts w:hint="cs"/>
          <w:rtl/>
        </w:rPr>
        <w:t>من احتمالها على أيّ خطٍّ آخر.</w:t>
      </w:r>
    </w:p>
    <w:p w14:paraId="14CE432C" w14:textId="77777777" w:rsidR="001C163D" w:rsidRPr="006171DB" w:rsidRDefault="001C163D" w:rsidP="00A84DDC">
      <w:pPr>
        <w:spacing w:line="214" w:lineRule="auto"/>
        <w:rPr>
          <w:b/>
          <w:bCs/>
          <w:rtl/>
        </w:rPr>
      </w:pPr>
      <w:r w:rsidRPr="006171DB">
        <w:rPr>
          <w:rFonts w:hint="cs"/>
          <w:b/>
          <w:bCs/>
          <w:rtl/>
        </w:rPr>
        <w:t>ويشهد لما نقول بأنّ أغلب روايات الذمّ وقعت قبل شهادة زيد، فيما أغلب روايات المدح جاءت بعد شهادته</w:t>
      </w:r>
      <w:r w:rsidR="0006391C" w:rsidRPr="006171DB">
        <w:rPr>
          <w:rFonts w:hint="cs"/>
          <w:b/>
          <w:bCs/>
          <w:rtl/>
        </w:rPr>
        <w:t>.</w:t>
      </w:r>
    </w:p>
    <w:p w14:paraId="47F3B3C5" w14:textId="77777777" w:rsidR="00A84DDC" w:rsidRDefault="00A84DDC" w:rsidP="00A47C06">
      <w:pPr>
        <w:pStyle w:val="normal930"/>
        <w:rPr>
          <w:rtl/>
        </w:rPr>
      </w:pPr>
      <w:r w:rsidRPr="00FA2536">
        <w:rPr>
          <w:rFonts w:hint="cs"/>
          <w:b/>
          <w:bCs/>
          <w:rtl/>
        </w:rPr>
        <w:t xml:space="preserve">ج ـ </w:t>
      </w:r>
      <w:r w:rsidR="00FA2536">
        <w:rPr>
          <w:rFonts w:hint="cs"/>
          <w:rtl/>
        </w:rPr>
        <w:t>إنّ روايات المدح تتضمّن موقفاً مؤيّداً من الرجل ومتعاطفاً معه ومتألّماً عليه، فيما روايات الذمّ تتعرّض لمناقشات واستدلالات نقديّة ضدّه، كما رأينا في انتقادات مؤمن الطاق وغيره له، وقد تمّ تأييدها من قِبل الإمام. واحتماليّاتُ التقيّة في النصوص القائمة على الاستدلال أقلُّ منها عادةً في غيرها، على ما بحثناه في محلّه.</w:t>
      </w:r>
    </w:p>
    <w:p w14:paraId="6B44682A" w14:textId="77777777" w:rsidR="00A25D4A" w:rsidRDefault="00A25D4A" w:rsidP="00A47C06">
      <w:pPr>
        <w:pStyle w:val="normal930"/>
        <w:rPr>
          <w:rtl/>
        </w:rPr>
      </w:pPr>
      <w:r w:rsidRPr="00A25D4A">
        <w:rPr>
          <w:rFonts w:hint="cs"/>
          <w:b/>
          <w:bCs/>
          <w:rtl/>
        </w:rPr>
        <w:t xml:space="preserve">د ـ </w:t>
      </w:r>
      <w:r>
        <w:rPr>
          <w:rFonts w:hint="cs"/>
          <w:rtl/>
        </w:rPr>
        <w:t>كيف يُعقل وجود تنسيق بين زيد والصادق، بما يُفهم منه أنّه لو نجح زيدٌ سلّم الأمرَ للصادق، ولو فشِل أكمل الصادقُ المسيرةَ، وفي الوقت عينه ينتقد الصادقُ زيداً أمامَ بعض الشيعة؟! فالإمام في حالةٍ من هذا النوع يفترض أن يلتزم الصمت، لا أن يقدّم إيحاءً عكسيّاً؛ لأنّ هذه الإيحاءات العكسيّة تضرّ بمصلحة زيد في خروجه، والمفروض أنّ الإمام يريد لهذا الخروج أن ينتصر.</w:t>
      </w:r>
    </w:p>
    <w:p w14:paraId="3A5D0274" w14:textId="77777777" w:rsidR="00A25D4A" w:rsidRDefault="00A25D4A" w:rsidP="00A47C06">
      <w:pPr>
        <w:pStyle w:val="normal930"/>
        <w:rPr>
          <w:rtl/>
        </w:rPr>
      </w:pPr>
      <w:r w:rsidRPr="00A25D4A">
        <w:rPr>
          <w:rFonts w:hint="cs"/>
          <w:b/>
          <w:bCs/>
          <w:rtl/>
        </w:rPr>
        <w:t>إلا إذا قيل</w:t>
      </w:r>
      <w:r>
        <w:rPr>
          <w:rFonts w:hint="cs"/>
          <w:rtl/>
        </w:rPr>
        <w:t xml:space="preserve"> بأنّ وقائع الذمّ هذه جاءت قبل الثورة بفترة وجيزة للغاية، بما لا يضرّ بها، كما يظهر من بعض النصوص، فراجع.</w:t>
      </w:r>
    </w:p>
    <w:p w14:paraId="1D33E4E6" w14:textId="77777777" w:rsidR="003F6E7F" w:rsidRDefault="00030056" w:rsidP="00A47C06">
      <w:pPr>
        <w:pStyle w:val="normal930"/>
        <w:rPr>
          <w:rtl/>
        </w:rPr>
      </w:pPr>
      <w:r w:rsidRPr="00030056">
        <w:rPr>
          <w:rFonts w:hint="cs"/>
          <w:b/>
          <w:bCs/>
          <w:rtl/>
        </w:rPr>
        <w:t>هـ ـ</w:t>
      </w:r>
      <w:r>
        <w:rPr>
          <w:rFonts w:hint="cs"/>
          <w:rtl/>
        </w:rPr>
        <w:t xml:space="preserve"> إنّ الفكرة التي تقول بأنّ زيداً كان شيعيّاً إماميّاً اثني عشريّاً وأنّه خرج بإذن الصادق معتقداً إمامته، لم ينقلها إلا الشيعة الإماميّة فقط، مع أنّ منطق الأشياء يقول بأنّ زيد بن علي لو كان كذلك لظهر على الأقل في الوسط الزيدي تيّارٌ قريب من هذه الفكرة أو شبيهٌ بها، أعني فكرة الإمامة المنصوصة المعيّنة من قبل الله تعالى، فما تقوله بعض الروايات المادحة ـ سواء أتت من زيد كرواياته في تبيين أسماء الأئمّة الاثني عشر أم أتت من سائر الأئمّة وأصحابهم الإماميّة ـ غير معقولة بمنطق الأشياء. واحتمال التقية، بمعنى السريّة المطلقة من زيد في تبيين آرائه، شيء غير مفهوم هنا، وبخاصّة أنّ زيداً لو كان معتقداً إمامة الصادق والباقر لظهر عليه ذلك قبل تفكيره في الثورة بسنوات طويلة، في حين لا يظهر عليه أيّ أثر لشيءٍ من هذا القبيل. وكتبه المنقولة عنه </w:t>
      </w:r>
      <w:r>
        <w:rPr>
          <w:rFonts w:hint="cs"/>
          <w:rtl/>
        </w:rPr>
        <w:lastRenderedPageBreak/>
        <w:t>ليس فيها رائحة هذه المفاهيم إطلاقاً.</w:t>
      </w:r>
      <w:r w:rsidR="002E3D0A">
        <w:rPr>
          <w:rFonts w:hint="cs"/>
          <w:rtl/>
        </w:rPr>
        <w:t xml:space="preserve"> </w:t>
      </w:r>
      <w:r w:rsidR="003F6E7F">
        <w:rPr>
          <w:rFonts w:hint="cs"/>
          <w:rtl/>
        </w:rPr>
        <w:t>والغريب أنّ زيداً في بعض نصوص الإماميّة يعلن إيمانه بالأئمّة الاثني عشر بأسمائهم ويكشفها للرواة، وفي الوقت عينه نجد هنا سريّةً مطلقة بحيث حتى أقرب المقرّبين لا يعرفون العلاقة بينه وبين جعفر الصادق!</w:t>
      </w:r>
    </w:p>
    <w:p w14:paraId="6AE10D57" w14:textId="77777777" w:rsidR="003143BB" w:rsidRDefault="002E3D0A" w:rsidP="00A47C06">
      <w:pPr>
        <w:pStyle w:val="normal930"/>
        <w:rPr>
          <w:rtl/>
        </w:rPr>
      </w:pPr>
      <w:r>
        <w:rPr>
          <w:rFonts w:hint="cs"/>
          <w:rtl/>
        </w:rPr>
        <w:t xml:space="preserve">كما أنّ حساب عدد رواياته في كتب الإماميّة عن جعفر الصادق يؤكّد أنّها قليلة جدّاً، بل شبه معدومة، بل رواياته عن الباقر ليست بتلك المثابة بالنسبة لشخص مثله، </w:t>
      </w:r>
      <w:r w:rsidR="00431F22">
        <w:rPr>
          <w:rFonts w:hint="cs"/>
          <w:rtl/>
        </w:rPr>
        <w:t>بل ليس له في الكتب الأربعة إلا حوالي ستين رواية ينقلها عن آبائه، فراجع</w:t>
      </w:r>
      <w:r w:rsidR="008C0608">
        <w:rPr>
          <w:rFonts w:hint="cs"/>
          <w:rtl/>
        </w:rPr>
        <w:t xml:space="preserve">، </w:t>
      </w:r>
      <w:r w:rsidR="00431F22">
        <w:rPr>
          <w:rFonts w:hint="cs"/>
          <w:rtl/>
        </w:rPr>
        <w:t>ويفهم منه وصول السند إلى عليّ بن أبي طالب؛ لأنّ تعبير الآباء يعني أنّه لم ينقل عن الباقر والصادق وزين العابدين بعنوانهم أو نحو ذلك، بل نقل عن زين العابدين عن آبائه، فهو يعتبرهم بمثابة الناقلين، فانتبه!</w:t>
      </w:r>
      <w:r>
        <w:rPr>
          <w:rFonts w:hint="cs"/>
          <w:rtl/>
        </w:rPr>
        <w:t xml:space="preserve"> فشخصٌ مثله كان يفترض أن يكون من أقرب المقرّبين والمنظّرين لإمامة الأئمّة ونقل أقوالهم وهو عالمٌ فقيه عابد معروف في الأمّة قبل ذلك</w:t>
      </w:r>
      <w:r w:rsidR="003143BB">
        <w:rPr>
          <w:rFonts w:hint="cs"/>
          <w:rtl/>
        </w:rPr>
        <w:t>.</w:t>
      </w:r>
    </w:p>
    <w:p w14:paraId="56C9AEE0" w14:textId="77777777" w:rsidR="003143BB" w:rsidRDefault="00431F22" w:rsidP="00A47C06">
      <w:pPr>
        <w:pStyle w:val="normal930"/>
        <w:rPr>
          <w:rtl/>
        </w:rPr>
      </w:pPr>
      <w:r>
        <w:rPr>
          <w:rFonts w:hint="cs"/>
          <w:rtl/>
        </w:rPr>
        <w:t>والأغرب من ذلك كلّه أنّ رواياته في الكتب الأربعة جلّها إن لم نقل كلّها م</w:t>
      </w:r>
      <w:r w:rsidR="008C0608">
        <w:rPr>
          <w:rFonts w:hint="cs"/>
          <w:rtl/>
        </w:rPr>
        <w:t>رويّة عن عمرو بن خالد الواسطي أ</w:t>
      </w:r>
      <w:r>
        <w:rPr>
          <w:rFonts w:hint="cs"/>
          <w:rtl/>
        </w:rPr>
        <w:t>حد رؤساء الزيديّة، فكيف لم نجد له رواي</w:t>
      </w:r>
      <w:r w:rsidR="003143BB">
        <w:rPr>
          <w:rFonts w:hint="cs"/>
          <w:rtl/>
        </w:rPr>
        <w:t>ة نقلها كبار أصحاب الإمامين الباق</w:t>
      </w:r>
      <w:r>
        <w:rPr>
          <w:rFonts w:hint="cs"/>
          <w:rtl/>
        </w:rPr>
        <w:t>ر والصادق عنه؟! بل طريق الصدوق إلى زيد</w:t>
      </w:r>
      <w:r w:rsidR="002F5C9E">
        <w:rPr>
          <w:rFonts w:hint="cs"/>
          <w:rtl/>
        </w:rPr>
        <w:t>ٍ</w:t>
      </w:r>
      <w:r>
        <w:rPr>
          <w:rFonts w:hint="cs"/>
          <w:rtl/>
        </w:rPr>
        <w:t xml:space="preserve"> في الفقيه ينتهي بهذا الرجل أيضاً! </w:t>
      </w:r>
      <w:r w:rsidR="002E3D0A" w:rsidRPr="006171DB">
        <w:rPr>
          <w:rFonts w:hint="cs"/>
          <w:b/>
          <w:bCs/>
          <w:rtl/>
        </w:rPr>
        <w:t>لهذا أشكّ جدّاً في كون الرجل يؤمن أساساً بنظريّة الإمامة المنصوصة التي تقول بها الإماميّة،</w:t>
      </w:r>
      <w:r w:rsidR="002E3D0A">
        <w:rPr>
          <w:rFonts w:hint="cs"/>
          <w:rtl/>
        </w:rPr>
        <w:t xml:space="preserve"> غايته أنّه كان يحترم زين العابدين والباقرَين، وربما بلغ به الأمر حدّ تقديمهما في بعض الشؤون لا أكثر.</w:t>
      </w:r>
    </w:p>
    <w:p w14:paraId="1246B35A" w14:textId="77777777" w:rsidR="003143BB" w:rsidRDefault="003143BB" w:rsidP="00A47C06">
      <w:pPr>
        <w:pStyle w:val="normal930"/>
        <w:rPr>
          <w:rtl/>
        </w:rPr>
      </w:pPr>
      <w:r w:rsidRPr="006171DB">
        <w:rPr>
          <w:rFonts w:hint="cs"/>
          <w:b/>
          <w:bCs/>
          <w:rtl/>
        </w:rPr>
        <w:t>ويزداد الأمر أشكلةً عندما نلاحظ أسماء الذين خرجوا مع زيد أو ناصروه،</w:t>
      </w:r>
      <w:r>
        <w:rPr>
          <w:rFonts w:hint="cs"/>
          <w:rtl/>
        </w:rPr>
        <w:t xml:space="preserve"> مثل أبي حنيفة وسفيان الثوري والحجّاج بن دينار وسلمة بن كهيل وأبي هاشم الرماني والمنصور بن المعتمر ومحمّد بن عبد الرحمن بن أبي ليلى الأنصاري وغيرهم. </w:t>
      </w:r>
      <w:r w:rsidRPr="006171DB">
        <w:rPr>
          <w:rFonts w:hint="cs"/>
          <w:b/>
          <w:bCs/>
          <w:rtl/>
        </w:rPr>
        <w:t>فإنّه من الصعب لك أن تجد اسماً من أصحاب الإمام الباقر والصادق ممن يُعرفون في الوسط الإمامي بعدم كونهم من المؤمنين بالزيديّة التي هي في عرض التشيّع الإمامي،</w:t>
      </w:r>
      <w:r>
        <w:rPr>
          <w:rFonts w:hint="cs"/>
          <w:rtl/>
        </w:rPr>
        <w:t xml:space="preserve"> وهذا أمر غريب، فلو كان جعفر الصادق مؤمناً بحركة زيد فلماذا لم يقسّم أنصاره قسمين: قسمٌ يرسله لنصرة زيد ومبايعته، وقسم يبقيه، تماماً كما نسّق هو مع زيد</w:t>
      </w:r>
      <w:r w:rsidR="006171DB">
        <w:rPr>
          <w:rFonts w:hint="cs"/>
          <w:rtl/>
        </w:rPr>
        <w:t>؟!</w:t>
      </w:r>
    </w:p>
    <w:p w14:paraId="3D5B2D5B" w14:textId="77777777" w:rsidR="00F424FC" w:rsidRDefault="00F424FC" w:rsidP="00A47C06">
      <w:pPr>
        <w:pStyle w:val="normal930"/>
        <w:rPr>
          <w:rtl/>
        </w:rPr>
      </w:pPr>
      <w:r w:rsidRPr="00F424FC">
        <w:rPr>
          <w:rFonts w:hint="cs"/>
          <w:b/>
          <w:bCs/>
          <w:rtl/>
        </w:rPr>
        <w:lastRenderedPageBreak/>
        <w:t>والنتيجة</w:t>
      </w:r>
      <w:r>
        <w:rPr>
          <w:rFonts w:hint="cs"/>
          <w:rtl/>
        </w:rPr>
        <w:t xml:space="preserve"> إنّ التقيّة هنا </w:t>
      </w:r>
      <w:r w:rsidRPr="00822CE9">
        <w:rPr>
          <w:rFonts w:hint="cs"/>
          <w:rtl/>
        </w:rPr>
        <w:t>مجرّد افتراض</w:t>
      </w:r>
      <w:r>
        <w:rPr>
          <w:rFonts w:hint="cs"/>
          <w:rtl/>
        </w:rPr>
        <w:t xml:space="preserve">، </w:t>
      </w:r>
      <w:r w:rsidRPr="00822CE9">
        <w:rPr>
          <w:rFonts w:hint="cs"/>
          <w:rtl/>
        </w:rPr>
        <w:t>لا يوجب الاطمئنان بصدور الروايات المؤي</w:t>
      </w:r>
      <w:r>
        <w:rPr>
          <w:rFonts w:hint="cs"/>
          <w:rtl/>
        </w:rPr>
        <w:t>ّ</w:t>
      </w:r>
      <w:r w:rsidRPr="00822CE9">
        <w:rPr>
          <w:rFonts w:hint="cs"/>
          <w:rtl/>
        </w:rPr>
        <w:t>دة، مع ما عرفت من حالها سنداً ودلالة</w:t>
      </w:r>
      <w:r>
        <w:rPr>
          <w:rFonts w:hint="cs"/>
          <w:rtl/>
        </w:rPr>
        <w:t>.</w:t>
      </w:r>
      <w:r w:rsidRPr="00822CE9">
        <w:rPr>
          <w:rFonts w:hint="cs"/>
          <w:rtl/>
        </w:rPr>
        <w:t xml:space="preserve"> نعم </w:t>
      </w:r>
      <w:r>
        <w:rPr>
          <w:rFonts w:hint="cs"/>
          <w:rtl/>
        </w:rPr>
        <w:t xml:space="preserve">قد </w:t>
      </w:r>
      <w:r w:rsidRPr="00822CE9">
        <w:rPr>
          <w:rFonts w:hint="cs"/>
          <w:rtl/>
        </w:rPr>
        <w:t>يرج</w:t>
      </w:r>
      <w:r>
        <w:rPr>
          <w:rFonts w:hint="cs"/>
          <w:rtl/>
        </w:rPr>
        <w:t>ح في الظنّ طرف نصوص التأ</w:t>
      </w:r>
      <w:r w:rsidRPr="00822CE9">
        <w:rPr>
          <w:rFonts w:hint="cs"/>
          <w:rtl/>
        </w:rPr>
        <w:t>ييد، لكن</w:t>
      </w:r>
      <w:r>
        <w:rPr>
          <w:rFonts w:hint="cs"/>
          <w:rtl/>
        </w:rPr>
        <w:t xml:space="preserve">ّ هذا لا </w:t>
      </w:r>
      <w:r w:rsidRPr="00822CE9">
        <w:rPr>
          <w:rFonts w:hint="cs"/>
          <w:rtl/>
        </w:rPr>
        <w:t>يبلغ بها حدّ الاطمئنان والوثوق الذي هو ملاك حجي</w:t>
      </w:r>
      <w:r>
        <w:rPr>
          <w:rFonts w:hint="cs"/>
          <w:rtl/>
        </w:rPr>
        <w:t>ّ</w:t>
      </w:r>
      <w:r w:rsidRPr="00822CE9">
        <w:rPr>
          <w:rFonts w:hint="cs"/>
          <w:rtl/>
        </w:rPr>
        <w:t xml:space="preserve">ة الأخبار، </w:t>
      </w:r>
      <w:r>
        <w:rPr>
          <w:rFonts w:hint="cs"/>
          <w:rtl/>
        </w:rPr>
        <w:t xml:space="preserve">أو حدّ ممارسة ترجيح حجّة ومعتبر، لا </w:t>
      </w:r>
      <w:r w:rsidRPr="00822CE9">
        <w:rPr>
          <w:rFonts w:hint="cs"/>
          <w:rtl/>
        </w:rPr>
        <w:t xml:space="preserve">سيما على </w:t>
      </w:r>
      <w:r>
        <w:rPr>
          <w:rFonts w:hint="cs"/>
          <w:rtl/>
        </w:rPr>
        <w:t xml:space="preserve">رأي </w:t>
      </w:r>
      <w:r w:rsidRPr="00822CE9">
        <w:rPr>
          <w:rFonts w:hint="cs"/>
          <w:rtl/>
        </w:rPr>
        <w:t>من لا يرى حجي</w:t>
      </w:r>
      <w:r>
        <w:rPr>
          <w:rFonts w:hint="cs"/>
          <w:rtl/>
        </w:rPr>
        <w:t>ّ</w:t>
      </w:r>
      <w:r w:rsidRPr="00822CE9">
        <w:rPr>
          <w:rFonts w:hint="cs"/>
          <w:rtl/>
        </w:rPr>
        <w:t xml:space="preserve">ة خبر الواحد </w:t>
      </w:r>
      <w:r>
        <w:rPr>
          <w:rFonts w:hint="cs"/>
          <w:rtl/>
        </w:rPr>
        <w:t xml:space="preserve">الظنّي </w:t>
      </w:r>
      <w:r w:rsidRPr="00822CE9">
        <w:rPr>
          <w:rFonts w:hint="cs"/>
          <w:rtl/>
        </w:rPr>
        <w:t>في قضايا التاريخ</w:t>
      </w:r>
      <w:r>
        <w:rPr>
          <w:rFonts w:hint="cs"/>
          <w:rtl/>
        </w:rPr>
        <w:t>، كما هو الصحيح.</w:t>
      </w:r>
    </w:p>
    <w:p w14:paraId="6DE7D598" w14:textId="77777777" w:rsidR="00A84DDC" w:rsidRPr="006C168C" w:rsidRDefault="00503DDA" w:rsidP="0096148C">
      <w:pPr>
        <w:pStyle w:val="Heading4"/>
        <w:rPr>
          <w:rtl/>
        </w:rPr>
      </w:pPr>
      <w:bookmarkStart w:id="60" w:name="_Toc143804120"/>
      <w:bookmarkStart w:id="61" w:name="_Toc238123245"/>
      <w:r>
        <w:rPr>
          <w:rFonts w:hint="cs"/>
          <w:rtl/>
        </w:rPr>
        <w:t xml:space="preserve">11 ـ 2 ـ 5 ـ </w:t>
      </w:r>
      <w:r w:rsidR="005A1E80" w:rsidRPr="006C168C">
        <w:rPr>
          <w:rFonts w:hint="cs"/>
          <w:rtl/>
        </w:rPr>
        <w:t>النصوص بين الذم</w:t>
      </w:r>
      <w:r w:rsidR="00F424FC">
        <w:rPr>
          <w:rFonts w:hint="cs"/>
          <w:rtl/>
        </w:rPr>
        <w:t>ّ</w:t>
      </w:r>
      <w:r w:rsidR="005A1E80" w:rsidRPr="006C168C">
        <w:rPr>
          <w:rFonts w:hint="cs"/>
          <w:rtl/>
        </w:rPr>
        <w:t xml:space="preserve"> والإشفاق</w:t>
      </w:r>
      <w:r>
        <w:rPr>
          <w:rFonts w:hint="cs"/>
          <w:rtl/>
        </w:rPr>
        <w:t>، قراءة منقوصة</w:t>
      </w:r>
      <w:bookmarkEnd w:id="60"/>
      <w:bookmarkEnd w:id="61"/>
    </w:p>
    <w:p w14:paraId="71FA2ABE" w14:textId="77777777" w:rsidR="00E84988" w:rsidRDefault="00F424FC" w:rsidP="00A47C06">
      <w:pPr>
        <w:pStyle w:val="normal930"/>
        <w:rPr>
          <w:rtl/>
        </w:rPr>
      </w:pPr>
      <w:r w:rsidRPr="006171DB">
        <w:rPr>
          <w:rFonts w:hint="cs"/>
          <w:b/>
          <w:bCs/>
          <w:rtl/>
        </w:rPr>
        <w:t>نقل هذه الفرضيّة الشيخُ فخر الدين الطريحي (1085هـ)، حيث قال:</w:t>
      </w:r>
      <w:r>
        <w:rPr>
          <w:rFonts w:hint="cs"/>
          <w:rtl/>
        </w:rPr>
        <w:t xml:space="preserve"> </w:t>
      </w:r>
      <w:r>
        <w:rPr>
          <w:rFonts w:hint="eastAsia"/>
          <w:rtl/>
        </w:rPr>
        <w:t>«</w:t>
      </w:r>
      <w:r w:rsidRPr="00F424FC">
        <w:rPr>
          <w:rtl/>
        </w:rPr>
        <w:t>واختلفت الروايات في أمره: فبعضها يدل</w:t>
      </w:r>
      <w:r>
        <w:rPr>
          <w:rFonts w:hint="cs"/>
          <w:rtl/>
        </w:rPr>
        <w:t>ّ</w:t>
      </w:r>
      <w:r w:rsidRPr="00F424FC">
        <w:rPr>
          <w:rtl/>
        </w:rPr>
        <w:t xml:space="preserve"> على ذم</w:t>
      </w:r>
      <w:r>
        <w:rPr>
          <w:rFonts w:hint="cs"/>
          <w:rtl/>
        </w:rPr>
        <w:t>ّ</w:t>
      </w:r>
      <w:r w:rsidRPr="00F424FC">
        <w:rPr>
          <w:rtl/>
        </w:rPr>
        <w:t>ه</w:t>
      </w:r>
      <w:r>
        <w:rPr>
          <w:rFonts w:hint="cs"/>
          <w:rtl/>
        </w:rPr>
        <w:t>،</w:t>
      </w:r>
      <w:r w:rsidRPr="00F424FC">
        <w:rPr>
          <w:rtl/>
        </w:rPr>
        <w:t xml:space="preserve"> بل كفره لدعواه الإمامة بغير حق</w:t>
      </w:r>
      <w:r>
        <w:rPr>
          <w:rFonts w:hint="cs"/>
          <w:rtl/>
        </w:rPr>
        <w:t>ّ</w:t>
      </w:r>
      <w:r w:rsidRPr="00F424FC">
        <w:rPr>
          <w:rtl/>
        </w:rPr>
        <w:t>، وبعضها يدل</w:t>
      </w:r>
      <w:r>
        <w:rPr>
          <w:rFonts w:hint="cs"/>
          <w:rtl/>
        </w:rPr>
        <w:t>ّ</w:t>
      </w:r>
      <w:r w:rsidRPr="00F424FC">
        <w:rPr>
          <w:rtl/>
        </w:rPr>
        <w:t xml:space="preserve"> على علو</w:t>
      </w:r>
      <w:r>
        <w:rPr>
          <w:rFonts w:hint="cs"/>
          <w:rtl/>
        </w:rPr>
        <w:t>ّ</w:t>
      </w:r>
      <w:r w:rsidRPr="00F424FC">
        <w:rPr>
          <w:rtl/>
        </w:rPr>
        <w:t xml:space="preserve"> قدره وجلالة شأنه، فج</w:t>
      </w:r>
      <w:r>
        <w:rPr>
          <w:rFonts w:hint="cs"/>
          <w:rtl/>
        </w:rPr>
        <w:t>ُ</w:t>
      </w:r>
      <w:r w:rsidRPr="00F424FC">
        <w:rPr>
          <w:rtl/>
        </w:rPr>
        <w:t>مع بين الذم</w:t>
      </w:r>
      <w:r>
        <w:rPr>
          <w:rFonts w:hint="cs"/>
          <w:rtl/>
        </w:rPr>
        <w:t>ّ</w:t>
      </w:r>
      <w:r w:rsidRPr="00F424FC">
        <w:rPr>
          <w:rtl/>
        </w:rPr>
        <w:t xml:space="preserve"> والمدح</w:t>
      </w:r>
      <w:r>
        <w:rPr>
          <w:rFonts w:hint="cs"/>
          <w:rtl/>
        </w:rPr>
        <w:t xml:space="preserve"> </w:t>
      </w:r>
      <w:r w:rsidRPr="00F424FC">
        <w:rPr>
          <w:rtl/>
        </w:rPr>
        <w:t>بحمل النهي عن الخروج على التقي</w:t>
      </w:r>
      <w:r>
        <w:rPr>
          <w:rFonts w:hint="cs"/>
          <w:rtl/>
        </w:rPr>
        <w:t>ّ</w:t>
      </w:r>
      <w:r w:rsidRPr="00F424FC">
        <w:rPr>
          <w:rtl/>
        </w:rPr>
        <w:t>ة أو أن</w:t>
      </w:r>
      <w:r>
        <w:rPr>
          <w:rFonts w:hint="cs"/>
          <w:rtl/>
        </w:rPr>
        <w:t>ّ</w:t>
      </w:r>
      <w:r w:rsidRPr="00F424FC">
        <w:rPr>
          <w:rtl/>
        </w:rPr>
        <w:t>ه ليس نهي تحريم بل شفقة وخوف عليه، وأم</w:t>
      </w:r>
      <w:r>
        <w:rPr>
          <w:rFonts w:hint="cs"/>
          <w:rtl/>
        </w:rPr>
        <w:t>ّ</w:t>
      </w:r>
      <w:r w:rsidRPr="00F424FC">
        <w:rPr>
          <w:rtl/>
        </w:rPr>
        <w:t>ا غيره ممن خرج بالسيف من أهل البيت كيحيى بن زيد</w:t>
      </w:r>
      <w:r>
        <w:rPr>
          <w:rFonts w:hint="cs"/>
          <w:rtl/>
        </w:rPr>
        <w:t>،</w:t>
      </w:r>
      <w:r w:rsidRPr="00F424FC">
        <w:rPr>
          <w:rtl/>
        </w:rPr>
        <w:t xml:space="preserve"> ومحم</w:t>
      </w:r>
      <w:r>
        <w:rPr>
          <w:rFonts w:hint="cs"/>
          <w:rtl/>
        </w:rPr>
        <w:t>ّ</w:t>
      </w:r>
      <w:r w:rsidRPr="00F424FC">
        <w:rPr>
          <w:rtl/>
        </w:rPr>
        <w:t>د وإبراهيم</w:t>
      </w:r>
      <w:r>
        <w:rPr>
          <w:rFonts w:hint="cs"/>
          <w:rtl/>
        </w:rPr>
        <w:t>،</w:t>
      </w:r>
      <w:r w:rsidRPr="00F424FC">
        <w:rPr>
          <w:rtl/>
        </w:rPr>
        <w:t xml:space="preserve"> فظاهر حالهم مخالفة الأئم</w:t>
      </w:r>
      <w:r>
        <w:rPr>
          <w:rFonts w:hint="cs"/>
          <w:rtl/>
        </w:rPr>
        <w:t>ّ</w:t>
      </w:r>
      <w:r w:rsidRPr="00F424FC">
        <w:rPr>
          <w:rtl/>
        </w:rPr>
        <w:t>ة، وما صدر منهم</w:t>
      </w:r>
      <w:r>
        <w:rPr>
          <w:rFonts w:hint="cs"/>
          <w:rtl/>
        </w:rPr>
        <w:t xml:space="preserve"> ـ عليهم السلام ـ</w:t>
      </w:r>
      <w:r w:rsidRPr="00F424FC">
        <w:rPr>
          <w:rtl/>
        </w:rPr>
        <w:t xml:space="preserve"> من الحزن والبكاء ليس فيه دلالة على خيري</w:t>
      </w:r>
      <w:r>
        <w:rPr>
          <w:rFonts w:hint="cs"/>
          <w:rtl/>
        </w:rPr>
        <w:t>ّ</w:t>
      </w:r>
      <w:r w:rsidRPr="00F424FC">
        <w:rPr>
          <w:rtl/>
        </w:rPr>
        <w:t>تهم</w:t>
      </w:r>
      <w:r>
        <w:rPr>
          <w:rFonts w:hint="cs"/>
          <w:rtl/>
        </w:rPr>
        <w:t>؛</w:t>
      </w:r>
      <w:r w:rsidRPr="00F424FC">
        <w:rPr>
          <w:rtl/>
        </w:rPr>
        <w:t xml:space="preserve"> لاحتمال أن يكون شفقة</w:t>
      </w:r>
      <w:r>
        <w:rPr>
          <w:rFonts w:hint="cs"/>
          <w:rtl/>
        </w:rPr>
        <w:t>ً</w:t>
      </w:r>
      <w:r w:rsidRPr="00F424FC">
        <w:rPr>
          <w:rtl/>
        </w:rPr>
        <w:t xml:space="preserve"> عليهم لضلالتهم أو لهتك حرمة أهل البيت</w:t>
      </w:r>
      <w:r>
        <w:rPr>
          <w:rFonts w:hint="cs"/>
          <w:rtl/>
        </w:rPr>
        <w:t>»</w:t>
      </w:r>
      <w:r w:rsidRPr="000A4159">
        <w:rPr>
          <w:rFonts w:cs="Taher"/>
          <w:vertAlign w:val="superscript"/>
          <w:rtl/>
        </w:rPr>
        <w:t>(</w:t>
      </w:r>
      <w:r w:rsidRPr="000A4159">
        <w:rPr>
          <w:rStyle w:val="FootnoteReference"/>
          <w:rFonts w:cs="Taher"/>
          <w:rtl/>
        </w:rPr>
        <w:footnoteReference w:id="132"/>
      </w:r>
      <w:r w:rsidRPr="000A4159">
        <w:rPr>
          <w:rFonts w:cs="Taher"/>
          <w:vertAlign w:val="superscript"/>
          <w:rtl/>
        </w:rPr>
        <w:t>)</w:t>
      </w:r>
      <w:r>
        <w:rPr>
          <w:rFonts w:hint="cs"/>
          <w:rtl/>
        </w:rPr>
        <w:t>.</w:t>
      </w:r>
    </w:p>
    <w:p w14:paraId="2546A50D" w14:textId="77777777" w:rsidR="009613B9" w:rsidRDefault="009613B9" w:rsidP="00A47C06">
      <w:pPr>
        <w:pStyle w:val="normal930"/>
        <w:rPr>
          <w:rtl/>
        </w:rPr>
      </w:pPr>
      <w:r w:rsidRPr="009613B9">
        <w:rPr>
          <w:rFonts w:hint="cs"/>
          <w:b/>
          <w:bCs/>
          <w:rtl/>
        </w:rPr>
        <w:t>لكنّني أعتقد بأنّ هذه المحاولة</w:t>
      </w:r>
      <w:r>
        <w:rPr>
          <w:rFonts w:hint="cs"/>
          <w:rtl/>
        </w:rPr>
        <w:t xml:space="preserve"> تلاحظ عدداً محدوداً من النصوص الذامّة التي فيها نوع تعبير بالخوف أن يكون المصلوب بالكناسة وغير ذلك، وهو فضلاً عن عدم وضوحه كما أسلفنا، لا يمكنه أن يستوعب تمام النصوص التي لا تحمل نمطَ بيانٍ من هذا النوع، مثل بعض المناظرات التي وقعت مع زرارة ومؤمن الطاق وغيرهما.</w:t>
      </w:r>
    </w:p>
    <w:p w14:paraId="2236981A" w14:textId="77777777" w:rsidR="000A4159" w:rsidRPr="00822CE9" w:rsidRDefault="009613B9" w:rsidP="00A47C06">
      <w:pPr>
        <w:rPr>
          <w:rtl/>
        </w:rPr>
      </w:pPr>
      <w:r w:rsidRPr="009613B9">
        <w:rPr>
          <w:rFonts w:hint="cs"/>
          <w:rtl/>
        </w:rPr>
        <w:t xml:space="preserve">والذي نخرج به من هذه الجولة هو </w:t>
      </w:r>
      <w:r w:rsidR="000A4159" w:rsidRPr="009613B9">
        <w:rPr>
          <w:rFonts w:hint="cs"/>
          <w:rtl/>
        </w:rPr>
        <w:t>أن</w:t>
      </w:r>
      <w:r w:rsidR="00E84988" w:rsidRPr="009613B9">
        <w:rPr>
          <w:rFonts w:hint="cs"/>
          <w:rtl/>
        </w:rPr>
        <w:t>ّ</w:t>
      </w:r>
      <w:r w:rsidR="000A4159" w:rsidRPr="009613B9">
        <w:rPr>
          <w:rFonts w:hint="cs"/>
          <w:rtl/>
        </w:rPr>
        <w:t xml:space="preserve"> المناقشة الأولى للاستدلال بثورة زيد </w:t>
      </w:r>
      <w:r w:rsidR="00E84988" w:rsidRPr="009613B9">
        <w:rPr>
          <w:rFonts w:hint="cs"/>
          <w:rtl/>
        </w:rPr>
        <w:t>ـ وه</w:t>
      </w:r>
      <w:r>
        <w:rPr>
          <w:rFonts w:hint="cs"/>
          <w:rtl/>
        </w:rPr>
        <w:t>و</w:t>
      </w:r>
      <w:r w:rsidR="00E84988" w:rsidRPr="009613B9">
        <w:rPr>
          <w:rFonts w:hint="cs"/>
          <w:rtl/>
        </w:rPr>
        <w:t xml:space="preserve"> وجود تعارض في </w:t>
      </w:r>
      <w:r w:rsidR="00F22DC3" w:rsidRPr="009613B9">
        <w:rPr>
          <w:rFonts w:hint="cs"/>
          <w:rtl/>
        </w:rPr>
        <w:t>ال</w:t>
      </w:r>
      <w:r w:rsidR="00E84988" w:rsidRPr="009613B9">
        <w:rPr>
          <w:rFonts w:hint="cs"/>
          <w:rtl/>
        </w:rPr>
        <w:t xml:space="preserve">مواقف </w:t>
      </w:r>
      <w:r w:rsidR="00F22DC3" w:rsidRPr="009613B9">
        <w:rPr>
          <w:rFonts w:hint="cs"/>
          <w:rtl/>
        </w:rPr>
        <w:t>المنقولة يعيق الجزم بتأييد الأ</w:t>
      </w:r>
      <w:r w:rsidR="00E84988" w:rsidRPr="009613B9">
        <w:rPr>
          <w:rFonts w:hint="cs"/>
          <w:rtl/>
        </w:rPr>
        <w:t>ئ</w:t>
      </w:r>
      <w:r w:rsidR="00F22DC3" w:rsidRPr="009613B9">
        <w:rPr>
          <w:rFonts w:hint="cs"/>
          <w:rtl/>
        </w:rPr>
        <w:t>مّ</w:t>
      </w:r>
      <w:r w:rsidR="00E84988" w:rsidRPr="009613B9">
        <w:rPr>
          <w:rFonts w:hint="cs"/>
          <w:rtl/>
        </w:rPr>
        <w:t>ة لحركة زيد</w:t>
      </w:r>
      <w:r w:rsidR="00815130">
        <w:rPr>
          <w:rFonts w:hint="cs"/>
          <w:rtl/>
        </w:rPr>
        <w:t xml:space="preserve"> أو رفضهم لها</w:t>
      </w:r>
      <w:r w:rsidR="00E84988" w:rsidRPr="009613B9">
        <w:rPr>
          <w:rFonts w:hint="cs"/>
          <w:rtl/>
        </w:rPr>
        <w:t xml:space="preserve"> ـ </w:t>
      </w:r>
      <w:r w:rsidR="000A4159" w:rsidRPr="009613B9">
        <w:rPr>
          <w:rFonts w:hint="cs"/>
          <w:rtl/>
        </w:rPr>
        <w:t>تام</w:t>
      </w:r>
      <w:r w:rsidR="00E84988" w:rsidRPr="009613B9">
        <w:rPr>
          <w:rFonts w:hint="cs"/>
          <w:rtl/>
        </w:rPr>
        <w:t>ّ</w:t>
      </w:r>
      <w:r w:rsidR="000A4159" w:rsidRPr="009613B9">
        <w:rPr>
          <w:rFonts w:hint="cs"/>
          <w:rtl/>
        </w:rPr>
        <w:t>ة،</w:t>
      </w:r>
      <w:r w:rsidR="000A4159" w:rsidRPr="00822CE9">
        <w:rPr>
          <w:rFonts w:hint="cs"/>
          <w:rtl/>
        </w:rPr>
        <w:t xml:space="preserve"> </w:t>
      </w:r>
      <w:r w:rsidR="00F22DC3">
        <w:rPr>
          <w:rFonts w:hint="cs"/>
          <w:rtl/>
        </w:rPr>
        <w:t xml:space="preserve">فلا نحرز وجود </w:t>
      </w:r>
      <w:r w:rsidR="000A4159" w:rsidRPr="00822CE9">
        <w:rPr>
          <w:rFonts w:hint="cs"/>
          <w:rtl/>
        </w:rPr>
        <w:t>موقف مؤي</w:t>
      </w:r>
      <w:r w:rsidR="00F22DC3">
        <w:rPr>
          <w:rFonts w:hint="cs"/>
          <w:rtl/>
        </w:rPr>
        <w:t>ّ</w:t>
      </w:r>
      <w:r w:rsidR="000A4159" w:rsidRPr="00822CE9">
        <w:rPr>
          <w:rFonts w:hint="cs"/>
          <w:rtl/>
        </w:rPr>
        <w:t>د ل</w:t>
      </w:r>
      <w:r w:rsidR="009A1626" w:rsidRPr="00822CE9">
        <w:rPr>
          <w:rFonts w:hint="cs"/>
          <w:rtl/>
        </w:rPr>
        <w:t>أهل البيت</w:t>
      </w:r>
      <w:r w:rsidR="000A4159" w:rsidRPr="00822CE9">
        <w:rPr>
          <w:rFonts w:hint="cs"/>
          <w:rtl/>
        </w:rPr>
        <w:t xml:space="preserve"> </w:t>
      </w:r>
      <w:r>
        <w:rPr>
          <w:rFonts w:hint="cs"/>
          <w:rtl/>
        </w:rPr>
        <w:t xml:space="preserve">ـ بالمفهوم الإمامي للكلمة ـ </w:t>
      </w:r>
      <w:r w:rsidR="000A4159" w:rsidRPr="00822CE9">
        <w:rPr>
          <w:rFonts w:hint="cs"/>
          <w:rtl/>
        </w:rPr>
        <w:t>من هذه الثورة، رغم أن</w:t>
      </w:r>
      <w:r w:rsidR="00F22DC3">
        <w:rPr>
          <w:rFonts w:hint="cs"/>
          <w:rtl/>
        </w:rPr>
        <w:t>ّ</w:t>
      </w:r>
      <w:r w:rsidR="000A4159" w:rsidRPr="00822CE9">
        <w:rPr>
          <w:rFonts w:hint="cs"/>
          <w:rtl/>
        </w:rPr>
        <w:t xml:space="preserve"> الميل والظن</w:t>
      </w:r>
      <w:r w:rsidR="00F22DC3">
        <w:rPr>
          <w:rFonts w:hint="cs"/>
          <w:rtl/>
        </w:rPr>
        <w:t>ّ</w:t>
      </w:r>
      <w:r w:rsidR="000A4159" w:rsidRPr="00822CE9">
        <w:rPr>
          <w:rFonts w:hint="cs"/>
          <w:rtl/>
        </w:rPr>
        <w:t xml:space="preserve"> لصالح التأييد.</w:t>
      </w:r>
    </w:p>
    <w:p w14:paraId="2375CFA6" w14:textId="77777777" w:rsidR="00CE0D55" w:rsidRPr="00CE0D55" w:rsidRDefault="00503DDA" w:rsidP="0096148C">
      <w:pPr>
        <w:pStyle w:val="Heading3"/>
        <w:rPr>
          <w:rtl/>
        </w:rPr>
      </w:pPr>
      <w:bookmarkStart w:id="62" w:name="_Toc143804121"/>
      <w:bookmarkStart w:id="63" w:name="_Toc238123246"/>
      <w:r>
        <w:rPr>
          <w:rFonts w:hint="cs"/>
          <w:rtl/>
        </w:rPr>
        <w:t xml:space="preserve">11 ـ (3 ـ 4) ـ </w:t>
      </w:r>
      <w:r w:rsidR="00CE0D55" w:rsidRPr="00CE0D55">
        <w:rPr>
          <w:rFonts w:hint="cs"/>
          <w:rtl/>
        </w:rPr>
        <w:t>مشكلة القصور في دلالة الإقرار على الفعل</w:t>
      </w:r>
      <w:r w:rsidR="00CE0D55">
        <w:rPr>
          <w:rFonts w:hint="cs"/>
          <w:rtl/>
        </w:rPr>
        <w:t xml:space="preserve"> من حيث الجواز والوجوب</w:t>
      </w:r>
      <w:bookmarkEnd w:id="62"/>
      <w:bookmarkEnd w:id="63"/>
    </w:p>
    <w:p w14:paraId="79ABE19A" w14:textId="77777777" w:rsidR="000A4159" w:rsidRPr="00822CE9" w:rsidRDefault="00CE0D55" w:rsidP="00CE0D55">
      <w:pPr>
        <w:spacing w:line="214" w:lineRule="auto"/>
        <w:rPr>
          <w:rtl/>
        </w:rPr>
      </w:pPr>
      <w:r w:rsidRPr="00CE0D55">
        <w:rPr>
          <w:rFonts w:hint="cs"/>
          <w:b/>
          <w:bCs/>
          <w:rtl/>
        </w:rPr>
        <w:lastRenderedPageBreak/>
        <w:t>ثاني المناقشات هنا</w:t>
      </w:r>
      <w:r>
        <w:rPr>
          <w:rFonts w:hint="cs"/>
          <w:rtl/>
        </w:rPr>
        <w:t xml:space="preserve"> هو أنّه </w:t>
      </w:r>
      <w:r w:rsidR="000A4159" w:rsidRPr="00822CE9">
        <w:rPr>
          <w:rFonts w:hint="cs"/>
          <w:rtl/>
        </w:rPr>
        <w:t>لو سلّمنا بتأييد أهل البيت لثورة زيد</w:t>
      </w:r>
      <w:r w:rsidR="005D43F4">
        <w:rPr>
          <w:rFonts w:hint="cs"/>
          <w:rtl/>
        </w:rPr>
        <w:t>،</w:t>
      </w:r>
      <w:r w:rsidR="000A4159" w:rsidRPr="00822CE9">
        <w:rPr>
          <w:rFonts w:hint="cs"/>
          <w:rtl/>
        </w:rPr>
        <w:t xml:space="preserve"> فإن</w:t>
      </w:r>
      <w:r w:rsidR="005D43F4">
        <w:rPr>
          <w:rFonts w:hint="cs"/>
          <w:rtl/>
        </w:rPr>
        <w:t>ّ</w:t>
      </w:r>
      <w:r w:rsidR="000A4159" w:rsidRPr="00822CE9">
        <w:rPr>
          <w:rFonts w:hint="cs"/>
          <w:rtl/>
        </w:rPr>
        <w:t xml:space="preserve"> ذلك إقرار</w:t>
      </w:r>
      <w:r w:rsidR="005D43F4">
        <w:rPr>
          <w:rFonts w:hint="cs"/>
          <w:rtl/>
        </w:rPr>
        <w:t>ٌ</w:t>
      </w:r>
      <w:r>
        <w:rPr>
          <w:rFonts w:hint="cs"/>
          <w:rtl/>
        </w:rPr>
        <w:t xml:space="preserve"> بها، إلا أ</w:t>
      </w:r>
      <w:r w:rsidR="000A4159" w:rsidRPr="00822CE9">
        <w:rPr>
          <w:rFonts w:hint="cs"/>
          <w:rtl/>
        </w:rPr>
        <w:t>ن</w:t>
      </w:r>
      <w:r w:rsidR="005D43F4">
        <w:rPr>
          <w:rFonts w:hint="cs"/>
          <w:rtl/>
        </w:rPr>
        <w:t>ّ الإ</w:t>
      </w:r>
      <w:r w:rsidR="000A4159" w:rsidRPr="00822CE9">
        <w:rPr>
          <w:rFonts w:hint="cs"/>
          <w:rtl/>
        </w:rPr>
        <w:t>قرارات يندر وجود إطلاق فيها، فقد تكون هناك ظروف سياسي</w:t>
      </w:r>
      <w:r w:rsidR="005D43F4">
        <w:rPr>
          <w:rFonts w:hint="cs"/>
          <w:rtl/>
        </w:rPr>
        <w:t>ّ</w:t>
      </w:r>
      <w:r w:rsidR="000A4159" w:rsidRPr="00822CE9">
        <w:rPr>
          <w:rFonts w:hint="cs"/>
          <w:rtl/>
        </w:rPr>
        <w:t>ة خاص</w:t>
      </w:r>
      <w:r w:rsidR="005D43F4">
        <w:rPr>
          <w:rFonts w:hint="cs"/>
          <w:rtl/>
        </w:rPr>
        <w:t>ّ</w:t>
      </w:r>
      <w:r w:rsidR="000A4159" w:rsidRPr="00822CE9">
        <w:rPr>
          <w:rFonts w:hint="cs"/>
          <w:rtl/>
        </w:rPr>
        <w:t xml:space="preserve">ة في تلك المرحلة لا نعرفها هي التي جوّزت الخروج، </w:t>
      </w:r>
      <w:r w:rsidR="005D43F4">
        <w:rPr>
          <w:rFonts w:hint="cs"/>
          <w:rtl/>
        </w:rPr>
        <w:t xml:space="preserve">كما </w:t>
      </w:r>
      <w:r w:rsidR="000A4159" w:rsidRPr="00822CE9">
        <w:rPr>
          <w:rFonts w:hint="cs"/>
          <w:rtl/>
        </w:rPr>
        <w:t xml:space="preserve">لعلّ </w:t>
      </w:r>
      <w:r w:rsidR="005D43F4">
        <w:rPr>
          <w:rFonts w:hint="cs"/>
          <w:rtl/>
        </w:rPr>
        <w:t xml:space="preserve">غصب </w:t>
      </w:r>
      <w:r w:rsidR="000A4159" w:rsidRPr="00822CE9">
        <w:rPr>
          <w:rFonts w:hint="cs"/>
          <w:rtl/>
        </w:rPr>
        <w:t>الخلافة وعدم عدالة بني أمي</w:t>
      </w:r>
      <w:r w:rsidR="005D43F4">
        <w:rPr>
          <w:rFonts w:hint="cs"/>
          <w:rtl/>
        </w:rPr>
        <w:t>ّ</w:t>
      </w:r>
      <w:r w:rsidR="000A4159" w:rsidRPr="00822CE9">
        <w:rPr>
          <w:rFonts w:hint="cs"/>
          <w:rtl/>
        </w:rPr>
        <w:t>ة مع الناس كانا من موجبات الترخيص في الثورة، فلا يثبت جواز الخروج في مقابل مطلق من لا يطب</w:t>
      </w:r>
      <w:r w:rsidR="005D43F4">
        <w:rPr>
          <w:rFonts w:hint="cs"/>
          <w:rtl/>
        </w:rPr>
        <w:t>ّ</w:t>
      </w:r>
      <w:r w:rsidR="000A4159" w:rsidRPr="00822CE9">
        <w:rPr>
          <w:rFonts w:hint="cs"/>
          <w:rtl/>
        </w:rPr>
        <w:t xml:space="preserve">ق الشريعة في نفسه أو في المجتمع، بل يخصّ ذلك الظالم </w:t>
      </w:r>
      <w:r w:rsidR="006171DB">
        <w:rPr>
          <w:rFonts w:hint="cs"/>
          <w:rtl/>
        </w:rPr>
        <w:t xml:space="preserve">المدّعي للخلافة </w:t>
      </w:r>
      <w:r w:rsidR="000A4159" w:rsidRPr="00822CE9">
        <w:rPr>
          <w:rFonts w:hint="cs"/>
          <w:rtl/>
        </w:rPr>
        <w:t>الجائر بحق</w:t>
      </w:r>
      <w:r w:rsidR="005D43F4">
        <w:rPr>
          <w:rFonts w:hint="cs"/>
          <w:rtl/>
        </w:rPr>
        <w:t>ّ</w:t>
      </w:r>
      <w:r w:rsidR="000A4159" w:rsidRPr="00822CE9">
        <w:rPr>
          <w:rFonts w:hint="cs"/>
          <w:rtl/>
        </w:rPr>
        <w:t xml:space="preserve"> شعبه ممن أعمل فيهم السفك والقتل، كما حصل مع ثورة الحسين وما لحقها من قمع</w:t>
      </w:r>
      <w:r w:rsidR="005D43F4">
        <w:rPr>
          <w:rFonts w:hint="cs"/>
          <w:rtl/>
        </w:rPr>
        <w:t>ٍ</w:t>
      </w:r>
      <w:r w:rsidR="000A4159" w:rsidRPr="00822CE9">
        <w:rPr>
          <w:rFonts w:hint="cs"/>
          <w:rtl/>
        </w:rPr>
        <w:t xml:space="preserve"> غير عادي، فإثبات التعميم غير</w:t>
      </w:r>
      <w:r w:rsidR="005D43F4">
        <w:rPr>
          <w:rFonts w:hint="cs"/>
          <w:rtl/>
        </w:rPr>
        <w:t>ُ</w:t>
      </w:r>
      <w:r w:rsidR="000A4159" w:rsidRPr="00822CE9">
        <w:rPr>
          <w:rFonts w:hint="cs"/>
          <w:rtl/>
        </w:rPr>
        <w:t xml:space="preserve"> يسير.</w:t>
      </w:r>
    </w:p>
    <w:p w14:paraId="51FACA07" w14:textId="77777777" w:rsidR="000A4159" w:rsidRPr="00822CE9" w:rsidRDefault="00CE0D55" w:rsidP="00CE0D55">
      <w:pPr>
        <w:spacing w:line="214" w:lineRule="auto"/>
        <w:rPr>
          <w:rtl/>
        </w:rPr>
      </w:pPr>
      <w:r w:rsidRPr="00CE0D55">
        <w:rPr>
          <w:rFonts w:hint="cs"/>
          <w:b/>
          <w:bCs/>
          <w:rtl/>
        </w:rPr>
        <w:t xml:space="preserve">بل يمكن إضافة </w:t>
      </w:r>
      <w:r w:rsidR="000A4159" w:rsidRPr="00CE0D55">
        <w:rPr>
          <w:rFonts w:hint="cs"/>
          <w:b/>
          <w:bCs/>
          <w:rtl/>
        </w:rPr>
        <w:t>مناقشة ثالثة</w:t>
      </w:r>
      <w:r w:rsidRPr="00CE0D55">
        <w:rPr>
          <w:rFonts w:hint="cs"/>
          <w:b/>
          <w:bCs/>
          <w:rtl/>
        </w:rPr>
        <w:t>،</w:t>
      </w:r>
      <w:r>
        <w:rPr>
          <w:rFonts w:hint="cs"/>
          <w:rtl/>
        </w:rPr>
        <w:t xml:space="preserve"> وهو أنّه</w:t>
      </w:r>
      <w:r w:rsidR="000A4159" w:rsidRPr="00822CE9">
        <w:rPr>
          <w:rFonts w:hint="cs"/>
          <w:rtl/>
        </w:rPr>
        <w:t xml:space="preserve"> لو تمّ كل</w:t>
      </w:r>
      <w:r w:rsidR="005D43F4">
        <w:rPr>
          <w:rFonts w:hint="cs"/>
          <w:rtl/>
        </w:rPr>
        <w:t>ّ</w:t>
      </w:r>
      <w:r w:rsidR="000A4159" w:rsidRPr="00822CE9">
        <w:rPr>
          <w:rFonts w:hint="cs"/>
          <w:rtl/>
        </w:rPr>
        <w:t xml:space="preserve"> شيء هنا يصعب إثبات الوجوب، بل أقصاه الجواز، فلم تبيّن أي</w:t>
      </w:r>
      <w:r w:rsidR="005D43F4">
        <w:rPr>
          <w:rFonts w:hint="cs"/>
          <w:rtl/>
        </w:rPr>
        <w:t>ّ</w:t>
      </w:r>
      <w:r w:rsidR="000A4159" w:rsidRPr="00822CE9">
        <w:rPr>
          <w:rFonts w:hint="cs"/>
          <w:rtl/>
        </w:rPr>
        <w:t xml:space="preserve"> رواية دلالةً على وجوب الخروج، بل على جوازه، وإمضاء </w:t>
      </w:r>
      <w:r w:rsidR="009A1626" w:rsidRPr="00822CE9">
        <w:rPr>
          <w:rFonts w:hint="cs"/>
          <w:rtl/>
        </w:rPr>
        <w:t>أهل البيت</w:t>
      </w:r>
      <w:r w:rsidR="000A4159" w:rsidRPr="00822CE9">
        <w:rPr>
          <w:rFonts w:hint="cs"/>
          <w:rtl/>
        </w:rPr>
        <w:t xml:space="preserve"> أقصاه إفادة الرخصة </w:t>
      </w:r>
      <w:r w:rsidR="005D43F4">
        <w:rPr>
          <w:rFonts w:hint="cs"/>
          <w:rtl/>
        </w:rPr>
        <w:t xml:space="preserve">دون </w:t>
      </w:r>
      <w:r w:rsidR="000A4159" w:rsidRPr="00822CE9">
        <w:rPr>
          <w:rFonts w:hint="cs"/>
          <w:rtl/>
        </w:rPr>
        <w:t>الوجوب، إلا بقرينة إضافي</w:t>
      </w:r>
      <w:r w:rsidR="005D43F4">
        <w:rPr>
          <w:rFonts w:hint="cs"/>
          <w:rtl/>
        </w:rPr>
        <w:t>ّ</w:t>
      </w:r>
      <w:r w:rsidR="000A4159" w:rsidRPr="00822CE9">
        <w:rPr>
          <w:rFonts w:hint="cs"/>
          <w:rtl/>
        </w:rPr>
        <w:t>ة.</w:t>
      </w:r>
    </w:p>
    <w:p w14:paraId="1D255CC4" w14:textId="77777777" w:rsidR="00CE0D55" w:rsidRPr="00C030CD" w:rsidRDefault="00503DDA" w:rsidP="0096148C">
      <w:pPr>
        <w:pStyle w:val="Heading3"/>
        <w:rPr>
          <w:rtl/>
        </w:rPr>
      </w:pPr>
      <w:bookmarkStart w:id="64" w:name="_Toc143804122"/>
      <w:bookmarkStart w:id="65" w:name="_Toc238123247"/>
      <w:r>
        <w:rPr>
          <w:rFonts w:hint="cs"/>
          <w:rtl/>
        </w:rPr>
        <w:t xml:space="preserve">11 ـ 5 ـ </w:t>
      </w:r>
      <w:r w:rsidR="00CE0D55" w:rsidRPr="00C030CD">
        <w:rPr>
          <w:rFonts w:hint="cs"/>
          <w:rtl/>
        </w:rPr>
        <w:t xml:space="preserve">قصور الإقرار </w:t>
      </w:r>
      <w:r w:rsidR="00C030CD">
        <w:rPr>
          <w:rFonts w:hint="cs"/>
          <w:rtl/>
        </w:rPr>
        <w:t>ب</w:t>
      </w:r>
      <w:r w:rsidR="00CE0D55" w:rsidRPr="00C030CD">
        <w:rPr>
          <w:rFonts w:hint="cs"/>
          <w:rtl/>
        </w:rPr>
        <w:t xml:space="preserve">ثورة زيد عن مواجهة نصوص الحظر في </w:t>
      </w:r>
      <w:r w:rsidR="00110D5A">
        <w:rPr>
          <w:rFonts w:hint="cs"/>
          <w:rtl/>
        </w:rPr>
        <w:t>"</w:t>
      </w:r>
      <w:r w:rsidR="00CE0D55" w:rsidRPr="00C030CD">
        <w:rPr>
          <w:rFonts w:hint="cs"/>
          <w:rtl/>
        </w:rPr>
        <w:t>عصر الغيبة</w:t>
      </w:r>
      <w:r w:rsidR="00110D5A">
        <w:rPr>
          <w:rFonts w:hint="cs"/>
          <w:rtl/>
        </w:rPr>
        <w:t>"</w:t>
      </w:r>
      <w:bookmarkEnd w:id="64"/>
      <w:bookmarkEnd w:id="65"/>
    </w:p>
    <w:p w14:paraId="3D648619" w14:textId="77777777" w:rsidR="000A4159" w:rsidRDefault="00C030CD" w:rsidP="00A47C06">
      <w:pPr>
        <w:pStyle w:val="normal930"/>
        <w:rPr>
          <w:rtl/>
        </w:rPr>
      </w:pPr>
      <w:r w:rsidRPr="00C030CD">
        <w:rPr>
          <w:rFonts w:hint="cs"/>
          <w:b/>
          <w:bCs/>
          <w:rtl/>
        </w:rPr>
        <w:t>رابع المناقشات الممكنة هنا</w:t>
      </w:r>
      <w:r>
        <w:rPr>
          <w:rFonts w:hint="cs"/>
          <w:rtl/>
        </w:rPr>
        <w:t xml:space="preserve"> هو أ</w:t>
      </w:r>
      <w:r w:rsidR="000A4159" w:rsidRPr="00822CE9">
        <w:rPr>
          <w:rFonts w:hint="cs"/>
          <w:rtl/>
        </w:rPr>
        <w:t>ن</w:t>
      </w:r>
      <w:r w:rsidR="005D43F4">
        <w:rPr>
          <w:rFonts w:hint="cs"/>
          <w:rtl/>
        </w:rPr>
        <w:t>ّ</w:t>
      </w:r>
      <w:r w:rsidR="000A4159" w:rsidRPr="00822CE9">
        <w:rPr>
          <w:rFonts w:hint="cs"/>
          <w:rtl/>
        </w:rPr>
        <w:t xml:space="preserve"> ثورة زيد مرخّص</w:t>
      </w:r>
      <w:r w:rsidR="005D43F4">
        <w:rPr>
          <w:rFonts w:hint="cs"/>
          <w:rtl/>
        </w:rPr>
        <w:t>ٌ</w:t>
      </w:r>
      <w:r w:rsidR="000A4159" w:rsidRPr="00822CE9">
        <w:rPr>
          <w:rFonts w:hint="cs"/>
          <w:rtl/>
        </w:rPr>
        <w:t xml:space="preserve"> بها من قبل </w:t>
      </w:r>
      <w:r w:rsidR="005D43F4">
        <w:rPr>
          <w:rFonts w:hint="cs"/>
          <w:rtl/>
        </w:rPr>
        <w:t>الإمام الحجّة</w:t>
      </w:r>
      <w:r>
        <w:rPr>
          <w:rFonts w:hint="cs"/>
          <w:rtl/>
        </w:rPr>
        <w:t xml:space="preserve"> في زمانه</w:t>
      </w:r>
      <w:r w:rsidR="000A4159" w:rsidRPr="00822CE9">
        <w:rPr>
          <w:rFonts w:hint="cs"/>
          <w:rtl/>
        </w:rPr>
        <w:t>، فلا ت</w:t>
      </w:r>
      <w:r w:rsidR="005D43F4">
        <w:rPr>
          <w:rFonts w:hint="cs"/>
          <w:rtl/>
        </w:rPr>
        <w:t>ُ</w:t>
      </w:r>
      <w:r w:rsidR="000A4159" w:rsidRPr="00822CE9">
        <w:rPr>
          <w:rFonts w:hint="cs"/>
          <w:rtl/>
        </w:rPr>
        <w:t>عار</w:t>
      </w:r>
      <w:r w:rsidR="005D43F4">
        <w:rPr>
          <w:rFonts w:hint="cs"/>
          <w:rtl/>
        </w:rPr>
        <w:t>ِ</w:t>
      </w:r>
      <w:r w:rsidR="000A4159" w:rsidRPr="00822CE9">
        <w:rPr>
          <w:rFonts w:hint="cs"/>
          <w:rtl/>
        </w:rPr>
        <w:t>ض ما دلّ من روايات على عدم جواز الخروج في عصر الغيبة دون إذن المعصوم الخاص</w:t>
      </w:r>
      <w:r w:rsidR="005D43F4">
        <w:rPr>
          <w:rFonts w:hint="cs"/>
          <w:rtl/>
        </w:rPr>
        <w:t>ّ</w:t>
      </w:r>
      <w:r w:rsidR="000A4159" w:rsidRPr="00822CE9">
        <w:rPr>
          <w:rFonts w:hint="cs"/>
          <w:rtl/>
        </w:rPr>
        <w:t>، كما عليه بعض الفقهاء</w:t>
      </w:r>
      <w:r w:rsidR="005D43F4">
        <w:rPr>
          <w:rFonts w:hint="cs"/>
          <w:rtl/>
        </w:rPr>
        <w:t>، فالعلاقة بين الأدلّة تفرض الوقوف لصالح نصوص المنع على هذا المستوى</w:t>
      </w:r>
      <w:r w:rsidR="00110D5A">
        <w:rPr>
          <w:rFonts w:hint="cs"/>
          <w:rtl/>
        </w:rPr>
        <w:t>، وسيأتي المزيد</w:t>
      </w:r>
      <w:r w:rsidR="000A4159" w:rsidRPr="00822CE9">
        <w:rPr>
          <w:rFonts w:hint="cs"/>
          <w:rtl/>
        </w:rPr>
        <w:t>.</w:t>
      </w:r>
    </w:p>
    <w:p w14:paraId="54793E14" w14:textId="77777777" w:rsidR="00C030CD" w:rsidRPr="00C030CD" w:rsidRDefault="00C030CD" w:rsidP="0096148C">
      <w:pPr>
        <w:pStyle w:val="Heading2"/>
        <w:rPr>
          <w:rtl/>
        </w:rPr>
      </w:pPr>
      <w:bookmarkStart w:id="66" w:name="_Toc143804123"/>
      <w:bookmarkStart w:id="67" w:name="_Toc238123248"/>
      <w:r w:rsidRPr="00C030CD">
        <w:rPr>
          <w:rFonts w:hint="cs"/>
          <w:rtl/>
        </w:rPr>
        <w:t>12 ـ مرجعي</w:t>
      </w:r>
      <w:r>
        <w:rPr>
          <w:rFonts w:hint="cs"/>
          <w:rtl/>
        </w:rPr>
        <w:t>ّ</w:t>
      </w:r>
      <w:r w:rsidRPr="00C030CD">
        <w:rPr>
          <w:rFonts w:hint="cs"/>
          <w:rtl/>
        </w:rPr>
        <w:t>ة نصوص الجهاد العامّة في الشريعة الإسلاميّ</w:t>
      </w:r>
      <w:r>
        <w:rPr>
          <w:rFonts w:hint="cs"/>
          <w:rtl/>
        </w:rPr>
        <w:t>ة</w:t>
      </w:r>
      <w:r w:rsidRPr="00C030CD">
        <w:rPr>
          <w:rFonts w:hint="cs"/>
          <w:rtl/>
        </w:rPr>
        <w:t>، نقد</w:t>
      </w:r>
      <w:r>
        <w:rPr>
          <w:rFonts w:hint="cs"/>
          <w:rtl/>
        </w:rPr>
        <w:t>ٌ</w:t>
      </w:r>
      <w:r w:rsidRPr="00C030CD">
        <w:rPr>
          <w:rFonts w:hint="cs"/>
          <w:rtl/>
        </w:rPr>
        <w:t xml:space="preserve"> وتعليق</w:t>
      </w:r>
      <w:bookmarkEnd w:id="66"/>
      <w:bookmarkEnd w:id="67"/>
    </w:p>
    <w:p w14:paraId="4A4F6CAB" w14:textId="77777777" w:rsidR="000A4159" w:rsidRPr="00822CE9" w:rsidRDefault="000A4159" w:rsidP="00A47C06">
      <w:pPr>
        <w:pStyle w:val="normal930"/>
        <w:rPr>
          <w:rtl/>
        </w:rPr>
      </w:pPr>
      <w:r w:rsidRPr="00C030CD">
        <w:rPr>
          <w:rFonts w:hint="cs"/>
          <w:b/>
          <w:bCs/>
          <w:rtl/>
        </w:rPr>
        <w:t>الدليل الثاني عشر</w:t>
      </w:r>
      <w:r w:rsidR="00C030CD" w:rsidRPr="00C030CD">
        <w:rPr>
          <w:rFonts w:hint="cs"/>
          <w:b/>
          <w:bCs/>
          <w:rtl/>
        </w:rPr>
        <w:t xml:space="preserve"> هنا</w:t>
      </w:r>
      <w:r w:rsidR="00C030CD">
        <w:rPr>
          <w:rFonts w:hint="cs"/>
          <w:rtl/>
        </w:rPr>
        <w:t xml:space="preserve"> هو</w:t>
      </w:r>
      <w:r w:rsidRPr="00822CE9">
        <w:rPr>
          <w:rFonts w:hint="cs"/>
          <w:rtl/>
        </w:rPr>
        <w:t xml:space="preserve"> الاستناد إلى عمومات الجهاد العام</w:t>
      </w:r>
      <w:r w:rsidR="005D43F4">
        <w:rPr>
          <w:rFonts w:hint="cs"/>
          <w:rtl/>
        </w:rPr>
        <w:t>ّ</w:t>
      </w:r>
      <w:r w:rsidRPr="00822CE9">
        <w:rPr>
          <w:rFonts w:hint="cs"/>
          <w:rtl/>
        </w:rPr>
        <w:t>ة الواردة في الكتاب، على أساس أن</w:t>
      </w:r>
      <w:r w:rsidR="005D43F4">
        <w:rPr>
          <w:rFonts w:hint="cs"/>
          <w:rtl/>
        </w:rPr>
        <w:t>ّ</w:t>
      </w:r>
      <w:r w:rsidRPr="00822CE9">
        <w:rPr>
          <w:rFonts w:hint="cs"/>
          <w:rtl/>
        </w:rPr>
        <w:t xml:space="preserve"> مقاتلة الظالمين المنحرفين عن شرع الله سبحانه من مصاديق الجهاد في سبيل الله تعالى، فتكون واجبة</w:t>
      </w:r>
      <w:r w:rsidR="005D43F4">
        <w:rPr>
          <w:rFonts w:hint="cs"/>
          <w:rtl/>
        </w:rPr>
        <w:t>ً</w:t>
      </w:r>
      <w:r w:rsidRPr="00822CE9">
        <w:rPr>
          <w:rFonts w:hint="cs"/>
          <w:rtl/>
        </w:rPr>
        <w:t>.</w:t>
      </w:r>
    </w:p>
    <w:p w14:paraId="6408A912" w14:textId="77777777" w:rsidR="000A4159" w:rsidRPr="005D43F4" w:rsidRDefault="000A4159" w:rsidP="00A079D6">
      <w:pPr>
        <w:spacing w:line="214" w:lineRule="auto"/>
        <w:rPr>
          <w:b/>
          <w:bCs/>
          <w:rtl/>
        </w:rPr>
      </w:pPr>
      <w:r w:rsidRPr="005D43F4">
        <w:rPr>
          <w:rFonts w:hint="cs"/>
          <w:b/>
          <w:bCs/>
          <w:rtl/>
        </w:rPr>
        <w:t>وهذا الدليل يعاني من ضعف</w:t>
      </w:r>
      <w:r w:rsidR="005D43F4">
        <w:rPr>
          <w:rFonts w:hint="cs"/>
          <w:b/>
          <w:bCs/>
          <w:rtl/>
        </w:rPr>
        <w:t>؛</w:t>
      </w:r>
      <w:r w:rsidRPr="005D43F4">
        <w:rPr>
          <w:rFonts w:hint="cs"/>
          <w:b/>
          <w:bCs/>
          <w:rtl/>
        </w:rPr>
        <w:t xml:space="preserve"> وذلك:</w:t>
      </w:r>
    </w:p>
    <w:p w14:paraId="3B4B0649" w14:textId="77777777" w:rsidR="000A4159" w:rsidRPr="00822CE9" w:rsidRDefault="005D43F4" w:rsidP="005D43F4">
      <w:pPr>
        <w:spacing w:line="214" w:lineRule="auto"/>
        <w:rPr>
          <w:rtl/>
        </w:rPr>
      </w:pPr>
      <w:r>
        <w:rPr>
          <w:rFonts w:hint="cs"/>
          <w:b/>
          <w:bCs/>
          <w:rtl/>
        </w:rPr>
        <w:t>أ</w:t>
      </w:r>
      <w:r w:rsidR="000A4159" w:rsidRPr="005D43F4">
        <w:rPr>
          <w:rFonts w:hint="cs"/>
          <w:b/>
          <w:bCs/>
          <w:rtl/>
        </w:rPr>
        <w:t>و</w:t>
      </w:r>
      <w:r>
        <w:rPr>
          <w:rFonts w:hint="cs"/>
          <w:b/>
          <w:bCs/>
          <w:rtl/>
        </w:rPr>
        <w:t>ّ</w:t>
      </w:r>
      <w:r w:rsidR="000A4159" w:rsidRPr="005D43F4">
        <w:rPr>
          <w:rFonts w:hint="cs"/>
          <w:b/>
          <w:bCs/>
          <w:rtl/>
        </w:rPr>
        <w:t>لاً:</w:t>
      </w:r>
      <w:r w:rsidR="000A4159" w:rsidRPr="00822CE9">
        <w:rPr>
          <w:rFonts w:hint="cs"/>
          <w:rtl/>
        </w:rPr>
        <w:t xml:space="preserve"> إن</w:t>
      </w:r>
      <w:r>
        <w:rPr>
          <w:rFonts w:hint="cs"/>
          <w:rtl/>
        </w:rPr>
        <w:t>ّ</w:t>
      </w:r>
      <w:r w:rsidR="000A4159" w:rsidRPr="00822CE9">
        <w:rPr>
          <w:rFonts w:hint="cs"/>
          <w:rtl/>
        </w:rPr>
        <w:t xml:space="preserve"> أدلّة الجهاد الواردة في الكتاب والسنّة ظاهرة في مواجهة من هو خارج إطار دائرة المسلمين من الكف</w:t>
      </w:r>
      <w:r>
        <w:rPr>
          <w:rFonts w:hint="cs"/>
          <w:rtl/>
        </w:rPr>
        <w:t>ّ</w:t>
      </w:r>
      <w:r w:rsidR="000A4159" w:rsidRPr="00822CE9">
        <w:rPr>
          <w:rFonts w:hint="cs"/>
          <w:rtl/>
        </w:rPr>
        <w:t>ار المعتدين، ولا بيان فيها لحالة مقاتلة المسلمين بعضهم</w:t>
      </w:r>
      <w:r>
        <w:rPr>
          <w:rFonts w:hint="cs"/>
          <w:rtl/>
        </w:rPr>
        <w:t xml:space="preserve"> بعضاً</w:t>
      </w:r>
      <w:r w:rsidR="000A4159" w:rsidRPr="00822CE9">
        <w:rPr>
          <w:rFonts w:hint="cs"/>
          <w:rtl/>
        </w:rPr>
        <w:t xml:space="preserve">، سوى دليل </w:t>
      </w:r>
      <w:r w:rsidR="000A4159" w:rsidRPr="00822CE9">
        <w:rPr>
          <w:rFonts w:hint="cs"/>
          <w:rtl/>
        </w:rPr>
        <w:lastRenderedPageBreak/>
        <w:t>جهاد البغاة، الذي ناقشنا</w:t>
      </w:r>
      <w:r>
        <w:rPr>
          <w:rFonts w:hint="cs"/>
          <w:rtl/>
        </w:rPr>
        <w:t xml:space="preserve"> </w:t>
      </w:r>
      <w:r w:rsidR="00110D5A">
        <w:rPr>
          <w:rFonts w:hint="cs"/>
          <w:rtl/>
        </w:rPr>
        <w:t xml:space="preserve">إطلاقيّةَ </w:t>
      </w:r>
      <w:r>
        <w:rPr>
          <w:rFonts w:hint="cs"/>
          <w:rtl/>
        </w:rPr>
        <w:t>توظيفه هنا سابقاً.</w:t>
      </w:r>
      <w:r w:rsidR="000A4159" w:rsidRPr="00822CE9">
        <w:rPr>
          <w:rFonts w:hint="cs"/>
          <w:rtl/>
        </w:rPr>
        <w:t xml:space="preserve"> والجهاد الابتدائي الذي طرح فكرته مشهور</w:t>
      </w:r>
      <w:r>
        <w:rPr>
          <w:rFonts w:hint="cs"/>
          <w:rtl/>
        </w:rPr>
        <w:t>ُ</w:t>
      </w:r>
      <w:r w:rsidR="000A4159" w:rsidRPr="00822CE9">
        <w:rPr>
          <w:rFonts w:hint="cs"/>
          <w:rtl/>
        </w:rPr>
        <w:t xml:space="preserve"> المسلمين لا معنى له في صورة إسلام الطرف الآخر ما</w:t>
      </w:r>
      <w:r w:rsidR="00110D5A">
        <w:rPr>
          <w:rFonts w:hint="cs"/>
          <w:rtl/>
        </w:rPr>
        <w:t xml:space="preserve"> </w:t>
      </w:r>
      <w:r w:rsidR="000A4159" w:rsidRPr="00822CE9">
        <w:rPr>
          <w:rFonts w:hint="cs"/>
          <w:rtl/>
        </w:rPr>
        <w:t>دام جهاداً للدعوة إلى الإسلام والانتماء إليه. ومعه فلا يظهر في النصوص الجهادي</w:t>
      </w:r>
      <w:r>
        <w:rPr>
          <w:rFonts w:hint="cs"/>
          <w:rtl/>
        </w:rPr>
        <w:t>ّ</w:t>
      </w:r>
      <w:r w:rsidR="000A4159" w:rsidRPr="00822CE9">
        <w:rPr>
          <w:rFonts w:hint="cs"/>
          <w:rtl/>
        </w:rPr>
        <w:t>ة العام</w:t>
      </w:r>
      <w:r>
        <w:rPr>
          <w:rFonts w:hint="cs"/>
          <w:rtl/>
        </w:rPr>
        <w:t>ّ</w:t>
      </w:r>
      <w:r w:rsidR="000A4159" w:rsidRPr="00822CE9">
        <w:rPr>
          <w:rFonts w:hint="cs"/>
          <w:rtl/>
        </w:rPr>
        <w:t xml:space="preserve">ة وجود اقتضاء </w:t>
      </w:r>
      <w:r>
        <w:rPr>
          <w:rFonts w:hint="cs"/>
          <w:rtl/>
        </w:rPr>
        <w:t xml:space="preserve">في </w:t>
      </w:r>
      <w:r w:rsidR="000A4159" w:rsidRPr="00822CE9">
        <w:rPr>
          <w:rFonts w:hint="cs"/>
          <w:rtl/>
        </w:rPr>
        <w:t>الدلالة من رأس.</w:t>
      </w:r>
    </w:p>
    <w:p w14:paraId="483CE3D4" w14:textId="77777777" w:rsidR="000A4159" w:rsidRDefault="000A4159" w:rsidP="005D43F4">
      <w:pPr>
        <w:spacing w:line="214" w:lineRule="auto"/>
        <w:rPr>
          <w:rtl/>
        </w:rPr>
      </w:pPr>
      <w:r w:rsidRPr="005D43F4">
        <w:rPr>
          <w:rFonts w:hint="cs"/>
          <w:b/>
          <w:bCs/>
          <w:rtl/>
        </w:rPr>
        <w:t xml:space="preserve">ثانياً: </w:t>
      </w:r>
      <w:r w:rsidRPr="00822CE9">
        <w:rPr>
          <w:rFonts w:hint="cs"/>
          <w:rtl/>
        </w:rPr>
        <w:t>لو سلّمنا شمول عمومات الجهاد لما نحن فيه، لكن مع ذلك لا معنى للابتدائي منه في حقّ جماعة</w:t>
      </w:r>
      <w:r w:rsidR="005D43F4">
        <w:rPr>
          <w:rFonts w:hint="cs"/>
          <w:rtl/>
        </w:rPr>
        <w:t>ٍ</w:t>
      </w:r>
      <w:r w:rsidRPr="00822CE9">
        <w:rPr>
          <w:rFonts w:hint="cs"/>
          <w:rtl/>
        </w:rPr>
        <w:t xml:space="preserve"> مسلمة، وأم</w:t>
      </w:r>
      <w:r w:rsidR="005D43F4">
        <w:rPr>
          <w:rFonts w:hint="cs"/>
          <w:rtl/>
        </w:rPr>
        <w:t>ّ</w:t>
      </w:r>
      <w:r w:rsidRPr="00822CE9">
        <w:rPr>
          <w:rFonts w:hint="cs"/>
          <w:rtl/>
        </w:rPr>
        <w:t>ا الدفاعي فهو خاص</w:t>
      </w:r>
      <w:r w:rsidR="005D43F4">
        <w:rPr>
          <w:rFonts w:hint="cs"/>
          <w:rtl/>
        </w:rPr>
        <w:t>ّ</w:t>
      </w:r>
      <w:r w:rsidRPr="00822CE9">
        <w:rPr>
          <w:rFonts w:hint="cs"/>
          <w:rtl/>
        </w:rPr>
        <w:t xml:space="preserve"> باعتداء الطرف الآخر ومهاجمته المسلمين، فيكون من موارد</w:t>
      </w:r>
      <w:r w:rsidR="005D43F4">
        <w:rPr>
          <w:rFonts w:hint="cs"/>
          <w:rtl/>
        </w:rPr>
        <w:t xml:space="preserve"> </w:t>
      </w:r>
      <w:r w:rsidRPr="00822CE9">
        <w:rPr>
          <w:rFonts w:hint="cs"/>
          <w:rtl/>
        </w:rPr>
        <w:t>البغي، وقد قلنا هناك</w:t>
      </w:r>
      <w:r w:rsidR="005D43F4">
        <w:rPr>
          <w:rFonts w:hint="cs"/>
          <w:rtl/>
        </w:rPr>
        <w:t>:</w:t>
      </w:r>
      <w:r w:rsidRPr="00822CE9">
        <w:rPr>
          <w:rFonts w:hint="cs"/>
          <w:rtl/>
        </w:rPr>
        <w:t xml:space="preserve"> إن</w:t>
      </w:r>
      <w:r w:rsidR="005D43F4">
        <w:rPr>
          <w:rFonts w:hint="cs"/>
          <w:rtl/>
        </w:rPr>
        <w:t>ّ</w:t>
      </w:r>
      <w:r w:rsidRPr="00822CE9">
        <w:rPr>
          <w:rFonts w:hint="cs"/>
          <w:rtl/>
        </w:rPr>
        <w:t xml:space="preserve"> اعتداء الحك</w:t>
      </w:r>
      <w:r w:rsidR="005D43F4">
        <w:rPr>
          <w:rFonts w:hint="cs"/>
          <w:rtl/>
        </w:rPr>
        <w:t>ّ</w:t>
      </w:r>
      <w:r w:rsidRPr="00822CE9">
        <w:rPr>
          <w:rFonts w:hint="cs"/>
          <w:rtl/>
        </w:rPr>
        <w:t>ام الظلمة على المسلمين وقتلهم وسفك دمائهم</w:t>
      </w:r>
      <w:r w:rsidR="005D43F4">
        <w:rPr>
          <w:rFonts w:hint="cs"/>
          <w:rtl/>
        </w:rPr>
        <w:t>..</w:t>
      </w:r>
      <w:r w:rsidRPr="00822CE9">
        <w:rPr>
          <w:rFonts w:hint="cs"/>
          <w:rtl/>
        </w:rPr>
        <w:t xml:space="preserve"> مما يجيز للمعتد</w:t>
      </w:r>
      <w:r w:rsidR="005D43F4">
        <w:rPr>
          <w:rFonts w:hint="cs"/>
          <w:rtl/>
        </w:rPr>
        <w:t>ى</w:t>
      </w:r>
      <w:r w:rsidRPr="00822CE9">
        <w:rPr>
          <w:rFonts w:hint="cs"/>
          <w:rtl/>
        </w:rPr>
        <w:t xml:space="preserve"> عليه فيه المواجهة، بحيث لو كانت حمايته من اعتدائه متوق</w:t>
      </w:r>
      <w:r w:rsidR="005D43F4">
        <w:rPr>
          <w:rFonts w:hint="cs"/>
          <w:rtl/>
        </w:rPr>
        <w:t>ّ</w:t>
      </w:r>
      <w:r w:rsidRPr="00822CE9">
        <w:rPr>
          <w:rFonts w:hint="cs"/>
          <w:rtl/>
        </w:rPr>
        <w:t>فة</w:t>
      </w:r>
      <w:r w:rsidR="005D43F4">
        <w:rPr>
          <w:rFonts w:hint="cs"/>
          <w:rtl/>
        </w:rPr>
        <w:t>ً</w:t>
      </w:r>
      <w:r w:rsidRPr="00822CE9">
        <w:rPr>
          <w:rFonts w:hint="cs"/>
          <w:rtl/>
        </w:rPr>
        <w:t xml:space="preserve"> على إسقاطه ومهاجمته لصحّت حينئذ، فهذا الدليل أخص</w:t>
      </w:r>
      <w:r w:rsidR="005D43F4">
        <w:rPr>
          <w:rFonts w:hint="cs"/>
          <w:rtl/>
        </w:rPr>
        <w:t>ّ</w:t>
      </w:r>
      <w:r w:rsidRPr="00822CE9">
        <w:rPr>
          <w:rFonts w:hint="cs"/>
          <w:rtl/>
        </w:rPr>
        <w:t xml:space="preserve"> من المد</w:t>
      </w:r>
      <w:r w:rsidR="005D43F4">
        <w:rPr>
          <w:rFonts w:hint="cs"/>
          <w:rtl/>
        </w:rPr>
        <w:t>ّ</w:t>
      </w:r>
      <w:r w:rsidRPr="00822CE9">
        <w:rPr>
          <w:rFonts w:hint="cs"/>
          <w:rtl/>
        </w:rPr>
        <w:t>عى.</w:t>
      </w:r>
    </w:p>
    <w:p w14:paraId="62FD1687" w14:textId="77777777" w:rsidR="00B83A64" w:rsidRPr="00B83A64" w:rsidRDefault="00B83A64" w:rsidP="0096148C">
      <w:pPr>
        <w:pStyle w:val="Heading2"/>
        <w:rPr>
          <w:rtl/>
        </w:rPr>
      </w:pPr>
      <w:bookmarkStart w:id="68" w:name="_Toc143804124"/>
      <w:bookmarkStart w:id="69" w:name="_Toc238123249"/>
      <w:r w:rsidRPr="00B83A64">
        <w:rPr>
          <w:rFonts w:hint="cs"/>
          <w:rtl/>
        </w:rPr>
        <w:t>13 ـ المجموعات الحديثي</w:t>
      </w:r>
      <w:r>
        <w:rPr>
          <w:rFonts w:hint="cs"/>
          <w:rtl/>
        </w:rPr>
        <w:t>ّ</w:t>
      </w:r>
      <w:r w:rsidRPr="00B83A64">
        <w:rPr>
          <w:rFonts w:hint="cs"/>
          <w:rtl/>
        </w:rPr>
        <w:t>ة</w:t>
      </w:r>
      <w:r>
        <w:rPr>
          <w:rFonts w:hint="cs"/>
          <w:rtl/>
        </w:rPr>
        <w:t xml:space="preserve"> المبرّرة لعدم خروج أ</w:t>
      </w:r>
      <w:r w:rsidRPr="00B83A64">
        <w:rPr>
          <w:rFonts w:hint="cs"/>
          <w:rtl/>
        </w:rPr>
        <w:t>هل البيت بقلّة الناصر</w:t>
      </w:r>
      <w:bookmarkEnd w:id="68"/>
      <w:bookmarkEnd w:id="69"/>
    </w:p>
    <w:p w14:paraId="22562312" w14:textId="77777777" w:rsidR="00DE554B" w:rsidRDefault="000A4159" w:rsidP="00B83A64">
      <w:pPr>
        <w:spacing w:line="214" w:lineRule="auto"/>
        <w:rPr>
          <w:rtl/>
        </w:rPr>
      </w:pPr>
      <w:r w:rsidRPr="005D43F4">
        <w:rPr>
          <w:rFonts w:hint="cs"/>
          <w:b/>
          <w:bCs/>
          <w:rtl/>
        </w:rPr>
        <w:t>الدليل الثالث عشر</w:t>
      </w:r>
      <w:r w:rsidR="00B83A64">
        <w:rPr>
          <w:rFonts w:hint="cs"/>
          <w:b/>
          <w:bCs/>
          <w:rtl/>
        </w:rPr>
        <w:t xml:space="preserve"> هنا هو </w:t>
      </w:r>
      <w:r w:rsidRPr="00822CE9">
        <w:rPr>
          <w:rFonts w:hint="cs"/>
          <w:rtl/>
        </w:rPr>
        <w:t>ما دلّ من النصوص على أن</w:t>
      </w:r>
      <w:r w:rsidR="005D43F4">
        <w:rPr>
          <w:rFonts w:hint="cs"/>
          <w:rtl/>
        </w:rPr>
        <w:t>ّ</w:t>
      </w:r>
      <w:r w:rsidRPr="00822CE9">
        <w:rPr>
          <w:rFonts w:hint="cs"/>
          <w:rtl/>
        </w:rPr>
        <w:t xml:space="preserve"> من كانت له قدرة على مواجهة الحاكم الفاسد وجبت عليه مواجهته، وأن</w:t>
      </w:r>
      <w:r w:rsidR="005D43F4">
        <w:rPr>
          <w:rFonts w:hint="cs"/>
          <w:rtl/>
        </w:rPr>
        <w:t>ّ</w:t>
      </w:r>
      <w:r w:rsidRPr="00822CE9">
        <w:rPr>
          <w:rFonts w:hint="cs"/>
          <w:rtl/>
        </w:rPr>
        <w:t xml:space="preserve"> السياسة السلمية التي خاضها </w:t>
      </w:r>
      <w:r w:rsidR="009A1626" w:rsidRPr="00822CE9">
        <w:rPr>
          <w:rFonts w:hint="cs"/>
          <w:rtl/>
        </w:rPr>
        <w:t>أهل البيت</w:t>
      </w:r>
      <w:r w:rsidR="005D43F4">
        <w:rPr>
          <w:rFonts w:hint="cs"/>
          <w:rtl/>
        </w:rPr>
        <w:t xml:space="preserve"> لم تكن إلا</w:t>
      </w:r>
      <w:r w:rsidRPr="00822CE9">
        <w:rPr>
          <w:rFonts w:hint="cs"/>
          <w:rtl/>
        </w:rPr>
        <w:t xml:space="preserve"> لعدم قدرتهم على مواجهة الحك</w:t>
      </w:r>
      <w:r w:rsidR="005D43F4">
        <w:rPr>
          <w:rFonts w:hint="cs"/>
          <w:rtl/>
        </w:rPr>
        <w:t>ّام الظالمين؛</w:t>
      </w:r>
      <w:r w:rsidRPr="00822CE9">
        <w:rPr>
          <w:rFonts w:hint="cs"/>
          <w:rtl/>
        </w:rPr>
        <w:t xml:space="preserve"> لقلّة المعين الناصر</w:t>
      </w:r>
      <w:r w:rsidR="00DE554B">
        <w:rPr>
          <w:rFonts w:hint="cs"/>
          <w:rtl/>
        </w:rPr>
        <w:t>، لا لأنّهم كانوا قد حسموا رفض الخروج إلا عند قيام القائم في آخر الزمان، كما ألمحنا لهذه القضيّة في أحد الهوامش السابقة.</w:t>
      </w:r>
    </w:p>
    <w:p w14:paraId="5D8C1DD6" w14:textId="77777777" w:rsidR="000A4159" w:rsidRPr="00822CE9" w:rsidRDefault="000A4159" w:rsidP="007F2449">
      <w:pPr>
        <w:spacing w:line="214" w:lineRule="auto"/>
        <w:rPr>
          <w:rtl/>
        </w:rPr>
      </w:pPr>
      <w:r w:rsidRPr="00B83A64">
        <w:rPr>
          <w:rFonts w:hint="cs"/>
          <w:b/>
          <w:bCs/>
          <w:rtl/>
        </w:rPr>
        <w:t>ومن هذه الروايات</w:t>
      </w:r>
      <w:r w:rsidR="00DE554B" w:rsidRPr="00B83A64">
        <w:rPr>
          <w:rFonts w:hint="cs"/>
          <w:b/>
          <w:bCs/>
          <w:rtl/>
        </w:rPr>
        <w:t>،</w:t>
      </w:r>
      <w:r w:rsidRPr="00B83A64">
        <w:rPr>
          <w:rFonts w:hint="cs"/>
          <w:b/>
          <w:bCs/>
          <w:rtl/>
        </w:rPr>
        <w:t xml:space="preserve"> </w:t>
      </w:r>
      <w:r w:rsidR="00DE554B" w:rsidRPr="00B83A64">
        <w:rPr>
          <w:rFonts w:hint="cs"/>
          <w:b/>
          <w:bCs/>
          <w:rtl/>
        </w:rPr>
        <w:t xml:space="preserve">خبر </w:t>
      </w:r>
      <w:r w:rsidRPr="00B83A64">
        <w:rPr>
          <w:rFonts w:hint="cs"/>
          <w:b/>
          <w:bCs/>
          <w:rtl/>
        </w:rPr>
        <w:t>سدير الصيرفي</w:t>
      </w:r>
      <w:r w:rsidR="00B83A64" w:rsidRPr="00B83A64">
        <w:rPr>
          <w:rFonts w:hint="cs"/>
          <w:b/>
          <w:bCs/>
          <w:rtl/>
        </w:rPr>
        <w:t>،</w:t>
      </w:r>
      <w:r w:rsidRPr="00822CE9">
        <w:rPr>
          <w:rFonts w:hint="cs"/>
          <w:rtl/>
        </w:rPr>
        <w:t xml:space="preserve"> قال: دخلت على أبي عبد الله</w:t>
      </w:r>
      <w:r w:rsidR="009A1626" w:rsidRPr="00822CE9">
        <w:rPr>
          <w:rFonts w:hint="cs"/>
          <w:rtl/>
        </w:rPr>
        <w:t>×</w:t>
      </w:r>
      <w:r w:rsidRPr="00822CE9">
        <w:rPr>
          <w:rFonts w:hint="cs"/>
          <w:rtl/>
        </w:rPr>
        <w:t xml:space="preserve"> فقلت له: والله ما يسعك القعود. فقال: </w:t>
      </w:r>
      <w:r w:rsidR="00DE554B">
        <w:rPr>
          <w:rFonts w:hint="eastAsia"/>
          <w:rtl/>
        </w:rPr>
        <w:t>«</w:t>
      </w:r>
      <w:r w:rsidRPr="00822CE9">
        <w:rPr>
          <w:rFonts w:hint="cs"/>
          <w:rtl/>
        </w:rPr>
        <w:t>ولم يا سدير؟</w:t>
      </w:r>
      <w:r w:rsidR="00DE554B">
        <w:rPr>
          <w:rFonts w:hint="eastAsia"/>
          <w:rtl/>
        </w:rPr>
        <w:t>»</w:t>
      </w:r>
      <w:r w:rsidRPr="00822CE9">
        <w:rPr>
          <w:rFonts w:hint="cs"/>
          <w:rtl/>
        </w:rPr>
        <w:t xml:space="preserve"> قلت: لكثرة مواليك وشيعتك وأنصارك. والله لو كان لأمير المؤمنين ما لك من الشيعة والأنصار والموالي ما طمع فيه تيم</w:t>
      </w:r>
      <w:r w:rsidR="00B83A64">
        <w:rPr>
          <w:rFonts w:hint="cs"/>
          <w:rtl/>
        </w:rPr>
        <w:t>ٌ</w:t>
      </w:r>
      <w:r w:rsidRPr="00822CE9">
        <w:rPr>
          <w:rFonts w:hint="cs"/>
          <w:rtl/>
        </w:rPr>
        <w:t xml:space="preserve"> ولا عدي</w:t>
      </w:r>
      <w:r w:rsidR="00B83A64">
        <w:rPr>
          <w:rFonts w:hint="cs"/>
          <w:rtl/>
        </w:rPr>
        <w:t>ٌّ</w:t>
      </w:r>
      <w:r w:rsidR="00B83A64" w:rsidRPr="000A4159">
        <w:rPr>
          <w:rFonts w:cs="Taher"/>
          <w:vertAlign w:val="superscript"/>
          <w:rtl/>
        </w:rPr>
        <w:t>(</w:t>
      </w:r>
      <w:r w:rsidR="00B83A64" w:rsidRPr="000A4159">
        <w:rPr>
          <w:rStyle w:val="FootnoteReference"/>
          <w:rFonts w:cs="Taher"/>
          <w:rtl/>
        </w:rPr>
        <w:footnoteReference w:id="133"/>
      </w:r>
      <w:r w:rsidR="00B83A64" w:rsidRPr="000A4159">
        <w:rPr>
          <w:rFonts w:cs="Taher"/>
          <w:vertAlign w:val="superscript"/>
          <w:rtl/>
        </w:rPr>
        <w:t>)</w:t>
      </w:r>
      <w:r w:rsidRPr="00822CE9">
        <w:rPr>
          <w:rFonts w:hint="cs"/>
          <w:rtl/>
        </w:rPr>
        <w:t>، فقال: «يا سدير</w:t>
      </w:r>
      <w:r w:rsidR="00DE554B">
        <w:rPr>
          <w:rFonts w:hint="cs"/>
          <w:rtl/>
        </w:rPr>
        <w:t>،</w:t>
      </w:r>
      <w:r w:rsidRPr="00822CE9">
        <w:rPr>
          <w:rFonts w:hint="cs"/>
          <w:rtl/>
        </w:rPr>
        <w:t xml:space="preserve"> وكم عس</w:t>
      </w:r>
      <w:r w:rsidR="00DE554B">
        <w:rPr>
          <w:rFonts w:hint="cs"/>
          <w:rtl/>
        </w:rPr>
        <w:t>ى</w:t>
      </w:r>
      <w:r w:rsidRPr="00822CE9">
        <w:rPr>
          <w:rFonts w:hint="cs"/>
          <w:rtl/>
        </w:rPr>
        <w:t xml:space="preserve"> أن يكونوا؟» قلت: مائة ألف. قال: «مائة ألف؟» قلت: نعم، ومائتي ألف. قال: «مائتين ألف»؟ قلت: نعم، ونصف الدنيا، قال: فسكت عن</w:t>
      </w:r>
      <w:r w:rsidR="00DE554B">
        <w:rPr>
          <w:rFonts w:hint="cs"/>
          <w:rtl/>
        </w:rPr>
        <w:t>ّ</w:t>
      </w:r>
      <w:r w:rsidRPr="00822CE9">
        <w:rPr>
          <w:rFonts w:hint="cs"/>
          <w:rtl/>
        </w:rPr>
        <w:t>ي، ثم</w:t>
      </w:r>
      <w:r w:rsidR="00DE554B">
        <w:rPr>
          <w:rFonts w:hint="cs"/>
          <w:rtl/>
        </w:rPr>
        <w:t>ّ</w:t>
      </w:r>
      <w:r w:rsidRPr="00822CE9">
        <w:rPr>
          <w:rFonts w:hint="cs"/>
          <w:rtl/>
        </w:rPr>
        <w:t xml:space="preserve"> قال: «ي</w:t>
      </w:r>
      <w:r w:rsidR="00B83A64">
        <w:rPr>
          <w:rFonts w:hint="cs"/>
          <w:rtl/>
        </w:rPr>
        <w:t>َ</w:t>
      </w:r>
      <w:r w:rsidRPr="00822CE9">
        <w:rPr>
          <w:rFonts w:hint="cs"/>
          <w:rtl/>
        </w:rPr>
        <w:t>خ</w:t>
      </w:r>
      <w:r w:rsidR="00B83A64">
        <w:rPr>
          <w:rFonts w:hint="cs"/>
          <w:rtl/>
        </w:rPr>
        <w:t>ِ</w:t>
      </w:r>
      <w:r w:rsidRPr="00822CE9">
        <w:rPr>
          <w:rFonts w:hint="cs"/>
          <w:rtl/>
        </w:rPr>
        <w:t>فّ</w:t>
      </w:r>
      <w:r w:rsidR="00B83A64">
        <w:rPr>
          <w:rFonts w:hint="cs"/>
          <w:rtl/>
        </w:rPr>
        <w:t>ُ</w:t>
      </w:r>
      <w:r w:rsidRPr="00822CE9">
        <w:rPr>
          <w:rFonts w:hint="cs"/>
          <w:rtl/>
        </w:rPr>
        <w:t xml:space="preserve"> عليك أن تبل</w:t>
      </w:r>
      <w:r w:rsidR="00B83A64">
        <w:rPr>
          <w:rFonts w:hint="cs"/>
          <w:rtl/>
        </w:rPr>
        <w:t>ُ</w:t>
      </w:r>
      <w:r w:rsidRPr="00822CE9">
        <w:rPr>
          <w:rFonts w:hint="cs"/>
          <w:rtl/>
        </w:rPr>
        <w:t>غ معنا إلى ي</w:t>
      </w:r>
      <w:r w:rsidR="00B83A64">
        <w:rPr>
          <w:rFonts w:hint="cs"/>
          <w:rtl/>
        </w:rPr>
        <w:t>َ</w:t>
      </w:r>
      <w:r w:rsidRPr="00822CE9">
        <w:rPr>
          <w:rFonts w:hint="cs"/>
          <w:rtl/>
        </w:rPr>
        <w:t>ن</w:t>
      </w:r>
      <w:r w:rsidR="00B83A64">
        <w:rPr>
          <w:rFonts w:hint="cs"/>
          <w:rtl/>
        </w:rPr>
        <w:t>ْ</w:t>
      </w:r>
      <w:r w:rsidRPr="00822CE9">
        <w:rPr>
          <w:rFonts w:hint="cs"/>
          <w:rtl/>
        </w:rPr>
        <w:t>ب</w:t>
      </w:r>
      <w:r w:rsidR="00B83A64">
        <w:rPr>
          <w:rFonts w:hint="cs"/>
          <w:rtl/>
        </w:rPr>
        <w:t>ُ</w:t>
      </w:r>
      <w:r w:rsidRPr="00822CE9">
        <w:rPr>
          <w:rFonts w:hint="cs"/>
          <w:rtl/>
        </w:rPr>
        <w:t>ع؟».. فسرنا حتى صرنا إلى أرض</w:t>
      </w:r>
      <w:r w:rsidR="00B83A64">
        <w:rPr>
          <w:rFonts w:hint="cs"/>
          <w:rtl/>
        </w:rPr>
        <w:t>ٍ</w:t>
      </w:r>
      <w:r w:rsidRPr="00822CE9">
        <w:rPr>
          <w:rFonts w:hint="cs"/>
          <w:rtl/>
        </w:rPr>
        <w:t xml:space="preserve"> حمراء، ونظر إلى غلام يرعى ج</w:t>
      </w:r>
      <w:r w:rsidR="00B83A64">
        <w:rPr>
          <w:rFonts w:hint="cs"/>
          <w:rtl/>
        </w:rPr>
        <w:t>ِ</w:t>
      </w:r>
      <w:r w:rsidRPr="00822CE9">
        <w:rPr>
          <w:rFonts w:hint="cs"/>
          <w:rtl/>
        </w:rPr>
        <w:t>د</w:t>
      </w:r>
      <w:r w:rsidR="00B83A64">
        <w:rPr>
          <w:rFonts w:hint="cs"/>
          <w:rtl/>
        </w:rPr>
        <w:t>َ</w:t>
      </w:r>
      <w:r w:rsidRPr="00822CE9">
        <w:rPr>
          <w:rFonts w:hint="cs"/>
          <w:rtl/>
        </w:rPr>
        <w:t>اء</w:t>
      </w:r>
      <w:r w:rsidR="00A557E2">
        <w:rPr>
          <w:rFonts w:hint="cs"/>
          <w:rtl/>
        </w:rPr>
        <w:t>ً</w:t>
      </w:r>
      <w:r w:rsidRPr="00822CE9">
        <w:rPr>
          <w:rFonts w:hint="cs"/>
          <w:rtl/>
        </w:rPr>
        <w:t xml:space="preserve">. فقال: «والله يا سدير، لو كان لي شيعة بعدد هذه الجداء ما وسعني القعود»، ونزلنا وصلّينا، فلما فرغنا من </w:t>
      </w:r>
      <w:r w:rsidRPr="00822CE9">
        <w:rPr>
          <w:rFonts w:hint="cs"/>
          <w:rtl/>
        </w:rPr>
        <w:lastRenderedPageBreak/>
        <w:t>الصلاة عطفت على الجداء فعددتها فإذا هي سبعة عشر</w:t>
      </w:r>
      <w:r w:rsidRPr="000A4159">
        <w:rPr>
          <w:rFonts w:cs="Taher"/>
          <w:vertAlign w:val="superscript"/>
          <w:rtl/>
        </w:rPr>
        <w:t>(</w:t>
      </w:r>
      <w:r w:rsidRPr="000A4159">
        <w:rPr>
          <w:rStyle w:val="FootnoteReference"/>
          <w:rFonts w:cs="Taher"/>
          <w:rtl/>
        </w:rPr>
        <w:footnoteReference w:id="134"/>
      </w:r>
      <w:r w:rsidRPr="000A4159">
        <w:rPr>
          <w:rFonts w:cs="Taher"/>
          <w:vertAlign w:val="superscript"/>
          <w:rtl/>
        </w:rPr>
        <w:t>)</w:t>
      </w:r>
      <w:r w:rsidRPr="00822CE9">
        <w:rPr>
          <w:rtl/>
        </w:rPr>
        <w:t>.</w:t>
      </w:r>
    </w:p>
    <w:p w14:paraId="636192B3" w14:textId="77777777" w:rsidR="000A4159" w:rsidRPr="00822CE9" w:rsidRDefault="000A4159" w:rsidP="007F2449">
      <w:pPr>
        <w:spacing w:line="214" w:lineRule="auto"/>
        <w:rPr>
          <w:rtl/>
        </w:rPr>
      </w:pPr>
      <w:r w:rsidRPr="00822CE9">
        <w:rPr>
          <w:rFonts w:hint="cs"/>
          <w:rtl/>
        </w:rPr>
        <w:t>فهذا الحديث ظاهر</w:t>
      </w:r>
      <w:r w:rsidR="00DE554B">
        <w:rPr>
          <w:rFonts w:hint="cs"/>
          <w:rtl/>
        </w:rPr>
        <w:t>ٌ</w:t>
      </w:r>
      <w:r w:rsidRPr="00822CE9">
        <w:rPr>
          <w:rFonts w:hint="cs"/>
          <w:rtl/>
        </w:rPr>
        <w:t xml:space="preserve"> في أنّ ما أوجب قعود الصادق إن</w:t>
      </w:r>
      <w:r w:rsidR="00DE554B">
        <w:rPr>
          <w:rFonts w:hint="cs"/>
          <w:rtl/>
        </w:rPr>
        <w:t>ّ</w:t>
      </w:r>
      <w:r w:rsidRPr="00822CE9">
        <w:rPr>
          <w:rFonts w:hint="cs"/>
          <w:rtl/>
        </w:rPr>
        <w:t>ما هو قلّة الناصر، وأراد أن يبيّن لسدير أن</w:t>
      </w:r>
      <w:r w:rsidR="00DE554B">
        <w:rPr>
          <w:rFonts w:hint="cs"/>
          <w:rtl/>
        </w:rPr>
        <w:t>ّ</w:t>
      </w:r>
      <w:r w:rsidRPr="00822CE9">
        <w:rPr>
          <w:rFonts w:hint="cs"/>
          <w:rtl/>
        </w:rPr>
        <w:t>ه ليست العبرة بالاسم والكلام، وإن</w:t>
      </w:r>
      <w:r w:rsidR="00DE554B">
        <w:rPr>
          <w:rFonts w:hint="cs"/>
          <w:rtl/>
        </w:rPr>
        <w:t>ّ</w:t>
      </w:r>
      <w:r w:rsidRPr="00822CE9">
        <w:rPr>
          <w:rFonts w:hint="cs"/>
          <w:rtl/>
        </w:rPr>
        <w:t>ما ب</w:t>
      </w:r>
      <w:r w:rsidR="007F2449">
        <w:rPr>
          <w:rFonts w:hint="cs"/>
          <w:rtl/>
        </w:rPr>
        <w:t>الإخلاص و</w:t>
      </w:r>
      <w:r w:rsidRPr="00822CE9">
        <w:rPr>
          <w:rFonts w:hint="cs"/>
          <w:rtl/>
        </w:rPr>
        <w:t>الات</w:t>
      </w:r>
      <w:r w:rsidR="00DE554B">
        <w:rPr>
          <w:rFonts w:hint="cs"/>
          <w:rtl/>
        </w:rPr>
        <w:t>ّ</w:t>
      </w:r>
      <w:r w:rsidRPr="00822CE9">
        <w:rPr>
          <w:rFonts w:hint="cs"/>
          <w:rtl/>
        </w:rPr>
        <w:t>باع الحقيقي.</w:t>
      </w:r>
    </w:p>
    <w:p w14:paraId="3145D5D0" w14:textId="77777777" w:rsidR="000A4159" w:rsidRPr="00822CE9" w:rsidRDefault="000A4159" w:rsidP="00A47C06">
      <w:pPr>
        <w:rPr>
          <w:rtl/>
        </w:rPr>
      </w:pPr>
      <w:r w:rsidRPr="00A557E2">
        <w:rPr>
          <w:rFonts w:hint="cs"/>
          <w:b/>
          <w:bCs/>
          <w:rtl/>
        </w:rPr>
        <w:t>وثم</w:t>
      </w:r>
      <w:r w:rsidR="00DE554B" w:rsidRPr="00A557E2">
        <w:rPr>
          <w:rFonts w:hint="cs"/>
          <w:b/>
          <w:bCs/>
          <w:rtl/>
        </w:rPr>
        <w:t>ّ</w:t>
      </w:r>
      <w:r w:rsidRPr="00A557E2">
        <w:rPr>
          <w:rFonts w:hint="cs"/>
          <w:b/>
          <w:bCs/>
          <w:rtl/>
        </w:rPr>
        <w:t>ة نص</w:t>
      </w:r>
      <w:r w:rsidR="00DE554B" w:rsidRPr="00A557E2">
        <w:rPr>
          <w:rFonts w:hint="cs"/>
          <w:b/>
          <w:bCs/>
          <w:rtl/>
        </w:rPr>
        <w:t xml:space="preserve">ّ آخر في نهج البلاغة، </w:t>
      </w:r>
      <w:r w:rsidR="00DE554B">
        <w:rPr>
          <w:rFonts w:hint="cs"/>
          <w:rtl/>
        </w:rPr>
        <w:t>يذكر ابن أ</w:t>
      </w:r>
      <w:r w:rsidRPr="00822CE9">
        <w:rPr>
          <w:rFonts w:hint="cs"/>
          <w:rtl/>
        </w:rPr>
        <w:t>بي الحديد كثرة قول الإمام علي</w:t>
      </w:r>
      <w:r w:rsidR="009A1626" w:rsidRPr="00822CE9">
        <w:rPr>
          <w:rFonts w:hint="cs"/>
          <w:rtl/>
        </w:rPr>
        <w:t>×</w:t>
      </w:r>
      <w:r w:rsidRPr="00822CE9">
        <w:rPr>
          <w:rFonts w:hint="cs"/>
          <w:rtl/>
        </w:rPr>
        <w:t xml:space="preserve"> له ول</w:t>
      </w:r>
      <w:r w:rsidR="00DE554B">
        <w:rPr>
          <w:rFonts w:hint="cs"/>
          <w:rtl/>
        </w:rPr>
        <w:t>م</w:t>
      </w:r>
      <w:r w:rsidRPr="00822CE9">
        <w:rPr>
          <w:rFonts w:hint="cs"/>
          <w:rtl/>
        </w:rPr>
        <w:t>ضمونه</w:t>
      </w:r>
      <w:r w:rsidR="00DE554B">
        <w:rPr>
          <w:rFonts w:hint="cs"/>
          <w:rtl/>
        </w:rPr>
        <w:t>،</w:t>
      </w:r>
      <w:r w:rsidRPr="00822CE9">
        <w:rPr>
          <w:rFonts w:hint="cs"/>
          <w:rtl/>
        </w:rPr>
        <w:t xml:space="preserve"> وهو: «فنظرت فإذا ليس لي معين إلا أهل بيتي، فضننت بهم عن الموت»</w:t>
      </w:r>
      <w:r w:rsidRPr="000A4159">
        <w:rPr>
          <w:rFonts w:cs="Taher"/>
          <w:vertAlign w:val="superscript"/>
          <w:rtl/>
        </w:rPr>
        <w:t>(</w:t>
      </w:r>
      <w:r w:rsidRPr="000A4159">
        <w:rPr>
          <w:rStyle w:val="FootnoteReference"/>
          <w:rFonts w:cs="Taher"/>
          <w:rtl/>
        </w:rPr>
        <w:footnoteReference w:id="135"/>
      </w:r>
      <w:r w:rsidRPr="000A4159">
        <w:rPr>
          <w:rFonts w:cs="Taher"/>
          <w:vertAlign w:val="superscript"/>
          <w:rtl/>
        </w:rPr>
        <w:t>)</w:t>
      </w:r>
      <w:r w:rsidRPr="00822CE9">
        <w:rPr>
          <w:rtl/>
        </w:rPr>
        <w:t xml:space="preserve">، </w:t>
      </w:r>
      <w:r w:rsidRPr="00822CE9">
        <w:rPr>
          <w:rFonts w:hint="cs"/>
          <w:rtl/>
        </w:rPr>
        <w:t>أو «لو وجدت أربعين ذوي عزم لناهضت القوم..</w:t>
      </w:r>
      <w:r w:rsidR="00DE554B">
        <w:rPr>
          <w:rFonts w:hint="eastAsia"/>
          <w:rtl/>
        </w:rPr>
        <w:t>»</w:t>
      </w:r>
      <w:r w:rsidRPr="000A4159">
        <w:rPr>
          <w:rFonts w:cs="Taher"/>
          <w:vertAlign w:val="superscript"/>
          <w:rtl/>
        </w:rPr>
        <w:t>(</w:t>
      </w:r>
      <w:r w:rsidRPr="000A4159">
        <w:rPr>
          <w:rStyle w:val="FootnoteReference"/>
          <w:rFonts w:cs="Taher"/>
          <w:rtl/>
        </w:rPr>
        <w:footnoteReference w:id="136"/>
      </w:r>
      <w:r w:rsidRPr="000A4159">
        <w:rPr>
          <w:rFonts w:cs="Taher"/>
          <w:vertAlign w:val="superscript"/>
          <w:rtl/>
        </w:rPr>
        <w:t>)</w:t>
      </w:r>
      <w:r w:rsidR="00DE554B">
        <w:rPr>
          <w:rFonts w:hint="cs"/>
          <w:rtl/>
        </w:rPr>
        <w:t>.</w:t>
      </w:r>
    </w:p>
    <w:p w14:paraId="5F285EE8" w14:textId="77777777" w:rsidR="000A4159" w:rsidRPr="00822CE9" w:rsidRDefault="000A4159" w:rsidP="00A47C06">
      <w:pPr>
        <w:rPr>
          <w:rtl/>
        </w:rPr>
      </w:pPr>
      <w:r w:rsidRPr="00822CE9">
        <w:rPr>
          <w:rFonts w:hint="cs"/>
          <w:rtl/>
        </w:rPr>
        <w:t>وحت</w:t>
      </w:r>
      <w:r w:rsidR="00DE554B">
        <w:rPr>
          <w:rFonts w:hint="cs"/>
          <w:rtl/>
        </w:rPr>
        <w:t>ّ</w:t>
      </w:r>
      <w:r w:rsidRPr="00822CE9">
        <w:rPr>
          <w:rFonts w:hint="cs"/>
          <w:rtl/>
        </w:rPr>
        <w:t>ى لو تتب</w:t>
      </w:r>
      <w:r w:rsidR="00DE554B">
        <w:rPr>
          <w:rFonts w:hint="cs"/>
          <w:rtl/>
        </w:rPr>
        <w:t>ّ</w:t>
      </w:r>
      <w:r w:rsidRPr="00822CE9">
        <w:rPr>
          <w:rFonts w:hint="cs"/>
          <w:rtl/>
        </w:rPr>
        <w:t>عنا سيرة الإمام الحسن</w:t>
      </w:r>
      <w:r w:rsidR="009A1626" w:rsidRPr="00822CE9">
        <w:rPr>
          <w:rFonts w:hint="cs"/>
          <w:rtl/>
        </w:rPr>
        <w:t>×</w:t>
      </w:r>
      <w:r w:rsidRPr="00822CE9">
        <w:rPr>
          <w:rFonts w:hint="cs"/>
          <w:rtl/>
        </w:rPr>
        <w:t xml:space="preserve"> لوجدناه إن</w:t>
      </w:r>
      <w:r w:rsidR="00DE554B">
        <w:rPr>
          <w:rFonts w:hint="cs"/>
          <w:rtl/>
        </w:rPr>
        <w:t>ّ</w:t>
      </w:r>
      <w:r w:rsidRPr="00822CE9">
        <w:rPr>
          <w:rFonts w:hint="cs"/>
          <w:rtl/>
        </w:rPr>
        <w:t>ما ترك القتال عند فقدان القدرة على مواصلة الحرب، ولو أمكنه لاستمرّ. فهذا كلّه شاهد على أن</w:t>
      </w:r>
      <w:r w:rsidR="00DE554B">
        <w:rPr>
          <w:rFonts w:hint="cs"/>
          <w:rtl/>
        </w:rPr>
        <w:t>ّ</w:t>
      </w:r>
      <w:r w:rsidRPr="00822CE9">
        <w:rPr>
          <w:rFonts w:hint="cs"/>
          <w:rtl/>
        </w:rPr>
        <w:t xml:space="preserve"> المسألة مسألة قدرة</w:t>
      </w:r>
      <w:r w:rsidR="00DE554B">
        <w:rPr>
          <w:rFonts w:hint="cs"/>
          <w:rtl/>
        </w:rPr>
        <w:t>،</w:t>
      </w:r>
      <w:r w:rsidRPr="00822CE9">
        <w:rPr>
          <w:rFonts w:hint="cs"/>
          <w:rtl/>
        </w:rPr>
        <w:t xml:space="preserve"> ولولاها لقام </w:t>
      </w:r>
      <w:r w:rsidR="009A1626" w:rsidRPr="00822CE9">
        <w:rPr>
          <w:rFonts w:hint="cs"/>
          <w:rtl/>
        </w:rPr>
        <w:t>أهل البيت</w:t>
      </w:r>
      <w:r w:rsidR="00DE554B">
        <w:rPr>
          <w:rFonts w:hint="cs"/>
          <w:rtl/>
        </w:rPr>
        <w:t xml:space="preserve"> وخرجوا</w:t>
      </w:r>
      <w:r w:rsidRPr="000A4159">
        <w:rPr>
          <w:rFonts w:cs="Taher"/>
          <w:vertAlign w:val="superscript"/>
          <w:rtl/>
        </w:rPr>
        <w:t>(</w:t>
      </w:r>
      <w:r w:rsidRPr="000A4159">
        <w:rPr>
          <w:rStyle w:val="FootnoteReference"/>
          <w:rFonts w:cs="Taher"/>
          <w:rtl/>
        </w:rPr>
        <w:footnoteReference w:id="137"/>
      </w:r>
      <w:r w:rsidRPr="000A4159">
        <w:rPr>
          <w:rFonts w:cs="Taher"/>
          <w:vertAlign w:val="superscript"/>
          <w:rtl/>
        </w:rPr>
        <w:t>)</w:t>
      </w:r>
      <w:r w:rsidRPr="00822CE9">
        <w:rPr>
          <w:rtl/>
        </w:rPr>
        <w:t>.</w:t>
      </w:r>
    </w:p>
    <w:p w14:paraId="2ACDDC06" w14:textId="77777777" w:rsidR="000A4159" w:rsidRPr="00DE554B" w:rsidRDefault="000A4159" w:rsidP="00A079D6">
      <w:pPr>
        <w:spacing w:line="214" w:lineRule="auto"/>
        <w:rPr>
          <w:b/>
          <w:bCs/>
          <w:rtl/>
        </w:rPr>
      </w:pPr>
      <w:r w:rsidRPr="00DE554B">
        <w:rPr>
          <w:rFonts w:hint="cs"/>
          <w:b/>
          <w:bCs/>
          <w:rtl/>
        </w:rPr>
        <w:t>هذا الوجه قابل للنقاش</w:t>
      </w:r>
      <w:r w:rsidR="00A557E2">
        <w:rPr>
          <w:rFonts w:hint="cs"/>
          <w:b/>
          <w:bCs/>
          <w:rtl/>
        </w:rPr>
        <w:t>؛</w:t>
      </w:r>
      <w:r w:rsidRPr="00DE554B">
        <w:rPr>
          <w:rFonts w:hint="cs"/>
          <w:b/>
          <w:bCs/>
          <w:rtl/>
        </w:rPr>
        <w:t xml:space="preserve"> وذلك:</w:t>
      </w:r>
    </w:p>
    <w:p w14:paraId="367EA1AE" w14:textId="77777777" w:rsidR="000A4159" w:rsidRPr="00822CE9" w:rsidRDefault="000A4159" w:rsidP="00A47C06">
      <w:pPr>
        <w:pStyle w:val="normal930"/>
        <w:rPr>
          <w:rtl/>
        </w:rPr>
      </w:pPr>
      <w:r w:rsidRPr="00DE554B">
        <w:rPr>
          <w:rFonts w:hint="cs"/>
          <w:b/>
          <w:bCs/>
          <w:rtl/>
        </w:rPr>
        <w:t>أو</w:t>
      </w:r>
      <w:r w:rsidR="00DE554B">
        <w:rPr>
          <w:rFonts w:hint="cs"/>
          <w:b/>
          <w:bCs/>
          <w:rtl/>
        </w:rPr>
        <w:t>ّ</w:t>
      </w:r>
      <w:r w:rsidRPr="00DE554B">
        <w:rPr>
          <w:rFonts w:hint="cs"/>
          <w:b/>
          <w:bCs/>
          <w:rtl/>
        </w:rPr>
        <w:t>لاً:</w:t>
      </w:r>
      <w:r w:rsidRPr="00822CE9">
        <w:rPr>
          <w:rFonts w:hint="cs"/>
          <w:rtl/>
        </w:rPr>
        <w:t xml:space="preserve"> إن</w:t>
      </w:r>
      <w:r w:rsidR="00DE554B">
        <w:rPr>
          <w:rFonts w:hint="cs"/>
          <w:rtl/>
        </w:rPr>
        <w:t>ّ</w:t>
      </w:r>
      <w:r w:rsidRPr="00822CE9">
        <w:rPr>
          <w:rFonts w:hint="cs"/>
          <w:rtl/>
        </w:rPr>
        <w:t xml:space="preserve"> الرواية </w:t>
      </w:r>
      <w:r w:rsidR="00DE554B">
        <w:rPr>
          <w:rFonts w:hint="cs"/>
          <w:rtl/>
        </w:rPr>
        <w:t>الأولى ضعيفة السند بإبراهيم بن إ</w:t>
      </w:r>
      <w:r w:rsidRPr="00822CE9">
        <w:rPr>
          <w:rFonts w:hint="cs"/>
          <w:rtl/>
        </w:rPr>
        <w:t>سحاق، حيث لم يرد فيه توثيق، بل ورد فيه تضعيف على تقدير أن يكون الأحمري النهاوندي</w:t>
      </w:r>
      <w:r w:rsidRPr="000A4159">
        <w:rPr>
          <w:rFonts w:cs="Taher"/>
          <w:vertAlign w:val="superscript"/>
          <w:rtl/>
        </w:rPr>
        <w:t>(</w:t>
      </w:r>
      <w:r w:rsidRPr="000A4159">
        <w:rPr>
          <w:rStyle w:val="FootnoteReference"/>
          <w:rFonts w:cs="Taher"/>
          <w:rtl/>
        </w:rPr>
        <w:footnoteReference w:id="138"/>
      </w:r>
      <w:r w:rsidRPr="000A4159">
        <w:rPr>
          <w:rFonts w:cs="Taher"/>
          <w:vertAlign w:val="superscript"/>
          <w:rtl/>
        </w:rPr>
        <w:t>)</w:t>
      </w:r>
      <w:r w:rsidRPr="00822CE9">
        <w:rPr>
          <w:rFonts w:hint="cs"/>
          <w:rtl/>
        </w:rPr>
        <w:t>، والرواية الثانية مرسلة في النهج</w:t>
      </w:r>
      <w:r w:rsidR="00DE554B">
        <w:rPr>
          <w:rFonts w:hint="cs"/>
          <w:rtl/>
        </w:rPr>
        <w:t>، وعنه أ</w:t>
      </w:r>
      <w:r w:rsidRPr="00822CE9">
        <w:rPr>
          <w:rFonts w:hint="cs"/>
          <w:rtl/>
        </w:rPr>
        <w:t>خذها سائر المحد</w:t>
      </w:r>
      <w:r w:rsidR="00DE554B">
        <w:rPr>
          <w:rFonts w:hint="cs"/>
          <w:rtl/>
        </w:rPr>
        <w:t>ّ</w:t>
      </w:r>
      <w:r w:rsidRPr="00822CE9">
        <w:rPr>
          <w:rFonts w:hint="cs"/>
          <w:rtl/>
        </w:rPr>
        <w:t>ثين، كما أن</w:t>
      </w:r>
      <w:r w:rsidR="00DE554B">
        <w:rPr>
          <w:rFonts w:hint="cs"/>
          <w:rtl/>
        </w:rPr>
        <w:t>ّ</w:t>
      </w:r>
      <w:r w:rsidRPr="00822CE9">
        <w:rPr>
          <w:rFonts w:hint="cs"/>
          <w:rtl/>
        </w:rPr>
        <w:t xml:space="preserve"> الرواية الثالثة مرسلة ذكرها ابن أبي الحديد نقلاً عن نصر</w:t>
      </w:r>
      <w:r w:rsidR="00DE554B">
        <w:rPr>
          <w:rFonts w:hint="cs"/>
          <w:rtl/>
        </w:rPr>
        <w:t xml:space="preserve"> بن مزاحم، وأ</w:t>
      </w:r>
      <w:r w:rsidRPr="00822CE9">
        <w:rPr>
          <w:rFonts w:hint="cs"/>
          <w:rtl/>
        </w:rPr>
        <w:t>خذها الآخرون عنه.</w:t>
      </w:r>
    </w:p>
    <w:p w14:paraId="330D5F56" w14:textId="77777777" w:rsidR="000A4159" w:rsidRPr="00822CE9" w:rsidRDefault="00DE554B" w:rsidP="00A47C06">
      <w:pPr>
        <w:pStyle w:val="normal930"/>
        <w:rPr>
          <w:rtl/>
        </w:rPr>
      </w:pPr>
      <w:r>
        <w:rPr>
          <w:rFonts w:hint="cs"/>
          <w:rtl/>
        </w:rPr>
        <w:t xml:space="preserve">لكن </w:t>
      </w:r>
      <w:r w:rsidR="000A4159" w:rsidRPr="00822CE9">
        <w:rPr>
          <w:rFonts w:hint="cs"/>
          <w:rtl/>
        </w:rPr>
        <w:t>ربما يد</w:t>
      </w:r>
      <w:r>
        <w:rPr>
          <w:rFonts w:hint="cs"/>
          <w:rtl/>
        </w:rPr>
        <w:t>ّ</w:t>
      </w:r>
      <w:r w:rsidR="000A4159" w:rsidRPr="00822CE9">
        <w:rPr>
          <w:rFonts w:hint="cs"/>
          <w:rtl/>
        </w:rPr>
        <w:t>عى وجود تواتر معنوي أو إجمالي في مضمون هذه الروايات</w:t>
      </w:r>
      <w:r>
        <w:rPr>
          <w:rFonts w:hint="cs"/>
          <w:rtl/>
        </w:rPr>
        <w:t>؛</w:t>
      </w:r>
      <w:r w:rsidR="000A4159" w:rsidRPr="00822CE9">
        <w:rPr>
          <w:rFonts w:hint="cs"/>
          <w:rtl/>
        </w:rPr>
        <w:t xml:space="preserve"> لورودها هنا وهناك عن هذا الإمام أو ذاك.</w:t>
      </w:r>
      <w:r w:rsidR="002F5C9E">
        <w:rPr>
          <w:rFonts w:hint="cs"/>
          <w:rtl/>
        </w:rPr>
        <w:t xml:space="preserve"> وإثبات التواتر أو الوثوق الصدوري ليس سهلاً، بل يحتاج لحشد عددٍ أكبر.</w:t>
      </w:r>
    </w:p>
    <w:p w14:paraId="230F38E4" w14:textId="77777777" w:rsidR="000A4159" w:rsidRPr="00822CE9" w:rsidRDefault="000A4159" w:rsidP="00A47C06">
      <w:pPr>
        <w:rPr>
          <w:rtl/>
        </w:rPr>
      </w:pPr>
      <w:r w:rsidRPr="00DE554B">
        <w:rPr>
          <w:rFonts w:hint="cs"/>
          <w:b/>
          <w:bCs/>
          <w:rtl/>
        </w:rPr>
        <w:t xml:space="preserve">ثانياً: </w:t>
      </w:r>
      <w:r w:rsidRPr="00822CE9">
        <w:rPr>
          <w:rFonts w:hint="cs"/>
          <w:rtl/>
        </w:rPr>
        <w:t>إن</w:t>
      </w:r>
      <w:r w:rsidR="00DE554B">
        <w:rPr>
          <w:rFonts w:hint="cs"/>
          <w:rtl/>
        </w:rPr>
        <w:t>ّ</w:t>
      </w:r>
      <w:r w:rsidRPr="00822CE9">
        <w:rPr>
          <w:rFonts w:hint="cs"/>
          <w:rtl/>
        </w:rPr>
        <w:t xml:space="preserve"> هذه النصوص صدرت </w:t>
      </w:r>
      <w:r w:rsidR="008C0608">
        <w:rPr>
          <w:rFonts w:hint="cs"/>
          <w:rtl/>
        </w:rPr>
        <w:t xml:space="preserve">من صاحب الخلافة المنصوصة </w:t>
      </w:r>
      <w:r w:rsidRPr="00822CE9">
        <w:rPr>
          <w:rFonts w:hint="cs"/>
          <w:rtl/>
        </w:rPr>
        <w:t>في حقّ مغتصبي الخلافة من جهة وظالمي الأم</w:t>
      </w:r>
      <w:r w:rsidR="00DE554B">
        <w:rPr>
          <w:rFonts w:hint="cs"/>
          <w:rtl/>
        </w:rPr>
        <w:t>ّ</w:t>
      </w:r>
      <w:r w:rsidRPr="00822CE9">
        <w:rPr>
          <w:rFonts w:hint="cs"/>
          <w:rtl/>
        </w:rPr>
        <w:t>ة من جهة أخرى</w:t>
      </w:r>
      <w:r w:rsidR="00DE554B">
        <w:rPr>
          <w:rFonts w:hint="cs"/>
          <w:rtl/>
        </w:rPr>
        <w:t>،</w:t>
      </w:r>
      <w:r w:rsidRPr="00822CE9">
        <w:rPr>
          <w:rFonts w:hint="cs"/>
          <w:rtl/>
        </w:rPr>
        <w:t xml:space="preserve"> كبني أمي</w:t>
      </w:r>
      <w:r w:rsidR="00DE554B">
        <w:rPr>
          <w:rFonts w:hint="cs"/>
          <w:rtl/>
        </w:rPr>
        <w:t>ّ</w:t>
      </w:r>
      <w:r w:rsidRPr="00822CE9">
        <w:rPr>
          <w:rFonts w:hint="cs"/>
          <w:rtl/>
        </w:rPr>
        <w:t xml:space="preserve">ة وبني العباس، ولا </w:t>
      </w:r>
      <w:r w:rsidR="00DE554B">
        <w:rPr>
          <w:rFonts w:hint="cs"/>
          <w:rtl/>
        </w:rPr>
        <w:t>ن</w:t>
      </w:r>
      <w:r w:rsidRPr="00822CE9">
        <w:rPr>
          <w:rFonts w:hint="cs"/>
          <w:rtl/>
        </w:rPr>
        <w:t xml:space="preserve">ستطيع إحراز جواز الخروج </w:t>
      </w:r>
      <w:r w:rsidR="00DE554B">
        <w:rPr>
          <w:rFonts w:hint="cs"/>
          <w:rtl/>
        </w:rPr>
        <w:lastRenderedPageBreak/>
        <w:t xml:space="preserve">غير السلمي </w:t>
      </w:r>
      <w:r w:rsidRPr="00822CE9">
        <w:rPr>
          <w:rFonts w:hint="cs"/>
          <w:rtl/>
        </w:rPr>
        <w:t>في أوسع من هذه الدائرة</w:t>
      </w:r>
      <w:r w:rsidR="00DE554B">
        <w:rPr>
          <w:rFonts w:hint="cs"/>
          <w:rtl/>
        </w:rPr>
        <w:t>؛</w:t>
      </w:r>
      <w:r w:rsidRPr="00822CE9">
        <w:rPr>
          <w:rFonts w:hint="cs"/>
          <w:rtl/>
        </w:rPr>
        <w:t xml:space="preserve"> لعدم وجود نصّ تق</w:t>
      </w:r>
      <w:r w:rsidR="00DE554B">
        <w:rPr>
          <w:rFonts w:hint="cs"/>
          <w:rtl/>
        </w:rPr>
        <w:t>ع</w:t>
      </w:r>
      <w:r w:rsidRPr="00822CE9">
        <w:rPr>
          <w:rFonts w:hint="cs"/>
          <w:rtl/>
        </w:rPr>
        <w:t>يدي إطلاقي فيها، بل هي تحكي عن ظروف الأئم</w:t>
      </w:r>
      <w:r w:rsidR="00DE554B">
        <w:rPr>
          <w:rFonts w:hint="cs"/>
          <w:rtl/>
        </w:rPr>
        <w:t>ّ</w:t>
      </w:r>
      <w:r w:rsidRPr="00822CE9">
        <w:rPr>
          <w:rFonts w:hint="cs"/>
          <w:rtl/>
        </w:rPr>
        <w:t>ة أنفسهم، وهذه ال</w:t>
      </w:r>
      <w:r w:rsidR="00DE554B">
        <w:rPr>
          <w:rFonts w:hint="cs"/>
          <w:rtl/>
        </w:rPr>
        <w:t>ظ</w:t>
      </w:r>
      <w:r w:rsidRPr="00822CE9">
        <w:rPr>
          <w:rFonts w:hint="cs"/>
          <w:rtl/>
        </w:rPr>
        <w:t xml:space="preserve">روف يحتمل فيها </w:t>
      </w:r>
      <w:r w:rsidR="00DE554B">
        <w:rPr>
          <w:rFonts w:hint="cs"/>
          <w:rtl/>
        </w:rPr>
        <w:t>دور غصب الخلافة وظلم بني أ</w:t>
      </w:r>
      <w:r w:rsidRPr="00822CE9">
        <w:rPr>
          <w:rFonts w:hint="cs"/>
          <w:rtl/>
        </w:rPr>
        <w:t>مي</w:t>
      </w:r>
      <w:r w:rsidR="00DE554B">
        <w:rPr>
          <w:rFonts w:hint="cs"/>
          <w:rtl/>
        </w:rPr>
        <w:t>ّ</w:t>
      </w:r>
      <w:r w:rsidRPr="00822CE9">
        <w:rPr>
          <w:rFonts w:hint="cs"/>
          <w:rtl/>
        </w:rPr>
        <w:t>ة وبني العباس</w:t>
      </w:r>
      <w:r w:rsidR="00DE554B">
        <w:rPr>
          <w:rFonts w:hint="cs"/>
          <w:rtl/>
        </w:rPr>
        <w:t>،</w:t>
      </w:r>
      <w:r w:rsidRPr="00822CE9">
        <w:rPr>
          <w:rFonts w:hint="cs"/>
          <w:rtl/>
        </w:rPr>
        <w:t xml:space="preserve"> طبقاً لما قلناه في الحديث عن الاستناد لدليل جهاد البغاة</w:t>
      </w:r>
      <w:r w:rsidR="00DE554B">
        <w:rPr>
          <w:rFonts w:hint="cs"/>
          <w:rtl/>
        </w:rPr>
        <w:t xml:space="preserve"> هنا</w:t>
      </w:r>
      <w:r w:rsidRPr="00822CE9">
        <w:rPr>
          <w:rFonts w:hint="cs"/>
          <w:rtl/>
        </w:rPr>
        <w:t>، في</w:t>
      </w:r>
      <w:r w:rsidR="00DE554B">
        <w:rPr>
          <w:rFonts w:hint="cs"/>
          <w:rtl/>
        </w:rPr>
        <w:t>ُ</w:t>
      </w:r>
      <w:r w:rsidRPr="00822CE9">
        <w:rPr>
          <w:rFonts w:hint="cs"/>
          <w:rtl/>
        </w:rPr>
        <w:t>ثبت هذا الدليل بعض</w:t>
      </w:r>
      <w:r w:rsidR="00DE554B">
        <w:rPr>
          <w:rFonts w:hint="cs"/>
          <w:rtl/>
        </w:rPr>
        <w:t>َ</w:t>
      </w:r>
      <w:r w:rsidRPr="00822CE9">
        <w:rPr>
          <w:rFonts w:hint="cs"/>
          <w:rtl/>
        </w:rPr>
        <w:t xml:space="preserve"> الحالات، فيكون أخص</w:t>
      </w:r>
      <w:r w:rsidR="00DE554B">
        <w:rPr>
          <w:rFonts w:hint="cs"/>
          <w:rtl/>
        </w:rPr>
        <w:t>ّ</w:t>
      </w:r>
      <w:r w:rsidRPr="00822CE9">
        <w:rPr>
          <w:rFonts w:hint="cs"/>
          <w:rtl/>
        </w:rPr>
        <w:t xml:space="preserve"> من المدّعى.</w:t>
      </w:r>
    </w:p>
    <w:p w14:paraId="1A0643B8" w14:textId="77777777" w:rsidR="000A4159" w:rsidRPr="00822CE9" w:rsidRDefault="000A4159" w:rsidP="00A47C06">
      <w:pPr>
        <w:pStyle w:val="normal930"/>
        <w:rPr>
          <w:rtl/>
        </w:rPr>
      </w:pPr>
      <w:r w:rsidRPr="00DE554B">
        <w:rPr>
          <w:rFonts w:hint="cs"/>
          <w:b/>
          <w:bCs/>
          <w:rtl/>
        </w:rPr>
        <w:t xml:space="preserve">ثالثاً: </w:t>
      </w:r>
      <w:r w:rsidRPr="00822CE9">
        <w:rPr>
          <w:rFonts w:hint="cs"/>
          <w:rtl/>
        </w:rPr>
        <w:t>إن</w:t>
      </w:r>
      <w:r w:rsidR="00DE554B">
        <w:rPr>
          <w:rFonts w:hint="cs"/>
          <w:rtl/>
        </w:rPr>
        <w:t>ّ</w:t>
      </w:r>
      <w:r w:rsidRPr="00822CE9">
        <w:rPr>
          <w:rFonts w:hint="cs"/>
          <w:rtl/>
        </w:rPr>
        <w:t xml:space="preserve"> الاستناد إلى سيرة علي</w:t>
      </w:r>
      <w:r w:rsidR="00DE554B">
        <w:rPr>
          <w:rFonts w:hint="cs"/>
          <w:rtl/>
        </w:rPr>
        <w:t>ّ</w:t>
      </w:r>
      <w:r w:rsidRPr="00822CE9">
        <w:rPr>
          <w:rFonts w:hint="cs"/>
          <w:rtl/>
        </w:rPr>
        <w:t xml:space="preserve"> والحسن هنا في غير محلّه، فقد كانا </w:t>
      </w:r>
      <w:r w:rsidR="008C0608">
        <w:rPr>
          <w:rFonts w:hint="cs"/>
          <w:rtl/>
        </w:rPr>
        <w:t xml:space="preserve">ـ في الجملة ـ </w:t>
      </w:r>
      <w:r w:rsidRPr="00822CE9">
        <w:rPr>
          <w:rFonts w:hint="cs"/>
          <w:rtl/>
        </w:rPr>
        <w:t xml:space="preserve">يقاتلان البغاة بالاصطلاح الفقهي، فتسرية الحكم إلى ما نحن فيه </w:t>
      </w:r>
      <w:r w:rsidR="007F2449">
        <w:rPr>
          <w:rFonts w:hint="cs"/>
          <w:rtl/>
        </w:rPr>
        <w:t xml:space="preserve">ـ تسرية إطلاقيّة ـ </w:t>
      </w:r>
      <w:r w:rsidRPr="00822CE9">
        <w:rPr>
          <w:rFonts w:hint="cs"/>
          <w:rtl/>
        </w:rPr>
        <w:t>في غير محلّه.</w:t>
      </w:r>
    </w:p>
    <w:p w14:paraId="7D60A8DB" w14:textId="77777777" w:rsidR="000A4159" w:rsidRDefault="000A4159" w:rsidP="00A47C06">
      <w:pPr>
        <w:pStyle w:val="normal930"/>
        <w:rPr>
          <w:rtl/>
        </w:rPr>
      </w:pPr>
      <w:r w:rsidRPr="00DE554B">
        <w:rPr>
          <w:rFonts w:hint="cs"/>
          <w:b/>
          <w:bCs/>
          <w:rtl/>
        </w:rPr>
        <w:t xml:space="preserve">رابعاً: </w:t>
      </w:r>
      <w:r w:rsidRPr="00822CE9">
        <w:rPr>
          <w:rFonts w:hint="cs"/>
          <w:rtl/>
        </w:rPr>
        <w:t>لو تم</w:t>
      </w:r>
      <w:r w:rsidR="00DE554B">
        <w:rPr>
          <w:rFonts w:hint="cs"/>
          <w:rtl/>
        </w:rPr>
        <w:t>ّ</w:t>
      </w:r>
      <w:r w:rsidRPr="00822CE9">
        <w:rPr>
          <w:rFonts w:hint="cs"/>
          <w:rtl/>
        </w:rPr>
        <w:t xml:space="preserve"> هذا الدليل لما واجه أيّ</w:t>
      </w:r>
      <w:r w:rsidR="002F5C9E">
        <w:rPr>
          <w:rFonts w:hint="cs"/>
          <w:rtl/>
        </w:rPr>
        <w:t>َ</w:t>
      </w:r>
      <w:r w:rsidRPr="00822CE9">
        <w:rPr>
          <w:rFonts w:hint="cs"/>
          <w:rtl/>
        </w:rPr>
        <w:t xml:space="preserve"> دليل آخر يحرّم الخروج في عصر الغيبة؛ لعدم وجود شمول في هذا الدليل لما بعد عصر حضور </w:t>
      </w:r>
      <w:r w:rsidR="00DE554B">
        <w:rPr>
          <w:rFonts w:hint="cs"/>
          <w:rtl/>
        </w:rPr>
        <w:t>الإمام المنصوص</w:t>
      </w:r>
      <w:r w:rsidRPr="00822CE9">
        <w:rPr>
          <w:rFonts w:hint="cs"/>
          <w:rtl/>
        </w:rPr>
        <w:t>.</w:t>
      </w:r>
    </w:p>
    <w:p w14:paraId="003AD08D" w14:textId="77777777" w:rsidR="00503DDA" w:rsidRPr="00503DDA" w:rsidRDefault="00503DDA" w:rsidP="00503DDA">
      <w:pPr>
        <w:spacing w:line="214" w:lineRule="auto"/>
        <w:rPr>
          <w:b/>
          <w:bCs/>
          <w:rtl/>
        </w:rPr>
      </w:pPr>
      <w:r w:rsidRPr="00503DDA">
        <w:rPr>
          <w:rFonts w:hint="cs"/>
          <w:b/>
          <w:bCs/>
          <w:rtl/>
        </w:rPr>
        <w:t>والمتحصّل أنّ هذا الدليل</w:t>
      </w:r>
      <w:r>
        <w:rPr>
          <w:rFonts w:hint="cs"/>
          <w:b/>
          <w:bCs/>
          <w:rtl/>
        </w:rPr>
        <w:t xml:space="preserve"> ـ لو تمّ ـ فهو </w:t>
      </w:r>
      <w:r w:rsidRPr="00503DDA">
        <w:rPr>
          <w:rFonts w:hint="cs"/>
          <w:b/>
          <w:bCs/>
          <w:rtl/>
        </w:rPr>
        <w:t>أخصّ من المدّعى بكثير.</w:t>
      </w:r>
    </w:p>
    <w:p w14:paraId="6B5F4F6B" w14:textId="77777777" w:rsidR="00A557E2" w:rsidRPr="00A557E2" w:rsidRDefault="00A557E2" w:rsidP="0096148C">
      <w:pPr>
        <w:pStyle w:val="Heading2"/>
        <w:rPr>
          <w:rtl/>
        </w:rPr>
      </w:pPr>
      <w:bookmarkStart w:id="70" w:name="_Toc143804125"/>
      <w:bookmarkStart w:id="71" w:name="_Toc238123250"/>
      <w:r w:rsidRPr="00A557E2">
        <w:rPr>
          <w:rFonts w:hint="cs"/>
          <w:rtl/>
        </w:rPr>
        <w:t>14 ـ موقف أهل البيت من ثورة صاحب ف</w:t>
      </w:r>
      <w:r>
        <w:rPr>
          <w:rFonts w:hint="cs"/>
          <w:rtl/>
        </w:rPr>
        <w:t>َ</w:t>
      </w:r>
      <w:r w:rsidRPr="00A557E2">
        <w:rPr>
          <w:rFonts w:hint="cs"/>
          <w:rtl/>
        </w:rPr>
        <w:t>خّ</w:t>
      </w:r>
      <w:r>
        <w:rPr>
          <w:rFonts w:hint="cs"/>
          <w:rtl/>
        </w:rPr>
        <w:t xml:space="preserve"> بوصفه </w:t>
      </w:r>
      <w:r w:rsidRPr="00A557E2">
        <w:rPr>
          <w:rFonts w:hint="cs"/>
          <w:rtl/>
        </w:rPr>
        <w:t>دلي</w:t>
      </w:r>
      <w:r w:rsidR="007A3D95">
        <w:rPr>
          <w:rFonts w:hint="cs"/>
          <w:rtl/>
        </w:rPr>
        <w:t>لَ ال</w:t>
      </w:r>
      <w:r w:rsidRPr="00A557E2">
        <w:rPr>
          <w:rFonts w:hint="cs"/>
          <w:rtl/>
        </w:rPr>
        <w:t>شرعي</w:t>
      </w:r>
      <w:r>
        <w:rPr>
          <w:rFonts w:hint="cs"/>
          <w:rtl/>
        </w:rPr>
        <w:t>ّ</w:t>
      </w:r>
      <w:r w:rsidRPr="00A557E2">
        <w:rPr>
          <w:rFonts w:hint="cs"/>
          <w:rtl/>
        </w:rPr>
        <w:t>ة</w:t>
      </w:r>
      <w:r w:rsidR="007A3D95">
        <w:rPr>
          <w:rFonts w:hint="cs"/>
          <w:rtl/>
        </w:rPr>
        <w:t>، وقفات وتأمّلات</w:t>
      </w:r>
      <w:bookmarkEnd w:id="70"/>
      <w:bookmarkEnd w:id="71"/>
    </w:p>
    <w:p w14:paraId="42769D6E" w14:textId="77777777" w:rsidR="00A747B7" w:rsidRDefault="000A4159" w:rsidP="00A557E2">
      <w:pPr>
        <w:spacing w:line="214" w:lineRule="auto"/>
        <w:rPr>
          <w:rtl/>
        </w:rPr>
      </w:pPr>
      <w:r w:rsidRPr="00DE554B">
        <w:rPr>
          <w:rFonts w:hint="cs"/>
          <w:b/>
          <w:bCs/>
          <w:rtl/>
        </w:rPr>
        <w:t>الدليل الرابع عشر</w:t>
      </w:r>
      <w:r w:rsidR="00A557E2">
        <w:rPr>
          <w:rFonts w:hint="cs"/>
          <w:b/>
          <w:bCs/>
          <w:rtl/>
        </w:rPr>
        <w:t xml:space="preserve"> هنا هو </w:t>
      </w:r>
      <w:r w:rsidRPr="00822CE9">
        <w:rPr>
          <w:rFonts w:hint="cs"/>
          <w:rtl/>
        </w:rPr>
        <w:t xml:space="preserve">الاستناد إلى تأييد </w:t>
      </w:r>
      <w:r w:rsidR="009A1626" w:rsidRPr="00822CE9">
        <w:rPr>
          <w:rFonts w:hint="cs"/>
          <w:rtl/>
        </w:rPr>
        <w:t>أهل البيت</w:t>
      </w:r>
      <w:r w:rsidR="00DE554B">
        <w:rPr>
          <w:rFonts w:hint="cs"/>
          <w:rtl/>
        </w:rPr>
        <w:t xml:space="preserve"> ـ عليهم السلام ـ </w:t>
      </w:r>
      <w:r w:rsidRPr="00822CE9">
        <w:rPr>
          <w:rFonts w:hint="cs"/>
          <w:rtl/>
        </w:rPr>
        <w:t>لثورة الحسين بن علي بن الحسن بن الحسن بن الحسن بن علي</w:t>
      </w:r>
      <w:r w:rsidR="00A747B7">
        <w:rPr>
          <w:rFonts w:hint="cs"/>
          <w:rtl/>
        </w:rPr>
        <w:t>ّ</w:t>
      </w:r>
      <w:r w:rsidRPr="00822CE9">
        <w:rPr>
          <w:rFonts w:hint="cs"/>
          <w:rtl/>
        </w:rPr>
        <w:t xml:space="preserve"> بن أبي طالب، المعروف بصاحب فخ</w:t>
      </w:r>
      <w:r w:rsidR="00A747B7">
        <w:rPr>
          <w:rFonts w:hint="cs"/>
          <w:rtl/>
        </w:rPr>
        <w:t>ّ</w:t>
      </w:r>
      <w:r w:rsidRPr="000A4159">
        <w:rPr>
          <w:rFonts w:cs="Taher"/>
          <w:vertAlign w:val="superscript"/>
          <w:rtl/>
        </w:rPr>
        <w:t>(</w:t>
      </w:r>
      <w:r w:rsidRPr="000A4159">
        <w:rPr>
          <w:rStyle w:val="FootnoteReference"/>
          <w:rFonts w:cs="Taher"/>
          <w:rtl/>
        </w:rPr>
        <w:footnoteReference w:id="139"/>
      </w:r>
      <w:r w:rsidRPr="000A4159">
        <w:rPr>
          <w:rFonts w:cs="Taher"/>
          <w:vertAlign w:val="superscript"/>
          <w:rtl/>
        </w:rPr>
        <w:t>)</w:t>
      </w:r>
      <w:r w:rsidR="00A747B7">
        <w:rPr>
          <w:rFonts w:hint="cs"/>
          <w:rtl/>
        </w:rPr>
        <w:t xml:space="preserve"> ـ </w:t>
      </w:r>
      <w:r w:rsidRPr="00822CE9">
        <w:rPr>
          <w:rFonts w:hint="cs"/>
          <w:rtl/>
        </w:rPr>
        <w:t>نسبة</w:t>
      </w:r>
      <w:r w:rsidR="00A747B7">
        <w:rPr>
          <w:rFonts w:hint="cs"/>
          <w:rtl/>
        </w:rPr>
        <w:t>ً</w:t>
      </w:r>
      <w:r w:rsidRPr="00822CE9">
        <w:rPr>
          <w:rFonts w:hint="cs"/>
          <w:rtl/>
        </w:rPr>
        <w:t xml:space="preserve"> إلى موضع</w:t>
      </w:r>
      <w:r w:rsidR="00A747B7">
        <w:rPr>
          <w:rFonts w:hint="cs"/>
          <w:rtl/>
        </w:rPr>
        <w:t>ٍ</w:t>
      </w:r>
      <w:r w:rsidRPr="00822CE9">
        <w:rPr>
          <w:rFonts w:hint="cs"/>
          <w:rtl/>
        </w:rPr>
        <w:t xml:space="preserve"> يقال له: ف</w:t>
      </w:r>
      <w:r w:rsidR="00A747B7">
        <w:rPr>
          <w:rFonts w:hint="cs"/>
          <w:rtl/>
        </w:rPr>
        <w:t>خ</w:t>
      </w:r>
      <w:r w:rsidRPr="00822CE9">
        <w:rPr>
          <w:rFonts w:hint="cs"/>
          <w:rtl/>
        </w:rPr>
        <w:t>، وهو موضع</w:t>
      </w:r>
      <w:r w:rsidR="00A747B7">
        <w:rPr>
          <w:rFonts w:hint="cs"/>
          <w:rtl/>
        </w:rPr>
        <w:t>ٌ</w:t>
      </w:r>
      <w:r w:rsidRPr="00822CE9">
        <w:rPr>
          <w:rFonts w:hint="cs"/>
          <w:rtl/>
        </w:rPr>
        <w:t xml:space="preserve"> أو ب</w:t>
      </w:r>
      <w:r w:rsidR="00A747B7">
        <w:rPr>
          <w:rFonts w:hint="cs"/>
          <w:rtl/>
        </w:rPr>
        <w:t>ئر</w:t>
      </w:r>
      <w:r w:rsidRPr="00822CE9">
        <w:rPr>
          <w:rFonts w:hint="cs"/>
          <w:rtl/>
        </w:rPr>
        <w:t xml:space="preserve"> على فرسخ</w:t>
      </w:r>
      <w:r w:rsidR="00E8338C">
        <w:rPr>
          <w:rFonts w:hint="cs"/>
          <w:rtl/>
        </w:rPr>
        <w:t>ٍ</w:t>
      </w:r>
      <w:r w:rsidRPr="00822CE9">
        <w:rPr>
          <w:rFonts w:hint="cs"/>
          <w:rtl/>
        </w:rPr>
        <w:t xml:space="preserve"> من مكّة</w:t>
      </w:r>
      <w:r w:rsidR="00A747B7">
        <w:rPr>
          <w:rFonts w:hint="cs"/>
          <w:rtl/>
        </w:rPr>
        <w:t xml:space="preserve"> ـ</w:t>
      </w:r>
      <w:r w:rsidRPr="00822CE9">
        <w:rPr>
          <w:rFonts w:hint="cs"/>
          <w:rtl/>
        </w:rPr>
        <w:t xml:space="preserve"> والذي خرج في عصر الإمام الكاظم</w:t>
      </w:r>
      <w:r w:rsidR="009A1626" w:rsidRPr="00822CE9">
        <w:rPr>
          <w:rFonts w:hint="cs"/>
          <w:rtl/>
        </w:rPr>
        <w:t>×</w:t>
      </w:r>
      <w:r w:rsidRPr="00822CE9">
        <w:rPr>
          <w:rFonts w:hint="cs"/>
          <w:rtl/>
        </w:rPr>
        <w:t xml:space="preserve"> ضد</w:t>
      </w:r>
      <w:r w:rsidR="00A747B7">
        <w:rPr>
          <w:rFonts w:hint="cs"/>
          <w:rtl/>
        </w:rPr>
        <w:t>ّ</w:t>
      </w:r>
      <w:r w:rsidRPr="00822CE9">
        <w:rPr>
          <w:rFonts w:hint="cs"/>
          <w:rtl/>
        </w:rPr>
        <w:t xml:space="preserve"> الخلفاء العباسي</w:t>
      </w:r>
      <w:r w:rsidR="00A747B7">
        <w:rPr>
          <w:rFonts w:hint="cs"/>
          <w:rtl/>
        </w:rPr>
        <w:t>ّ</w:t>
      </w:r>
      <w:r w:rsidRPr="00822CE9">
        <w:rPr>
          <w:rFonts w:hint="cs"/>
          <w:rtl/>
        </w:rPr>
        <w:t>ين</w:t>
      </w:r>
      <w:r w:rsidR="002F5C9E" w:rsidRPr="000A4159">
        <w:rPr>
          <w:rFonts w:cs="Taher"/>
          <w:vertAlign w:val="superscript"/>
          <w:rtl/>
        </w:rPr>
        <w:t>(</w:t>
      </w:r>
      <w:r w:rsidR="002F5C9E" w:rsidRPr="000A4159">
        <w:rPr>
          <w:rStyle w:val="FootnoteReference"/>
          <w:rFonts w:cs="Taher"/>
          <w:rtl/>
        </w:rPr>
        <w:footnoteReference w:id="140"/>
      </w:r>
      <w:r w:rsidR="002F5C9E" w:rsidRPr="000A4159">
        <w:rPr>
          <w:rFonts w:cs="Taher"/>
          <w:vertAlign w:val="superscript"/>
          <w:rtl/>
        </w:rPr>
        <w:t>)</w:t>
      </w:r>
      <w:r w:rsidR="00A747B7">
        <w:rPr>
          <w:rFonts w:hint="cs"/>
          <w:rtl/>
        </w:rPr>
        <w:t>.</w:t>
      </w:r>
    </w:p>
    <w:p w14:paraId="5B8259DA" w14:textId="77777777" w:rsidR="000A4159" w:rsidRPr="00A747B7" w:rsidRDefault="000A4159" w:rsidP="00A747B7">
      <w:pPr>
        <w:spacing w:line="214" w:lineRule="auto"/>
        <w:rPr>
          <w:b/>
          <w:bCs/>
          <w:rtl/>
        </w:rPr>
      </w:pPr>
      <w:r w:rsidRPr="00A747B7">
        <w:rPr>
          <w:rFonts w:hint="cs"/>
          <w:b/>
          <w:bCs/>
          <w:rtl/>
        </w:rPr>
        <w:lastRenderedPageBreak/>
        <w:t xml:space="preserve">ويمكن تعرّف رضا أهل البيت </w:t>
      </w:r>
      <w:r w:rsidR="00A747B7">
        <w:rPr>
          <w:rFonts w:hint="cs"/>
          <w:b/>
          <w:bCs/>
          <w:rtl/>
        </w:rPr>
        <w:t>ع</w:t>
      </w:r>
      <w:r w:rsidRPr="00A747B7">
        <w:rPr>
          <w:rFonts w:hint="cs"/>
          <w:b/>
          <w:bCs/>
          <w:rtl/>
        </w:rPr>
        <w:t>ن ثورته عبر أحد سبيلين:</w:t>
      </w:r>
    </w:p>
    <w:p w14:paraId="32BDF8AE" w14:textId="77777777" w:rsidR="000A4159" w:rsidRPr="00822CE9" w:rsidRDefault="000A4159" w:rsidP="00A47C06">
      <w:pPr>
        <w:pStyle w:val="normal870"/>
        <w:rPr>
          <w:rtl/>
        </w:rPr>
      </w:pPr>
      <w:r w:rsidRPr="00A747B7">
        <w:rPr>
          <w:rFonts w:hint="cs"/>
          <w:b/>
          <w:bCs/>
          <w:rtl/>
        </w:rPr>
        <w:t>السبيل الأو</w:t>
      </w:r>
      <w:r w:rsidR="00A747B7">
        <w:rPr>
          <w:rFonts w:hint="cs"/>
          <w:b/>
          <w:bCs/>
          <w:rtl/>
        </w:rPr>
        <w:t>ّ</w:t>
      </w:r>
      <w:r w:rsidRPr="00A747B7">
        <w:rPr>
          <w:rFonts w:hint="cs"/>
          <w:b/>
          <w:bCs/>
          <w:rtl/>
        </w:rPr>
        <w:t>ل:</w:t>
      </w:r>
      <w:r w:rsidRPr="00822CE9">
        <w:rPr>
          <w:rFonts w:hint="cs"/>
          <w:rtl/>
        </w:rPr>
        <w:t xml:space="preserve"> أن يقال ـ كما ذكر السي</w:t>
      </w:r>
      <w:r w:rsidR="00A747B7">
        <w:rPr>
          <w:rFonts w:hint="cs"/>
          <w:rtl/>
        </w:rPr>
        <w:t>ّ</w:t>
      </w:r>
      <w:r w:rsidRPr="00822CE9">
        <w:rPr>
          <w:rFonts w:hint="cs"/>
          <w:rtl/>
        </w:rPr>
        <w:t>د الحائري</w:t>
      </w:r>
      <w:r w:rsidRPr="00822CE9">
        <w:rPr>
          <w:rtl/>
        </w:rPr>
        <w:t xml:space="preserve"> </w:t>
      </w:r>
      <w:r w:rsidRPr="00822CE9">
        <w:rPr>
          <w:rFonts w:hint="cs"/>
          <w:rtl/>
        </w:rPr>
        <w:t>ـ</w:t>
      </w:r>
      <w:r w:rsidR="00A747B7">
        <w:rPr>
          <w:rFonts w:hint="cs"/>
          <w:rtl/>
        </w:rPr>
        <w:t>:</w:t>
      </w:r>
      <w:r w:rsidRPr="00822CE9">
        <w:rPr>
          <w:rFonts w:hint="cs"/>
          <w:rtl/>
        </w:rPr>
        <w:t xml:space="preserve"> إن</w:t>
      </w:r>
      <w:r w:rsidR="00A747B7">
        <w:rPr>
          <w:rFonts w:hint="cs"/>
          <w:rtl/>
        </w:rPr>
        <w:t>ّ</w:t>
      </w:r>
      <w:r w:rsidRPr="00822CE9">
        <w:rPr>
          <w:rFonts w:hint="cs"/>
          <w:rtl/>
        </w:rPr>
        <w:t xml:space="preserve">نا لم نعثر في كتب الحديث والتاريخ على أيّ نصّ من </w:t>
      </w:r>
      <w:r w:rsidR="009A1626" w:rsidRPr="00822CE9">
        <w:rPr>
          <w:rFonts w:hint="cs"/>
          <w:rtl/>
        </w:rPr>
        <w:t>أهل البيت</w:t>
      </w:r>
      <w:r w:rsidR="00A747B7">
        <w:rPr>
          <w:rFonts w:hint="cs"/>
          <w:rtl/>
        </w:rPr>
        <w:t>،</w:t>
      </w:r>
      <w:r w:rsidRPr="00822CE9">
        <w:rPr>
          <w:rFonts w:hint="cs"/>
          <w:rtl/>
        </w:rPr>
        <w:t xml:space="preserve"> ولو ضعيف السند</w:t>
      </w:r>
      <w:r w:rsidR="00A747B7">
        <w:rPr>
          <w:rFonts w:hint="cs"/>
          <w:rtl/>
        </w:rPr>
        <w:t>،</w:t>
      </w:r>
      <w:r w:rsidRPr="00822CE9">
        <w:rPr>
          <w:rFonts w:hint="cs"/>
          <w:rtl/>
        </w:rPr>
        <w:t xml:space="preserve"> في ذم</w:t>
      </w:r>
      <w:r w:rsidR="00A747B7">
        <w:rPr>
          <w:rFonts w:hint="cs"/>
          <w:rtl/>
        </w:rPr>
        <w:t>ّ</w:t>
      </w:r>
      <w:r w:rsidRPr="00822CE9">
        <w:rPr>
          <w:rFonts w:hint="cs"/>
          <w:rtl/>
        </w:rPr>
        <w:t xml:space="preserve"> شهيد فخ</w:t>
      </w:r>
      <w:r w:rsidR="00A747B7">
        <w:rPr>
          <w:rFonts w:hint="cs"/>
          <w:rtl/>
        </w:rPr>
        <w:t>ّ</w:t>
      </w:r>
      <w:r w:rsidRPr="00822CE9">
        <w:rPr>
          <w:rFonts w:hint="cs"/>
          <w:rtl/>
        </w:rPr>
        <w:t xml:space="preserve"> أو تضعيفه أو رفض حركته، وهذا شاهد</w:t>
      </w:r>
      <w:r w:rsidR="00A747B7">
        <w:rPr>
          <w:rFonts w:hint="cs"/>
          <w:rtl/>
        </w:rPr>
        <w:t>ٌ</w:t>
      </w:r>
      <w:r w:rsidRPr="00822CE9">
        <w:rPr>
          <w:rFonts w:hint="cs"/>
          <w:rtl/>
        </w:rPr>
        <w:t xml:space="preserve"> مؤك</w:t>
      </w:r>
      <w:r w:rsidR="00A747B7">
        <w:rPr>
          <w:rFonts w:hint="cs"/>
          <w:rtl/>
        </w:rPr>
        <w:t>ّ</w:t>
      </w:r>
      <w:r w:rsidRPr="00822CE9">
        <w:rPr>
          <w:rFonts w:hint="cs"/>
          <w:rtl/>
        </w:rPr>
        <w:t>د على أن</w:t>
      </w:r>
      <w:r w:rsidR="00A747B7">
        <w:rPr>
          <w:rFonts w:hint="cs"/>
          <w:rtl/>
        </w:rPr>
        <w:t>ّ</w:t>
      </w:r>
      <w:r w:rsidRPr="00822CE9">
        <w:rPr>
          <w:rFonts w:hint="cs"/>
          <w:rtl/>
        </w:rPr>
        <w:t xml:space="preserve"> </w:t>
      </w:r>
      <w:r w:rsidR="009A1626" w:rsidRPr="00822CE9">
        <w:rPr>
          <w:rFonts w:hint="cs"/>
          <w:rtl/>
        </w:rPr>
        <w:t>أهل البيت</w:t>
      </w:r>
      <w:r w:rsidRPr="00822CE9">
        <w:rPr>
          <w:rFonts w:hint="cs"/>
          <w:rtl/>
        </w:rPr>
        <w:t xml:space="preserve"> كانوا راضين بها</w:t>
      </w:r>
      <w:r w:rsidR="00A747B7">
        <w:rPr>
          <w:rFonts w:hint="cs"/>
          <w:rtl/>
        </w:rPr>
        <w:t>؛</w:t>
      </w:r>
      <w:r w:rsidRPr="00822CE9">
        <w:rPr>
          <w:rFonts w:hint="cs"/>
          <w:rtl/>
        </w:rPr>
        <w:t xml:space="preserve"> إذ لو كانوا غير راضين</w:t>
      </w:r>
      <w:r w:rsidR="00A747B7">
        <w:rPr>
          <w:rFonts w:hint="cs"/>
          <w:rtl/>
        </w:rPr>
        <w:t>،</w:t>
      </w:r>
      <w:r w:rsidRPr="00822CE9">
        <w:rPr>
          <w:rFonts w:hint="cs"/>
          <w:rtl/>
        </w:rPr>
        <w:t xml:space="preserve"> لصدرت منهم ـ وهم يعيشون جوّ التقي</w:t>
      </w:r>
      <w:r w:rsidR="00A747B7">
        <w:rPr>
          <w:rFonts w:hint="cs"/>
          <w:rtl/>
        </w:rPr>
        <w:t>ّ</w:t>
      </w:r>
      <w:r w:rsidRPr="00822CE9">
        <w:rPr>
          <w:rFonts w:hint="cs"/>
          <w:rtl/>
        </w:rPr>
        <w:t>ة الضاغط ـ نصوص</w:t>
      </w:r>
      <w:r w:rsidR="00A747B7">
        <w:rPr>
          <w:rFonts w:hint="cs"/>
          <w:rtl/>
        </w:rPr>
        <w:t>ٌ</w:t>
      </w:r>
      <w:r w:rsidRPr="00822CE9">
        <w:rPr>
          <w:rFonts w:hint="cs"/>
          <w:rtl/>
        </w:rPr>
        <w:t xml:space="preserve"> في ذم</w:t>
      </w:r>
      <w:r w:rsidR="00A747B7">
        <w:rPr>
          <w:rFonts w:hint="cs"/>
          <w:rtl/>
        </w:rPr>
        <w:t>ّه</w:t>
      </w:r>
      <w:r w:rsidRPr="00822CE9">
        <w:rPr>
          <w:rFonts w:hint="cs"/>
          <w:rtl/>
        </w:rPr>
        <w:t xml:space="preserve"> ورفض ثورته، ولوصلنا شيء</w:t>
      </w:r>
      <w:r w:rsidR="00A747B7">
        <w:rPr>
          <w:rFonts w:hint="cs"/>
          <w:rtl/>
        </w:rPr>
        <w:t>ٌ،</w:t>
      </w:r>
      <w:r w:rsidRPr="00822CE9">
        <w:rPr>
          <w:rFonts w:hint="cs"/>
          <w:rtl/>
        </w:rPr>
        <w:t xml:space="preserve"> ولو مرسل</w:t>
      </w:r>
      <w:r w:rsidR="00A747B7">
        <w:rPr>
          <w:rFonts w:hint="cs"/>
          <w:rtl/>
        </w:rPr>
        <w:t>ٌ،</w:t>
      </w:r>
      <w:r w:rsidRPr="00822CE9">
        <w:rPr>
          <w:rFonts w:hint="cs"/>
          <w:rtl/>
        </w:rPr>
        <w:t xml:space="preserve"> من هذه النصوص، وهو ما لم يحصل، وهذا بخلاف ما لو كانوا يؤي</w:t>
      </w:r>
      <w:r w:rsidR="00A747B7">
        <w:rPr>
          <w:rFonts w:hint="cs"/>
          <w:rtl/>
        </w:rPr>
        <w:t>ّ</w:t>
      </w:r>
      <w:r w:rsidRPr="00822CE9">
        <w:rPr>
          <w:rFonts w:hint="cs"/>
          <w:rtl/>
        </w:rPr>
        <w:t>دون الثورة فإن</w:t>
      </w:r>
      <w:r w:rsidR="00A747B7">
        <w:rPr>
          <w:rFonts w:hint="cs"/>
          <w:rtl/>
        </w:rPr>
        <w:t>ّ عدم وصول نصوص يغدو أ</w:t>
      </w:r>
      <w:r w:rsidRPr="00822CE9">
        <w:rPr>
          <w:rFonts w:hint="cs"/>
          <w:rtl/>
        </w:rPr>
        <w:t>مراً مبر</w:t>
      </w:r>
      <w:r w:rsidR="00A747B7">
        <w:rPr>
          <w:rFonts w:hint="cs"/>
          <w:rtl/>
        </w:rPr>
        <w:t>ّ</w:t>
      </w:r>
      <w:r w:rsidRPr="00822CE9">
        <w:rPr>
          <w:rFonts w:hint="cs"/>
          <w:rtl/>
        </w:rPr>
        <w:t>راً نظراً لظروف التقي</w:t>
      </w:r>
      <w:r w:rsidR="00A747B7">
        <w:rPr>
          <w:rFonts w:hint="cs"/>
          <w:rtl/>
        </w:rPr>
        <w:t>ّ</w:t>
      </w:r>
      <w:r w:rsidRPr="00822CE9">
        <w:rPr>
          <w:rFonts w:hint="cs"/>
          <w:rtl/>
        </w:rPr>
        <w:t>ة</w:t>
      </w:r>
      <w:r w:rsidR="00E8338C" w:rsidRPr="000A4159">
        <w:rPr>
          <w:rFonts w:cs="Taher"/>
          <w:vertAlign w:val="superscript"/>
          <w:rtl/>
        </w:rPr>
        <w:t>(</w:t>
      </w:r>
      <w:r w:rsidR="00E8338C" w:rsidRPr="000A4159">
        <w:rPr>
          <w:rStyle w:val="FootnoteReference"/>
          <w:rFonts w:cs="Taher"/>
          <w:rtl/>
        </w:rPr>
        <w:footnoteReference w:id="141"/>
      </w:r>
      <w:r w:rsidR="00E8338C" w:rsidRPr="000A4159">
        <w:rPr>
          <w:rFonts w:cs="Taher"/>
          <w:vertAlign w:val="superscript"/>
          <w:rtl/>
        </w:rPr>
        <w:t>)</w:t>
      </w:r>
      <w:r w:rsidRPr="00822CE9">
        <w:rPr>
          <w:rFonts w:hint="cs"/>
          <w:rtl/>
        </w:rPr>
        <w:t>.</w:t>
      </w:r>
    </w:p>
    <w:p w14:paraId="3CFA080C" w14:textId="77777777" w:rsidR="000A4159" w:rsidRDefault="000A4159" w:rsidP="002F656D">
      <w:pPr>
        <w:spacing w:line="214" w:lineRule="auto"/>
        <w:rPr>
          <w:rtl/>
        </w:rPr>
      </w:pPr>
      <w:r w:rsidRPr="00E8338C">
        <w:rPr>
          <w:rFonts w:hint="cs"/>
          <w:b/>
          <w:bCs/>
          <w:rtl/>
        </w:rPr>
        <w:t>وهذه الفكرة ـ إذا صحّت ـ ي</w:t>
      </w:r>
      <w:r w:rsidR="00A747B7" w:rsidRPr="00E8338C">
        <w:rPr>
          <w:rFonts w:hint="cs"/>
          <w:b/>
          <w:bCs/>
          <w:rtl/>
        </w:rPr>
        <w:t>ُ</w:t>
      </w:r>
      <w:r w:rsidRPr="00E8338C">
        <w:rPr>
          <w:rFonts w:hint="cs"/>
          <w:b/>
          <w:bCs/>
          <w:rtl/>
        </w:rPr>
        <w:t xml:space="preserve">فترض أن تستوعب تمام </w:t>
      </w:r>
      <w:r w:rsidR="00A747B7" w:rsidRPr="00E8338C">
        <w:rPr>
          <w:rFonts w:hint="cs"/>
          <w:b/>
          <w:bCs/>
          <w:rtl/>
        </w:rPr>
        <w:t xml:space="preserve">أو أغلب </w:t>
      </w:r>
      <w:r w:rsidRPr="00E8338C">
        <w:rPr>
          <w:rFonts w:hint="cs"/>
          <w:b/>
          <w:bCs/>
          <w:rtl/>
        </w:rPr>
        <w:t xml:space="preserve">الثورات التي حصلت في عصر حضور </w:t>
      </w:r>
      <w:r w:rsidR="009A1626" w:rsidRPr="00E8338C">
        <w:rPr>
          <w:rFonts w:hint="cs"/>
          <w:b/>
          <w:bCs/>
          <w:rtl/>
        </w:rPr>
        <w:t>أهل البيت</w:t>
      </w:r>
      <w:r w:rsidRPr="00E8338C">
        <w:rPr>
          <w:rFonts w:hint="cs"/>
          <w:b/>
          <w:bCs/>
          <w:rtl/>
        </w:rPr>
        <w:t xml:space="preserve"> ولم يرد فيها ذم</w:t>
      </w:r>
      <w:r w:rsidR="00A747B7" w:rsidRPr="00E8338C">
        <w:rPr>
          <w:rFonts w:hint="cs"/>
          <w:b/>
          <w:bCs/>
          <w:rtl/>
        </w:rPr>
        <w:t>ّ</w:t>
      </w:r>
      <w:r w:rsidRPr="00E8338C">
        <w:rPr>
          <w:rFonts w:hint="cs"/>
          <w:b/>
          <w:bCs/>
          <w:rtl/>
        </w:rPr>
        <w:t xml:space="preserve"> إطلاقاً حتى برواية ضعيفة السند؛</w:t>
      </w:r>
      <w:r w:rsidRPr="00822CE9">
        <w:rPr>
          <w:rFonts w:hint="cs"/>
          <w:rtl/>
        </w:rPr>
        <w:t xml:space="preserve"> لأن</w:t>
      </w:r>
      <w:r w:rsidR="00A747B7">
        <w:rPr>
          <w:rFonts w:hint="cs"/>
          <w:rtl/>
        </w:rPr>
        <w:t>ّ</w:t>
      </w:r>
      <w:r w:rsidRPr="00822CE9">
        <w:rPr>
          <w:rFonts w:hint="cs"/>
          <w:rtl/>
        </w:rPr>
        <w:t xml:space="preserve"> القانون الذي ب</w:t>
      </w:r>
      <w:r w:rsidR="00A747B7">
        <w:rPr>
          <w:rFonts w:hint="cs"/>
          <w:rtl/>
        </w:rPr>
        <w:t>ُ</w:t>
      </w:r>
      <w:r w:rsidRPr="00822CE9">
        <w:rPr>
          <w:rFonts w:hint="cs"/>
          <w:rtl/>
        </w:rPr>
        <w:t>نيت عليه هذه الفكرة له قدرة الشمول لتمام هذه الثورات من الناحية المبدئي</w:t>
      </w:r>
      <w:r w:rsidR="00A747B7">
        <w:rPr>
          <w:rFonts w:hint="cs"/>
          <w:rtl/>
        </w:rPr>
        <w:t>ّ</w:t>
      </w:r>
      <w:r w:rsidRPr="00822CE9">
        <w:rPr>
          <w:rFonts w:hint="cs"/>
          <w:rtl/>
        </w:rPr>
        <w:t>ة.</w:t>
      </w:r>
      <w:r w:rsidR="002F656D">
        <w:rPr>
          <w:rFonts w:hint="cs"/>
          <w:rtl/>
        </w:rPr>
        <w:t xml:space="preserve"> ونحن نعرف أنّ القرنين الثاني والثالث الهجريّين شهدا نسبةً عالية جدّاً من ثورات العلويّين.</w:t>
      </w:r>
    </w:p>
    <w:p w14:paraId="5F139038" w14:textId="77777777" w:rsidR="00B5607F" w:rsidRDefault="00B5607F" w:rsidP="00A47C06">
      <w:pPr>
        <w:pStyle w:val="normal870"/>
        <w:rPr>
          <w:rtl/>
        </w:rPr>
      </w:pPr>
      <w:r w:rsidRPr="00B5607F">
        <w:rPr>
          <w:rFonts w:hint="cs"/>
          <w:b/>
          <w:bCs/>
          <w:rtl/>
        </w:rPr>
        <w:t>لكنّ هذا السبيل قابل</w:t>
      </w:r>
      <w:r>
        <w:rPr>
          <w:rFonts w:hint="cs"/>
          <w:b/>
          <w:bCs/>
          <w:rtl/>
        </w:rPr>
        <w:t>ٌ</w:t>
      </w:r>
      <w:r w:rsidRPr="00B5607F">
        <w:rPr>
          <w:rFonts w:hint="cs"/>
          <w:b/>
          <w:bCs/>
          <w:rtl/>
        </w:rPr>
        <w:t xml:space="preserve"> للمناقشة؛</w:t>
      </w:r>
      <w:r>
        <w:rPr>
          <w:rFonts w:hint="cs"/>
          <w:rtl/>
        </w:rPr>
        <w:t xml:space="preserve"> وذلك أنّه </w:t>
      </w:r>
      <w:r w:rsidRPr="00822CE9">
        <w:rPr>
          <w:rFonts w:hint="cs"/>
          <w:rtl/>
        </w:rPr>
        <w:t>ربما صدرت نصوص لم تصلنا، وليست بالحديث الذي يس</w:t>
      </w:r>
      <w:r>
        <w:rPr>
          <w:rFonts w:hint="cs"/>
          <w:rtl/>
        </w:rPr>
        <w:t>تحيل أن تصدر فيه النصوص ولم تصل</w:t>
      </w:r>
      <w:r w:rsidR="00730ADA">
        <w:rPr>
          <w:rFonts w:hint="cs"/>
          <w:rtl/>
        </w:rPr>
        <w:t>،</w:t>
      </w:r>
      <w:r w:rsidRPr="00822CE9">
        <w:rPr>
          <w:rFonts w:hint="cs"/>
          <w:rtl/>
        </w:rPr>
        <w:t xml:space="preserve"> ولعلّه صدر منه موقف</w:t>
      </w:r>
      <w:r>
        <w:rPr>
          <w:rFonts w:hint="cs"/>
          <w:rtl/>
        </w:rPr>
        <w:t>ٌ</w:t>
      </w:r>
      <w:r w:rsidRPr="00822CE9">
        <w:rPr>
          <w:rFonts w:hint="cs"/>
          <w:rtl/>
        </w:rPr>
        <w:t xml:space="preserve"> أو موقف</w:t>
      </w:r>
      <w:r>
        <w:rPr>
          <w:rFonts w:hint="cs"/>
          <w:rtl/>
        </w:rPr>
        <w:t>ا</w:t>
      </w:r>
      <w:r w:rsidRPr="00822CE9">
        <w:rPr>
          <w:rFonts w:hint="cs"/>
          <w:rtl/>
        </w:rPr>
        <w:t>ن معارض</w:t>
      </w:r>
      <w:r>
        <w:rPr>
          <w:rFonts w:hint="cs"/>
          <w:rtl/>
        </w:rPr>
        <w:t>ا</w:t>
      </w:r>
      <w:r w:rsidRPr="00822CE9">
        <w:rPr>
          <w:rFonts w:hint="cs"/>
          <w:rtl/>
        </w:rPr>
        <w:t>ن</w:t>
      </w:r>
      <w:r w:rsidR="00730ADA">
        <w:rPr>
          <w:rFonts w:hint="cs"/>
          <w:rtl/>
        </w:rPr>
        <w:t xml:space="preserve"> ـ</w:t>
      </w:r>
      <w:r w:rsidRPr="00822CE9">
        <w:rPr>
          <w:rFonts w:hint="cs"/>
          <w:rtl/>
        </w:rPr>
        <w:t xml:space="preserve"> </w:t>
      </w:r>
      <w:r w:rsidR="00730ADA">
        <w:rPr>
          <w:rFonts w:hint="cs"/>
          <w:rtl/>
        </w:rPr>
        <w:t xml:space="preserve">وسيأتي ما فيه إشارة لذلك ـ </w:t>
      </w:r>
      <w:r w:rsidRPr="00822CE9">
        <w:rPr>
          <w:rFonts w:hint="cs"/>
          <w:rtl/>
        </w:rPr>
        <w:t>ولم يشأ الإكثار من نقد الحركة بعد شهادة من استشهد، بل قد يتصّور أن</w:t>
      </w:r>
      <w:r>
        <w:rPr>
          <w:rFonts w:hint="cs"/>
          <w:rtl/>
        </w:rPr>
        <w:t>ّ</w:t>
      </w:r>
      <w:r w:rsidRPr="00822CE9">
        <w:rPr>
          <w:rFonts w:hint="cs"/>
          <w:rtl/>
        </w:rPr>
        <w:t xml:space="preserve"> الإمام بعد الفاجعة التي حلّت في البيت الهاشمي قد لا تسمح ظروف التقي</w:t>
      </w:r>
      <w:r>
        <w:rPr>
          <w:rFonts w:hint="cs"/>
          <w:rtl/>
        </w:rPr>
        <w:t>ّ</w:t>
      </w:r>
      <w:r w:rsidRPr="00822CE9">
        <w:rPr>
          <w:rFonts w:hint="cs"/>
          <w:rtl/>
        </w:rPr>
        <w:t>ة أيضاً بنقد هذه الحركة، لا التقي</w:t>
      </w:r>
      <w:r>
        <w:rPr>
          <w:rFonts w:hint="cs"/>
          <w:rtl/>
        </w:rPr>
        <w:t>ّ</w:t>
      </w:r>
      <w:r w:rsidRPr="00822CE9">
        <w:rPr>
          <w:rFonts w:hint="cs"/>
          <w:rtl/>
        </w:rPr>
        <w:t>ة من السلطان، بل التقي</w:t>
      </w:r>
      <w:r>
        <w:rPr>
          <w:rFonts w:hint="cs"/>
          <w:rtl/>
        </w:rPr>
        <w:t>ّ</w:t>
      </w:r>
      <w:r w:rsidRPr="00822CE9">
        <w:rPr>
          <w:rFonts w:hint="cs"/>
          <w:rtl/>
        </w:rPr>
        <w:t>ة من الشيعة والبيت العلوي، فإن</w:t>
      </w:r>
      <w:r>
        <w:rPr>
          <w:rFonts w:hint="cs"/>
          <w:rtl/>
        </w:rPr>
        <w:t>ّ</w:t>
      </w:r>
      <w:r w:rsidRPr="00822CE9">
        <w:rPr>
          <w:rFonts w:hint="cs"/>
          <w:rtl/>
        </w:rPr>
        <w:t xml:space="preserve"> تنديد الإمام بالحركة قد تكون له مفاعيل سلبية يستفيد منها السلطان، كما قد تكون له ردّات فعل عكسي</w:t>
      </w:r>
      <w:r>
        <w:rPr>
          <w:rFonts w:hint="cs"/>
          <w:rtl/>
        </w:rPr>
        <w:t>ّ</w:t>
      </w:r>
      <w:r w:rsidRPr="00822CE9">
        <w:rPr>
          <w:rFonts w:hint="cs"/>
          <w:rtl/>
        </w:rPr>
        <w:t>ة من جانب الشيعة والبيت العلوي المتحمّس</w:t>
      </w:r>
      <w:r w:rsidR="00EB24BA">
        <w:rPr>
          <w:rFonts w:hint="cs"/>
          <w:rtl/>
        </w:rPr>
        <w:t xml:space="preserve"> جدّاً في تلك الفترة</w:t>
      </w:r>
      <w:r>
        <w:rPr>
          <w:rFonts w:hint="cs"/>
          <w:rtl/>
        </w:rPr>
        <w:t>، ولا</w:t>
      </w:r>
      <w:r w:rsidRPr="00822CE9">
        <w:rPr>
          <w:rFonts w:hint="cs"/>
          <w:rtl/>
        </w:rPr>
        <w:t xml:space="preserve"> سي</w:t>
      </w:r>
      <w:r>
        <w:rPr>
          <w:rFonts w:hint="cs"/>
          <w:rtl/>
        </w:rPr>
        <w:t>ّ</w:t>
      </w:r>
      <w:r w:rsidRPr="00822CE9">
        <w:rPr>
          <w:rFonts w:hint="cs"/>
          <w:rtl/>
        </w:rPr>
        <w:t>ما أن</w:t>
      </w:r>
      <w:r>
        <w:rPr>
          <w:rFonts w:hint="cs"/>
          <w:rtl/>
        </w:rPr>
        <w:t>ّ</w:t>
      </w:r>
      <w:r w:rsidRPr="00822CE9">
        <w:rPr>
          <w:rFonts w:hint="cs"/>
          <w:rtl/>
        </w:rPr>
        <w:t xml:space="preserve"> الكاظم بعدها ب</w:t>
      </w:r>
      <w:r w:rsidR="00E8338C">
        <w:rPr>
          <w:rFonts w:hint="cs"/>
          <w:rtl/>
        </w:rPr>
        <w:t>مدّة</w:t>
      </w:r>
      <w:r w:rsidRPr="00822CE9">
        <w:rPr>
          <w:rFonts w:hint="cs"/>
          <w:rtl/>
        </w:rPr>
        <w:t xml:space="preserve"> </w:t>
      </w:r>
      <w:r w:rsidR="00E8338C">
        <w:rPr>
          <w:rFonts w:hint="cs"/>
          <w:rtl/>
        </w:rPr>
        <w:t xml:space="preserve">قد </w:t>
      </w:r>
      <w:r w:rsidRPr="00822CE9">
        <w:rPr>
          <w:rFonts w:hint="cs"/>
          <w:rtl/>
        </w:rPr>
        <w:t>دخل السجن فترةً طويلة، فإذا</w:t>
      </w:r>
      <w:r>
        <w:rPr>
          <w:rFonts w:hint="cs"/>
          <w:rtl/>
        </w:rPr>
        <w:t>ً</w:t>
      </w:r>
      <w:r w:rsidRPr="00822CE9">
        <w:rPr>
          <w:rFonts w:hint="cs"/>
          <w:rtl/>
        </w:rPr>
        <w:t xml:space="preserve"> هناك مبر</w:t>
      </w:r>
      <w:r>
        <w:rPr>
          <w:rFonts w:hint="cs"/>
          <w:rtl/>
        </w:rPr>
        <w:t>ّ</w:t>
      </w:r>
      <w:r w:rsidRPr="00822CE9">
        <w:rPr>
          <w:rFonts w:hint="cs"/>
          <w:rtl/>
        </w:rPr>
        <w:t>رات تفرض أن يقل</w:t>
      </w:r>
      <w:r>
        <w:rPr>
          <w:rFonts w:hint="cs"/>
          <w:rtl/>
        </w:rPr>
        <w:t>ّ</w:t>
      </w:r>
      <w:r w:rsidRPr="00822CE9">
        <w:rPr>
          <w:rFonts w:hint="cs"/>
          <w:rtl/>
        </w:rPr>
        <w:t>ل الإمام جداً من إبرار موقفه الرافض، كي لا يجعل ذلك في فائدة السلطان من جهة، وكي لا تحدث ر</w:t>
      </w:r>
      <w:r>
        <w:rPr>
          <w:rFonts w:hint="cs"/>
          <w:rtl/>
        </w:rPr>
        <w:t>دّ</w:t>
      </w:r>
      <w:r w:rsidRPr="00822CE9">
        <w:rPr>
          <w:rFonts w:hint="cs"/>
          <w:rtl/>
        </w:rPr>
        <w:t>ات فعل حماسي</w:t>
      </w:r>
      <w:r>
        <w:rPr>
          <w:rFonts w:hint="cs"/>
          <w:rtl/>
        </w:rPr>
        <w:t>ّ</w:t>
      </w:r>
      <w:r w:rsidRPr="00822CE9">
        <w:rPr>
          <w:rFonts w:hint="cs"/>
          <w:rtl/>
        </w:rPr>
        <w:t xml:space="preserve">ة في </w:t>
      </w:r>
      <w:r w:rsidRPr="00822CE9">
        <w:rPr>
          <w:rFonts w:hint="cs"/>
          <w:rtl/>
        </w:rPr>
        <w:lastRenderedPageBreak/>
        <w:t>الوسط الش</w:t>
      </w:r>
      <w:r>
        <w:rPr>
          <w:rFonts w:hint="cs"/>
          <w:rtl/>
        </w:rPr>
        <w:t>ي</w:t>
      </w:r>
      <w:r w:rsidRPr="00822CE9">
        <w:rPr>
          <w:rFonts w:hint="cs"/>
          <w:rtl/>
        </w:rPr>
        <w:t>عي من جهة أخرى، ولعلّ هذا ما قلّل نصوص الرفض جداً حتى كادت تنعدم، ولهذا لم يصلنا منها شيء، فبرهان السيد الحائري غير تام</w:t>
      </w:r>
      <w:r>
        <w:rPr>
          <w:rFonts w:hint="cs"/>
          <w:rtl/>
        </w:rPr>
        <w:t>ّ</w:t>
      </w:r>
      <w:r w:rsidRPr="00822CE9">
        <w:rPr>
          <w:rFonts w:hint="cs"/>
          <w:rtl/>
        </w:rPr>
        <w:t xml:space="preserve"> مطلقاً.</w:t>
      </w:r>
    </w:p>
    <w:p w14:paraId="0C90A8B6" w14:textId="77777777" w:rsidR="00EB24BA" w:rsidRPr="00EB24BA" w:rsidRDefault="00EB24BA" w:rsidP="00A47C06">
      <w:pPr>
        <w:spacing w:line="202" w:lineRule="auto"/>
        <w:rPr>
          <w:rtl/>
        </w:rPr>
      </w:pPr>
      <w:r w:rsidRPr="00E8338C">
        <w:rPr>
          <w:rFonts w:hint="cs"/>
          <w:b/>
          <w:bCs/>
          <w:rtl/>
        </w:rPr>
        <w:t>ويؤيّد ذلك بعض النصوص التي أبدى فيها الخليفة العباسي اتّهامه وشكّه في الكاظم أنّه متعاطف أو وراء حركة صاحب فخّ وغيرها،</w:t>
      </w:r>
      <w:r>
        <w:rPr>
          <w:rFonts w:hint="cs"/>
          <w:rtl/>
        </w:rPr>
        <w:t xml:space="preserve"> وأنّ القاضي أ</w:t>
      </w:r>
      <w:r w:rsidRPr="00EB24BA">
        <w:rPr>
          <w:rFonts w:hint="cs"/>
          <w:rtl/>
        </w:rPr>
        <w:t>با</w:t>
      </w:r>
      <w:r>
        <w:rPr>
          <w:rFonts w:hint="cs"/>
          <w:rtl/>
        </w:rPr>
        <w:t xml:space="preserve"> </w:t>
      </w:r>
      <w:r w:rsidRPr="00EB24BA">
        <w:rPr>
          <w:rFonts w:hint="cs"/>
          <w:rtl/>
        </w:rPr>
        <w:t>يوسف الحنفي هو الذي هد</w:t>
      </w:r>
      <w:r>
        <w:rPr>
          <w:rFonts w:hint="cs"/>
          <w:rtl/>
        </w:rPr>
        <w:t>ّ</w:t>
      </w:r>
      <w:r w:rsidRPr="00EB24BA">
        <w:rPr>
          <w:rFonts w:hint="cs"/>
          <w:rtl/>
        </w:rPr>
        <w:t>أ من روعه</w:t>
      </w:r>
      <w:r>
        <w:rPr>
          <w:rFonts w:hint="cs"/>
          <w:rtl/>
        </w:rPr>
        <w:t>، وقال له بأ</w:t>
      </w:r>
      <w:r w:rsidRPr="00EB24BA">
        <w:rPr>
          <w:rFonts w:hint="cs"/>
          <w:rtl/>
        </w:rPr>
        <w:t>ن</w:t>
      </w:r>
      <w:r>
        <w:rPr>
          <w:rFonts w:hint="cs"/>
          <w:rtl/>
        </w:rPr>
        <w:t>ّ</w:t>
      </w:r>
      <w:r w:rsidRPr="00EB24BA">
        <w:rPr>
          <w:rFonts w:hint="cs"/>
          <w:rtl/>
        </w:rPr>
        <w:t xml:space="preserve"> ال</w:t>
      </w:r>
      <w:r>
        <w:rPr>
          <w:rFonts w:hint="cs"/>
          <w:rtl/>
        </w:rPr>
        <w:t>ك</w:t>
      </w:r>
      <w:r w:rsidRPr="00EB24BA">
        <w:rPr>
          <w:rFonts w:hint="cs"/>
          <w:rtl/>
        </w:rPr>
        <w:t>ا</w:t>
      </w:r>
      <w:r>
        <w:rPr>
          <w:rFonts w:hint="cs"/>
          <w:rtl/>
        </w:rPr>
        <w:t>ظ</w:t>
      </w:r>
      <w:r w:rsidRPr="00EB24BA">
        <w:rPr>
          <w:rFonts w:hint="cs"/>
          <w:rtl/>
        </w:rPr>
        <w:t>م لا ع</w:t>
      </w:r>
      <w:r>
        <w:rPr>
          <w:rFonts w:hint="cs"/>
          <w:rtl/>
        </w:rPr>
        <w:t>ل</w:t>
      </w:r>
      <w:r w:rsidRPr="00EB24BA">
        <w:rPr>
          <w:rFonts w:hint="cs"/>
          <w:rtl/>
        </w:rPr>
        <w:t>اقة له بالثورات</w:t>
      </w:r>
      <w:r>
        <w:rPr>
          <w:rFonts w:hint="cs"/>
          <w:rtl/>
        </w:rPr>
        <w:t>، على عكس أ</w:t>
      </w:r>
      <w:r w:rsidRPr="00EB24BA">
        <w:rPr>
          <w:rFonts w:hint="cs"/>
          <w:rtl/>
        </w:rPr>
        <w:t>قربائه.</w:t>
      </w:r>
    </w:p>
    <w:p w14:paraId="24A504F7" w14:textId="77777777" w:rsidR="00B5607F" w:rsidRPr="00B5607F" w:rsidRDefault="00B5607F" w:rsidP="0096148C">
      <w:pPr>
        <w:pStyle w:val="Heading2"/>
        <w:rPr>
          <w:rtl/>
        </w:rPr>
      </w:pPr>
      <w:bookmarkStart w:id="72" w:name="_Toc143804126"/>
      <w:bookmarkStart w:id="73" w:name="_Toc238123251"/>
      <w:r w:rsidRPr="00B5607F">
        <w:rPr>
          <w:rFonts w:hint="cs"/>
          <w:rtl/>
        </w:rPr>
        <w:t>النصوص المؤيّدة لحركة صاحب فخّ، تفكيك وتفنيد</w:t>
      </w:r>
      <w:bookmarkEnd w:id="72"/>
      <w:bookmarkEnd w:id="73"/>
    </w:p>
    <w:p w14:paraId="69BC5012" w14:textId="77777777" w:rsidR="000A4159" w:rsidRPr="00822CE9" w:rsidRDefault="000A4159" w:rsidP="00A47C06">
      <w:pPr>
        <w:pStyle w:val="normal84"/>
        <w:rPr>
          <w:rtl/>
        </w:rPr>
      </w:pPr>
      <w:r w:rsidRPr="00A747B7">
        <w:rPr>
          <w:rFonts w:hint="cs"/>
          <w:b/>
          <w:bCs/>
          <w:rtl/>
        </w:rPr>
        <w:t>السبيل الثاني:</w:t>
      </w:r>
      <w:r w:rsidRPr="00822CE9">
        <w:rPr>
          <w:rFonts w:hint="cs"/>
          <w:rtl/>
        </w:rPr>
        <w:t xml:space="preserve"> الاستناد إلى النصوص المروي</w:t>
      </w:r>
      <w:r w:rsidR="00A747B7">
        <w:rPr>
          <w:rFonts w:hint="cs"/>
          <w:rtl/>
        </w:rPr>
        <w:t>ّ</w:t>
      </w:r>
      <w:r w:rsidRPr="00822CE9">
        <w:rPr>
          <w:rFonts w:hint="cs"/>
          <w:rtl/>
        </w:rPr>
        <w:t xml:space="preserve">ة عن </w:t>
      </w:r>
      <w:r w:rsidR="009A1626" w:rsidRPr="00822CE9">
        <w:rPr>
          <w:rFonts w:hint="cs"/>
          <w:rtl/>
        </w:rPr>
        <w:t>أهل البيت</w:t>
      </w:r>
      <w:r w:rsidRPr="00822CE9">
        <w:rPr>
          <w:rFonts w:hint="cs"/>
          <w:rtl/>
        </w:rPr>
        <w:t xml:space="preserve"> والتي تؤي</w:t>
      </w:r>
      <w:r w:rsidR="00A747B7">
        <w:rPr>
          <w:rFonts w:hint="cs"/>
          <w:rtl/>
        </w:rPr>
        <w:t>ّ</w:t>
      </w:r>
      <w:r w:rsidRPr="00822CE9">
        <w:rPr>
          <w:rFonts w:hint="cs"/>
          <w:rtl/>
        </w:rPr>
        <w:t>د ثورة شهيد فخ</w:t>
      </w:r>
      <w:r w:rsidR="00A747B7">
        <w:rPr>
          <w:rFonts w:hint="cs"/>
          <w:rtl/>
        </w:rPr>
        <w:t>ّ</w:t>
      </w:r>
      <w:r w:rsidRPr="00822CE9">
        <w:rPr>
          <w:rFonts w:hint="cs"/>
          <w:rtl/>
        </w:rPr>
        <w:t>، وهي نصوص عديدة ذكرها أبو الفرج الإصفهاني في كتابه «مقاتل الطالبيين»، و</w:t>
      </w:r>
      <w:r w:rsidR="00E8338C">
        <w:rPr>
          <w:rFonts w:hint="cs"/>
          <w:rtl/>
        </w:rPr>
        <w:t>أهمّها</w:t>
      </w:r>
      <w:r w:rsidRPr="00822CE9">
        <w:rPr>
          <w:rFonts w:hint="cs"/>
          <w:rtl/>
        </w:rPr>
        <w:t>:</w:t>
      </w:r>
    </w:p>
    <w:p w14:paraId="7858A24B" w14:textId="77777777" w:rsidR="00A747B7" w:rsidRDefault="000A4159" w:rsidP="00A47C06">
      <w:pPr>
        <w:pStyle w:val="normal84"/>
        <w:rPr>
          <w:rtl/>
        </w:rPr>
      </w:pPr>
      <w:r w:rsidRPr="00A747B7">
        <w:rPr>
          <w:rFonts w:hint="cs"/>
          <w:b/>
          <w:bCs/>
          <w:rtl/>
        </w:rPr>
        <w:t xml:space="preserve">الرواية الأولى: خبر زيد بن علي، </w:t>
      </w:r>
      <w:r w:rsidRPr="00822CE9">
        <w:rPr>
          <w:rFonts w:hint="cs"/>
          <w:rtl/>
        </w:rPr>
        <w:t>قال: انتهى رسول الله</w:t>
      </w:r>
      <w:r w:rsidR="00A747B7">
        <w:rPr>
          <w:rFonts w:hint="cs"/>
          <w:rtl/>
        </w:rPr>
        <w:t xml:space="preserve">‘ </w:t>
      </w:r>
      <w:r w:rsidRPr="00822CE9">
        <w:rPr>
          <w:rFonts w:hint="cs"/>
          <w:rtl/>
        </w:rPr>
        <w:t>إلى موضع فخ</w:t>
      </w:r>
      <w:r w:rsidR="00A747B7">
        <w:rPr>
          <w:rFonts w:hint="cs"/>
          <w:rtl/>
        </w:rPr>
        <w:t>ّ،</w:t>
      </w:r>
      <w:r w:rsidRPr="00822CE9">
        <w:rPr>
          <w:rFonts w:hint="cs"/>
          <w:rtl/>
        </w:rPr>
        <w:t xml:space="preserve"> فصلّى بأصحابه صلاة الجنازة، ثم</w:t>
      </w:r>
      <w:r w:rsidR="00A747B7">
        <w:rPr>
          <w:rFonts w:hint="cs"/>
          <w:rtl/>
        </w:rPr>
        <w:t>ّ</w:t>
      </w:r>
      <w:r w:rsidRPr="00822CE9">
        <w:rPr>
          <w:rFonts w:hint="cs"/>
          <w:rtl/>
        </w:rPr>
        <w:t xml:space="preserve"> قال: «ي</w:t>
      </w:r>
      <w:r w:rsidR="00A747B7">
        <w:rPr>
          <w:rFonts w:hint="cs"/>
          <w:rtl/>
        </w:rPr>
        <w:t>ُ</w:t>
      </w:r>
      <w:r w:rsidRPr="00822CE9">
        <w:rPr>
          <w:rFonts w:hint="cs"/>
          <w:rtl/>
        </w:rPr>
        <w:t>قتل ها هنا رجل</w:t>
      </w:r>
      <w:r w:rsidR="00A747B7">
        <w:rPr>
          <w:rFonts w:hint="cs"/>
          <w:rtl/>
        </w:rPr>
        <w:t>ٌ</w:t>
      </w:r>
      <w:r w:rsidRPr="00822CE9">
        <w:rPr>
          <w:rFonts w:hint="cs"/>
          <w:rtl/>
        </w:rPr>
        <w:t xml:space="preserve"> من أهل بيتي في عصابة من المؤمنين، ينزل لهم بأكفان وحنوط من الجنّة، تسبق أرواحهم أجسادهم إلى الجنة»</w:t>
      </w:r>
      <w:r w:rsidRPr="000A4159">
        <w:rPr>
          <w:rFonts w:cs="Taher"/>
          <w:vertAlign w:val="superscript"/>
          <w:rtl/>
        </w:rPr>
        <w:t>(</w:t>
      </w:r>
      <w:r w:rsidRPr="000A4159">
        <w:rPr>
          <w:rStyle w:val="FootnoteReference"/>
          <w:rFonts w:cs="Taher"/>
          <w:rtl/>
        </w:rPr>
        <w:footnoteReference w:id="142"/>
      </w:r>
      <w:r w:rsidRPr="000A4159">
        <w:rPr>
          <w:rFonts w:cs="Taher"/>
          <w:vertAlign w:val="superscript"/>
          <w:rtl/>
        </w:rPr>
        <w:t>)</w:t>
      </w:r>
      <w:r w:rsidR="00A747B7">
        <w:rPr>
          <w:rFonts w:hint="cs"/>
          <w:rtl/>
        </w:rPr>
        <w:t>.</w:t>
      </w:r>
    </w:p>
    <w:p w14:paraId="7B571CB1" w14:textId="77777777" w:rsidR="000A4159" w:rsidRPr="00822CE9" w:rsidRDefault="000A4159" w:rsidP="00A47C06">
      <w:pPr>
        <w:pStyle w:val="normal84"/>
        <w:rPr>
          <w:rtl/>
        </w:rPr>
      </w:pPr>
      <w:r w:rsidRPr="00822CE9">
        <w:rPr>
          <w:rFonts w:hint="cs"/>
          <w:rtl/>
        </w:rPr>
        <w:t>وهذا الخبر فيه ثناء من رسول الله</w:t>
      </w:r>
      <w:r w:rsidR="00A747B7">
        <w:rPr>
          <w:rFonts w:hint="cs"/>
          <w:rtl/>
        </w:rPr>
        <w:t>‘</w:t>
      </w:r>
      <w:r w:rsidRPr="00822CE9">
        <w:rPr>
          <w:rFonts w:hint="cs"/>
          <w:rtl/>
        </w:rPr>
        <w:t xml:space="preserve"> على هذا الرجل وجماعته، وهو ما يفهم منه عرفاً مباركة ثورته هذه.</w:t>
      </w:r>
    </w:p>
    <w:p w14:paraId="57F49F78" w14:textId="77777777" w:rsidR="000A4159" w:rsidRPr="00822CE9" w:rsidRDefault="000A4159" w:rsidP="00A47C06">
      <w:pPr>
        <w:pStyle w:val="normal84"/>
        <w:rPr>
          <w:rtl/>
        </w:rPr>
      </w:pPr>
      <w:r w:rsidRPr="00A557E2">
        <w:rPr>
          <w:rFonts w:hint="cs"/>
          <w:b/>
          <w:bCs/>
          <w:rtl/>
        </w:rPr>
        <w:t>لكن</w:t>
      </w:r>
      <w:r w:rsidR="00A747B7" w:rsidRPr="00A557E2">
        <w:rPr>
          <w:rFonts w:hint="cs"/>
          <w:b/>
          <w:bCs/>
          <w:rtl/>
        </w:rPr>
        <w:t>ّ</w:t>
      </w:r>
      <w:r w:rsidRPr="00A557E2">
        <w:rPr>
          <w:rFonts w:hint="cs"/>
          <w:b/>
          <w:bCs/>
          <w:rtl/>
        </w:rPr>
        <w:t xml:space="preserve"> الرواية ضعيفة السند</w:t>
      </w:r>
      <w:r w:rsidR="00A747B7" w:rsidRPr="00A557E2">
        <w:rPr>
          <w:rFonts w:hint="cs"/>
          <w:b/>
          <w:bCs/>
          <w:rtl/>
        </w:rPr>
        <w:t>،</w:t>
      </w:r>
      <w:r w:rsidRPr="00822CE9">
        <w:rPr>
          <w:rFonts w:hint="cs"/>
          <w:rtl/>
        </w:rPr>
        <w:t xml:space="preserve"> بجهالة ر</w:t>
      </w:r>
      <w:r w:rsidR="00A747B7">
        <w:rPr>
          <w:rFonts w:hint="cs"/>
          <w:rtl/>
        </w:rPr>
        <w:t>ي</w:t>
      </w:r>
      <w:r w:rsidRPr="00822CE9">
        <w:rPr>
          <w:rFonts w:hint="cs"/>
          <w:rtl/>
        </w:rPr>
        <w:t>طة بنت عبد الله</w:t>
      </w:r>
      <w:r w:rsidR="00A747B7">
        <w:rPr>
          <w:rFonts w:hint="cs"/>
          <w:rtl/>
        </w:rPr>
        <w:t>،</w:t>
      </w:r>
      <w:r w:rsidRPr="00822CE9">
        <w:rPr>
          <w:rFonts w:hint="cs"/>
          <w:rtl/>
        </w:rPr>
        <w:t xml:space="preserve"> بل إهمالها</w:t>
      </w:r>
      <w:r w:rsidRPr="000A4159">
        <w:rPr>
          <w:rFonts w:cs="Taher"/>
          <w:vertAlign w:val="superscript"/>
          <w:rtl/>
        </w:rPr>
        <w:t>(</w:t>
      </w:r>
      <w:r w:rsidRPr="000A4159">
        <w:rPr>
          <w:rStyle w:val="FootnoteReference"/>
          <w:rFonts w:cs="Taher"/>
          <w:rtl/>
        </w:rPr>
        <w:footnoteReference w:id="143"/>
      </w:r>
      <w:r w:rsidRPr="000A4159">
        <w:rPr>
          <w:rFonts w:cs="Taher"/>
          <w:vertAlign w:val="superscript"/>
          <w:rtl/>
        </w:rPr>
        <w:t>)</w:t>
      </w:r>
      <w:r w:rsidRPr="00822CE9">
        <w:rPr>
          <w:rtl/>
        </w:rPr>
        <w:t xml:space="preserve">، </w:t>
      </w:r>
      <w:r w:rsidR="00A747B7">
        <w:rPr>
          <w:rFonts w:hint="cs"/>
          <w:rtl/>
        </w:rPr>
        <w:t>وأيضاً إه</w:t>
      </w:r>
      <w:r w:rsidRPr="00822CE9">
        <w:rPr>
          <w:rFonts w:hint="cs"/>
          <w:rtl/>
        </w:rPr>
        <w:t>مال الحكم بن جامع الثمالي جد</w:t>
      </w:r>
      <w:r w:rsidR="00A747B7">
        <w:rPr>
          <w:rFonts w:hint="cs"/>
          <w:rtl/>
        </w:rPr>
        <w:t>ّ</w:t>
      </w:r>
      <w:r w:rsidRPr="00822CE9">
        <w:rPr>
          <w:rFonts w:hint="cs"/>
          <w:rtl/>
        </w:rPr>
        <w:t>اً.</w:t>
      </w:r>
    </w:p>
    <w:p w14:paraId="5E96B175" w14:textId="77777777" w:rsidR="000A4159" w:rsidRPr="00822CE9" w:rsidRDefault="000A4159" w:rsidP="00A47C06">
      <w:pPr>
        <w:pStyle w:val="normal870"/>
        <w:rPr>
          <w:rtl/>
        </w:rPr>
      </w:pPr>
      <w:r w:rsidRPr="008C0608">
        <w:rPr>
          <w:rFonts w:hint="cs"/>
          <w:b/>
          <w:bCs/>
          <w:rtl/>
        </w:rPr>
        <w:t>الرواية الثانية: خبر أبي جعفر محم</w:t>
      </w:r>
      <w:r w:rsidR="00E8338C">
        <w:rPr>
          <w:rFonts w:hint="cs"/>
          <w:b/>
          <w:bCs/>
          <w:rtl/>
        </w:rPr>
        <w:t>ّ</w:t>
      </w:r>
      <w:r w:rsidRPr="008C0608">
        <w:rPr>
          <w:rFonts w:hint="cs"/>
          <w:b/>
          <w:bCs/>
          <w:rtl/>
        </w:rPr>
        <w:t>د بن علي</w:t>
      </w:r>
      <w:r w:rsidR="008C0608">
        <w:rPr>
          <w:rFonts w:hint="cs"/>
          <w:rtl/>
        </w:rPr>
        <w:t>،</w:t>
      </w:r>
      <w:r w:rsidRPr="00822CE9">
        <w:rPr>
          <w:rFonts w:hint="cs"/>
          <w:rtl/>
        </w:rPr>
        <w:t xml:space="preserve"> قال: </w:t>
      </w:r>
      <w:r w:rsidR="008C0608">
        <w:rPr>
          <w:rFonts w:hint="eastAsia"/>
          <w:rtl/>
        </w:rPr>
        <w:t>«</w:t>
      </w:r>
      <w:r w:rsidRPr="00822CE9">
        <w:rPr>
          <w:rFonts w:hint="cs"/>
          <w:rtl/>
        </w:rPr>
        <w:t>مرّ النبي</w:t>
      </w:r>
      <w:r w:rsidR="008C0608">
        <w:rPr>
          <w:rFonts w:hint="cs"/>
          <w:rtl/>
        </w:rPr>
        <w:t>ّ‘</w:t>
      </w:r>
      <w:r w:rsidRPr="00822CE9">
        <w:rPr>
          <w:rFonts w:hint="cs"/>
          <w:rtl/>
        </w:rPr>
        <w:t xml:space="preserve"> </w:t>
      </w:r>
      <w:r w:rsidR="008C0608">
        <w:rPr>
          <w:rFonts w:hint="cs"/>
          <w:rtl/>
        </w:rPr>
        <w:t>ب</w:t>
      </w:r>
      <w:r w:rsidRPr="00822CE9">
        <w:rPr>
          <w:rFonts w:hint="cs"/>
          <w:rtl/>
        </w:rPr>
        <w:t>فخ</w:t>
      </w:r>
      <w:r w:rsidR="008C0608">
        <w:rPr>
          <w:rFonts w:hint="cs"/>
          <w:rtl/>
        </w:rPr>
        <w:t>ّ</w:t>
      </w:r>
      <w:r w:rsidRPr="00822CE9">
        <w:rPr>
          <w:rFonts w:hint="cs"/>
          <w:rtl/>
        </w:rPr>
        <w:t>، فنزل فصلّى ركعة، فلما صلّى الثانية بكى، وهو في الصلاة، فلما رأى الناس النبي</w:t>
      </w:r>
      <w:r w:rsidR="008C0608">
        <w:rPr>
          <w:rFonts w:hint="cs"/>
          <w:rtl/>
        </w:rPr>
        <w:t>ّ‘</w:t>
      </w:r>
      <w:r w:rsidRPr="00822CE9">
        <w:rPr>
          <w:rFonts w:hint="cs"/>
          <w:rtl/>
        </w:rPr>
        <w:t xml:space="preserve"> يبكي بكوا، فلما انصرف، قال: ما يبكيكم؟ قالوا: لما رأيناك تبكي بكينا يا رسول الله</w:t>
      </w:r>
      <w:r w:rsidR="008C0608">
        <w:rPr>
          <w:rFonts w:hint="cs"/>
          <w:rtl/>
        </w:rPr>
        <w:t>‘</w:t>
      </w:r>
      <w:r w:rsidRPr="00822CE9">
        <w:rPr>
          <w:rFonts w:hint="cs"/>
          <w:rtl/>
        </w:rPr>
        <w:t>، قال: نزل عليّ جبرئيل لما صلّيت الركعة الأولى، فقال: يا محم</w:t>
      </w:r>
      <w:r w:rsidR="008C0608">
        <w:rPr>
          <w:rFonts w:hint="cs"/>
          <w:rtl/>
        </w:rPr>
        <w:t>ّ</w:t>
      </w:r>
      <w:r w:rsidRPr="00822CE9">
        <w:rPr>
          <w:rFonts w:hint="cs"/>
          <w:rtl/>
        </w:rPr>
        <w:t>د</w:t>
      </w:r>
      <w:r w:rsidR="008C0608">
        <w:rPr>
          <w:rFonts w:hint="cs"/>
          <w:rtl/>
        </w:rPr>
        <w:t>،</w:t>
      </w:r>
      <w:r w:rsidRPr="00822CE9">
        <w:rPr>
          <w:rFonts w:hint="cs"/>
          <w:rtl/>
        </w:rPr>
        <w:t xml:space="preserve"> إنّ رجلاً من ولدك يقتل في هذا المكان، وأجر الشهيد معه أجر شهيدين»</w:t>
      </w:r>
      <w:r w:rsidRPr="000A4159">
        <w:rPr>
          <w:rFonts w:cs="Taher"/>
          <w:vertAlign w:val="superscript"/>
          <w:rtl/>
        </w:rPr>
        <w:t>(</w:t>
      </w:r>
      <w:r w:rsidRPr="000A4159">
        <w:rPr>
          <w:rStyle w:val="FootnoteReference"/>
          <w:rFonts w:cs="Taher"/>
          <w:rtl/>
        </w:rPr>
        <w:footnoteReference w:id="144"/>
      </w:r>
      <w:r w:rsidRPr="000A4159">
        <w:rPr>
          <w:rFonts w:cs="Taher"/>
          <w:vertAlign w:val="superscript"/>
          <w:rtl/>
        </w:rPr>
        <w:t>)</w:t>
      </w:r>
      <w:r w:rsidRPr="00822CE9">
        <w:rPr>
          <w:rtl/>
        </w:rPr>
        <w:t>.</w:t>
      </w:r>
    </w:p>
    <w:p w14:paraId="5622C0CD" w14:textId="77777777" w:rsidR="000A4159" w:rsidRPr="00822CE9" w:rsidRDefault="000A4159" w:rsidP="00DC6F6D">
      <w:pPr>
        <w:spacing w:line="214" w:lineRule="auto"/>
        <w:rPr>
          <w:rtl/>
        </w:rPr>
      </w:pPr>
      <w:r w:rsidRPr="00822CE9">
        <w:rPr>
          <w:rFonts w:hint="cs"/>
          <w:rtl/>
        </w:rPr>
        <w:t xml:space="preserve">ودلالتها كسابقتها، بل تكون أوضح ببيان أجر الشهادة معه، لكنّ السند ضعيف بجهالة علي </w:t>
      </w:r>
      <w:r w:rsidRPr="00822CE9">
        <w:rPr>
          <w:rFonts w:hint="cs"/>
          <w:rtl/>
        </w:rPr>
        <w:lastRenderedPageBreak/>
        <w:t>بن العباس المقانعي صاحب كتاب (فضل الشيعة)</w:t>
      </w:r>
      <w:r w:rsidRPr="000A4159">
        <w:rPr>
          <w:rFonts w:cs="Taher"/>
          <w:vertAlign w:val="superscript"/>
          <w:rtl/>
        </w:rPr>
        <w:t>(</w:t>
      </w:r>
      <w:r w:rsidRPr="000A4159">
        <w:rPr>
          <w:rStyle w:val="FootnoteReference"/>
          <w:rFonts w:cs="Taher"/>
          <w:rtl/>
        </w:rPr>
        <w:footnoteReference w:id="145"/>
      </w:r>
      <w:r w:rsidRPr="000A4159">
        <w:rPr>
          <w:rFonts w:cs="Taher"/>
          <w:vertAlign w:val="superscript"/>
          <w:rtl/>
        </w:rPr>
        <w:t>)</w:t>
      </w:r>
      <w:r w:rsidRPr="00822CE9">
        <w:rPr>
          <w:rtl/>
        </w:rPr>
        <w:t xml:space="preserve">، </w:t>
      </w:r>
      <w:r w:rsidRPr="00822CE9">
        <w:rPr>
          <w:rFonts w:hint="cs"/>
          <w:rtl/>
        </w:rPr>
        <w:t>ولم أجد توثيق</w:t>
      </w:r>
      <w:r w:rsidR="008C0608">
        <w:rPr>
          <w:rFonts w:hint="cs"/>
          <w:rtl/>
        </w:rPr>
        <w:t xml:space="preserve">اً </w:t>
      </w:r>
      <w:r w:rsidRPr="00822CE9">
        <w:rPr>
          <w:rFonts w:hint="cs"/>
          <w:rtl/>
        </w:rPr>
        <w:t>له في مصادر الرجال السن</w:t>
      </w:r>
      <w:r w:rsidR="008C0608">
        <w:rPr>
          <w:rFonts w:hint="cs"/>
          <w:rtl/>
        </w:rPr>
        <w:t>ّ</w:t>
      </w:r>
      <w:r w:rsidRPr="00822CE9">
        <w:rPr>
          <w:rFonts w:hint="cs"/>
          <w:rtl/>
        </w:rPr>
        <w:t>ية،</w:t>
      </w:r>
      <w:r w:rsidR="00DC6F6D">
        <w:rPr>
          <w:rFonts w:hint="cs"/>
          <w:rtl/>
        </w:rPr>
        <w:t xml:space="preserve"> إلا إذا قلنا بأنّه </w:t>
      </w:r>
      <w:r w:rsidR="00DC6F6D">
        <w:rPr>
          <w:rFonts w:hint="eastAsia"/>
          <w:rtl/>
        </w:rPr>
        <w:t>«</w:t>
      </w:r>
      <w:r w:rsidR="00DC6F6D" w:rsidRPr="00DC6F6D">
        <w:rPr>
          <w:rtl/>
        </w:rPr>
        <w:t>الشيخ المحد</w:t>
      </w:r>
      <w:r w:rsidR="00DC6F6D">
        <w:rPr>
          <w:rFonts w:hint="cs"/>
          <w:rtl/>
        </w:rPr>
        <w:t>ّ</w:t>
      </w:r>
      <w:r w:rsidR="00DC6F6D" w:rsidRPr="00DC6F6D">
        <w:rPr>
          <w:rtl/>
        </w:rPr>
        <w:t>ث الصدوق، أبو الحسن، علي بن العباس بن الوليد</w:t>
      </w:r>
      <w:r w:rsidR="00DC6F6D">
        <w:rPr>
          <w:rFonts w:hint="cs"/>
          <w:rtl/>
        </w:rPr>
        <w:t xml:space="preserve"> </w:t>
      </w:r>
      <w:r w:rsidR="00DC6F6D" w:rsidRPr="00DC6F6D">
        <w:rPr>
          <w:rtl/>
        </w:rPr>
        <w:t>البجلي المقانعي الكوفي</w:t>
      </w:r>
      <w:r w:rsidR="00DC6F6D">
        <w:rPr>
          <w:rFonts w:hint="cs"/>
          <w:rtl/>
        </w:rPr>
        <w:t>»</w:t>
      </w:r>
      <w:r w:rsidR="00DC6F6D" w:rsidRPr="000A4159">
        <w:rPr>
          <w:rFonts w:cs="Taher"/>
          <w:vertAlign w:val="superscript"/>
          <w:rtl/>
        </w:rPr>
        <w:t>(</w:t>
      </w:r>
      <w:r w:rsidR="00DC6F6D" w:rsidRPr="000A4159">
        <w:rPr>
          <w:rStyle w:val="FootnoteReference"/>
          <w:rFonts w:cs="Taher"/>
          <w:rtl/>
        </w:rPr>
        <w:footnoteReference w:id="146"/>
      </w:r>
      <w:r w:rsidR="00DC6F6D" w:rsidRPr="000A4159">
        <w:rPr>
          <w:rFonts w:cs="Taher"/>
          <w:vertAlign w:val="superscript"/>
          <w:rtl/>
        </w:rPr>
        <w:t>)</w:t>
      </w:r>
      <w:r w:rsidR="00DC6F6D" w:rsidRPr="00DC6F6D">
        <w:rPr>
          <w:rtl/>
        </w:rPr>
        <w:t>.</w:t>
      </w:r>
      <w:r w:rsidRPr="00822CE9">
        <w:rPr>
          <w:rFonts w:hint="cs"/>
          <w:rtl/>
        </w:rPr>
        <w:t xml:space="preserve"> و</w:t>
      </w:r>
      <w:r w:rsidR="008C0608">
        <w:rPr>
          <w:rFonts w:hint="cs"/>
          <w:rtl/>
        </w:rPr>
        <w:t xml:space="preserve">كذلك </w:t>
      </w:r>
      <w:r w:rsidRPr="00822CE9">
        <w:rPr>
          <w:rFonts w:hint="cs"/>
          <w:rtl/>
        </w:rPr>
        <w:t>إهمال الحسين بن المفضل العط</w:t>
      </w:r>
      <w:r w:rsidR="008C0608">
        <w:rPr>
          <w:rFonts w:hint="cs"/>
          <w:rtl/>
        </w:rPr>
        <w:t>ّ</w:t>
      </w:r>
      <w:r w:rsidRPr="00822CE9">
        <w:rPr>
          <w:rFonts w:hint="cs"/>
          <w:rtl/>
        </w:rPr>
        <w:t>ار جداً في كتب رجال السنّة والشيعة.</w:t>
      </w:r>
    </w:p>
    <w:p w14:paraId="0E4B5683" w14:textId="77777777" w:rsidR="008C0608" w:rsidRDefault="000A4159" w:rsidP="008C0608">
      <w:pPr>
        <w:spacing w:line="214" w:lineRule="auto"/>
        <w:rPr>
          <w:rtl/>
        </w:rPr>
      </w:pPr>
      <w:r w:rsidRPr="008C0608">
        <w:rPr>
          <w:rFonts w:hint="cs"/>
          <w:b/>
          <w:bCs/>
          <w:rtl/>
        </w:rPr>
        <w:t>الرواية الثالثة: خبر النضر بن قرو</w:t>
      </w:r>
      <w:r w:rsidR="008C0608">
        <w:rPr>
          <w:rFonts w:hint="cs"/>
          <w:b/>
          <w:bCs/>
          <w:rtl/>
        </w:rPr>
        <w:t>ا</w:t>
      </w:r>
      <w:r w:rsidRPr="008C0608">
        <w:rPr>
          <w:rFonts w:hint="cs"/>
          <w:b/>
          <w:bCs/>
          <w:rtl/>
        </w:rPr>
        <w:t xml:space="preserve">ش، </w:t>
      </w:r>
      <w:r w:rsidRPr="00822CE9">
        <w:rPr>
          <w:rFonts w:hint="cs"/>
          <w:rtl/>
        </w:rPr>
        <w:t>قال: أكري</w:t>
      </w:r>
      <w:r w:rsidR="008C0608">
        <w:rPr>
          <w:rFonts w:hint="cs"/>
          <w:rtl/>
        </w:rPr>
        <w:t>تُ</w:t>
      </w:r>
      <w:r w:rsidRPr="00822CE9">
        <w:rPr>
          <w:rFonts w:hint="cs"/>
          <w:rtl/>
        </w:rPr>
        <w:t xml:space="preserve"> جعفر بن محم</w:t>
      </w:r>
      <w:r w:rsidR="008C0608">
        <w:rPr>
          <w:rFonts w:hint="cs"/>
          <w:rtl/>
        </w:rPr>
        <w:t>ّ</w:t>
      </w:r>
      <w:r w:rsidRPr="00822CE9">
        <w:rPr>
          <w:rFonts w:hint="cs"/>
          <w:rtl/>
        </w:rPr>
        <w:t>د من المدينة إلى مك</w:t>
      </w:r>
      <w:r w:rsidR="008C0608">
        <w:rPr>
          <w:rFonts w:hint="cs"/>
          <w:rtl/>
        </w:rPr>
        <w:t>ّ</w:t>
      </w:r>
      <w:r w:rsidRPr="00822CE9">
        <w:rPr>
          <w:rFonts w:hint="cs"/>
          <w:rtl/>
        </w:rPr>
        <w:t xml:space="preserve">ة، فلما ارتحلنا من بطن مرّ، قال لي: </w:t>
      </w:r>
      <w:r w:rsidR="008C0608">
        <w:rPr>
          <w:rFonts w:hint="eastAsia"/>
          <w:rtl/>
        </w:rPr>
        <w:t>«</w:t>
      </w:r>
      <w:r w:rsidRPr="00822CE9">
        <w:rPr>
          <w:rFonts w:hint="cs"/>
          <w:rtl/>
        </w:rPr>
        <w:t>يا نضر</w:t>
      </w:r>
      <w:r w:rsidR="008C0608">
        <w:rPr>
          <w:rFonts w:hint="cs"/>
          <w:rtl/>
        </w:rPr>
        <w:t>،</w:t>
      </w:r>
      <w:r w:rsidRPr="00822CE9">
        <w:rPr>
          <w:rFonts w:hint="cs"/>
          <w:rtl/>
        </w:rPr>
        <w:t xml:space="preserve"> إذا انتهيت إلى فخ</w:t>
      </w:r>
      <w:r w:rsidR="008C0608">
        <w:rPr>
          <w:rFonts w:hint="cs"/>
          <w:rtl/>
        </w:rPr>
        <w:t>ّ</w:t>
      </w:r>
      <w:r w:rsidRPr="00822CE9">
        <w:rPr>
          <w:rFonts w:hint="cs"/>
          <w:rtl/>
        </w:rPr>
        <w:t xml:space="preserve"> فأعلمني..</w:t>
      </w:r>
      <w:r w:rsidR="008C0608">
        <w:rPr>
          <w:rFonts w:hint="eastAsia"/>
          <w:rtl/>
        </w:rPr>
        <w:t>»</w:t>
      </w:r>
      <w:r w:rsidR="00083BA9">
        <w:rPr>
          <w:rFonts w:hint="cs"/>
          <w:rtl/>
        </w:rPr>
        <w:t>..</w:t>
      </w:r>
      <w:r w:rsidRPr="00822CE9">
        <w:rPr>
          <w:rFonts w:hint="cs"/>
          <w:rtl/>
        </w:rPr>
        <w:t xml:space="preserve"> فتوض</w:t>
      </w:r>
      <w:r w:rsidR="008C0608">
        <w:rPr>
          <w:rFonts w:hint="cs"/>
          <w:rtl/>
        </w:rPr>
        <w:t>ّ</w:t>
      </w:r>
      <w:r w:rsidRPr="00822CE9">
        <w:rPr>
          <w:rFonts w:hint="cs"/>
          <w:rtl/>
        </w:rPr>
        <w:t>أ وصلّى ثم ركب، فقلت له: جعلت فداك، رأيت</w:t>
      </w:r>
      <w:r w:rsidR="008C0608">
        <w:rPr>
          <w:rFonts w:hint="cs"/>
          <w:rtl/>
        </w:rPr>
        <w:t>ُ</w:t>
      </w:r>
      <w:r w:rsidR="00083BA9">
        <w:rPr>
          <w:rFonts w:hint="cs"/>
          <w:rtl/>
        </w:rPr>
        <w:t>ك</w:t>
      </w:r>
      <w:r w:rsidRPr="00822CE9">
        <w:rPr>
          <w:rFonts w:hint="cs"/>
          <w:rtl/>
        </w:rPr>
        <w:t xml:space="preserve"> قد ص</w:t>
      </w:r>
      <w:r w:rsidR="008C0608">
        <w:rPr>
          <w:rFonts w:hint="cs"/>
          <w:rtl/>
        </w:rPr>
        <w:t>نعتَ</w:t>
      </w:r>
      <w:r w:rsidRPr="00822CE9">
        <w:rPr>
          <w:rFonts w:hint="cs"/>
          <w:rtl/>
        </w:rPr>
        <w:t xml:space="preserve"> شيئاً</w:t>
      </w:r>
      <w:r w:rsidR="008C0608">
        <w:rPr>
          <w:rFonts w:hint="cs"/>
          <w:rtl/>
        </w:rPr>
        <w:t>،</w:t>
      </w:r>
      <w:r w:rsidRPr="00822CE9">
        <w:rPr>
          <w:rFonts w:hint="cs"/>
          <w:rtl/>
        </w:rPr>
        <w:t xml:space="preserve"> أفهو من مناسك الحج؟ قال: </w:t>
      </w:r>
      <w:r w:rsidR="008C0608">
        <w:rPr>
          <w:rFonts w:hint="eastAsia"/>
          <w:rtl/>
        </w:rPr>
        <w:t>«</w:t>
      </w:r>
      <w:r w:rsidRPr="00822CE9">
        <w:rPr>
          <w:rFonts w:hint="cs"/>
          <w:rtl/>
        </w:rPr>
        <w:t>لا، ولكن ي</w:t>
      </w:r>
      <w:r w:rsidR="008C0608">
        <w:rPr>
          <w:rFonts w:hint="cs"/>
          <w:rtl/>
        </w:rPr>
        <w:t>ُ</w:t>
      </w:r>
      <w:r w:rsidRPr="00822CE9">
        <w:rPr>
          <w:rFonts w:hint="cs"/>
          <w:rtl/>
        </w:rPr>
        <w:t>قتل ها هنا رجل</w:t>
      </w:r>
      <w:r w:rsidR="008C0608">
        <w:rPr>
          <w:rFonts w:hint="cs"/>
          <w:rtl/>
        </w:rPr>
        <w:t>ٌ</w:t>
      </w:r>
      <w:r w:rsidRPr="00822CE9">
        <w:rPr>
          <w:rFonts w:hint="cs"/>
          <w:rtl/>
        </w:rPr>
        <w:t xml:space="preserve"> من أهل بيتي في عصابة تسبق أرواحهم أجسادهم إلى الجن</w:t>
      </w:r>
      <w:r w:rsidR="008C0608">
        <w:rPr>
          <w:rFonts w:hint="cs"/>
          <w:rtl/>
        </w:rPr>
        <w:t>ّ</w:t>
      </w:r>
      <w:r w:rsidRPr="00822CE9">
        <w:rPr>
          <w:rFonts w:hint="cs"/>
          <w:rtl/>
        </w:rPr>
        <w:t>ة»</w:t>
      </w:r>
      <w:r w:rsidRPr="000A4159">
        <w:rPr>
          <w:rFonts w:cs="Taher"/>
          <w:vertAlign w:val="superscript"/>
          <w:rtl/>
        </w:rPr>
        <w:t>(</w:t>
      </w:r>
      <w:r w:rsidRPr="000A4159">
        <w:rPr>
          <w:rStyle w:val="FootnoteReference"/>
          <w:rFonts w:cs="Taher"/>
          <w:rtl/>
        </w:rPr>
        <w:footnoteReference w:id="147"/>
      </w:r>
      <w:r w:rsidRPr="000A4159">
        <w:rPr>
          <w:rFonts w:cs="Taher"/>
          <w:vertAlign w:val="superscript"/>
          <w:rtl/>
        </w:rPr>
        <w:t>)</w:t>
      </w:r>
      <w:r w:rsidRPr="00822CE9">
        <w:rPr>
          <w:rtl/>
        </w:rPr>
        <w:t>.</w:t>
      </w:r>
    </w:p>
    <w:p w14:paraId="7B42917D" w14:textId="77777777" w:rsidR="000A4159" w:rsidRPr="00822CE9" w:rsidRDefault="000A4159" w:rsidP="00A47C06">
      <w:pPr>
        <w:pStyle w:val="normal870"/>
        <w:rPr>
          <w:rtl/>
        </w:rPr>
      </w:pPr>
      <w:r w:rsidRPr="00822CE9">
        <w:rPr>
          <w:rFonts w:hint="cs"/>
          <w:rtl/>
        </w:rPr>
        <w:t>والرواية كالتي سبقتها، لكن</w:t>
      </w:r>
      <w:r w:rsidR="008C0608">
        <w:rPr>
          <w:rFonts w:hint="cs"/>
          <w:rtl/>
        </w:rPr>
        <w:t>ّ</w:t>
      </w:r>
      <w:r w:rsidRPr="00822CE9">
        <w:rPr>
          <w:rFonts w:hint="cs"/>
          <w:rtl/>
        </w:rPr>
        <w:t xml:space="preserve"> السند ضعيف</w:t>
      </w:r>
      <w:r w:rsidR="008C0608">
        <w:rPr>
          <w:rFonts w:hint="cs"/>
          <w:rtl/>
        </w:rPr>
        <w:t>ٌ</w:t>
      </w:r>
      <w:r w:rsidRPr="00822CE9">
        <w:rPr>
          <w:rFonts w:hint="cs"/>
          <w:rtl/>
        </w:rPr>
        <w:t xml:space="preserve"> بالنضر بن قرو</w:t>
      </w:r>
      <w:r w:rsidR="008C0608">
        <w:rPr>
          <w:rFonts w:hint="cs"/>
          <w:rtl/>
        </w:rPr>
        <w:t>ا</w:t>
      </w:r>
      <w:r w:rsidRPr="00822CE9">
        <w:rPr>
          <w:rFonts w:hint="cs"/>
          <w:rtl/>
        </w:rPr>
        <w:t>ش (قراوش)، فهو مجهول</w:t>
      </w:r>
      <w:r w:rsidRPr="000A4159">
        <w:rPr>
          <w:rFonts w:cs="Taher"/>
          <w:vertAlign w:val="superscript"/>
          <w:rtl/>
        </w:rPr>
        <w:t>(</w:t>
      </w:r>
      <w:r w:rsidRPr="000A4159">
        <w:rPr>
          <w:rStyle w:val="FootnoteReference"/>
          <w:rFonts w:cs="Taher"/>
          <w:rtl/>
        </w:rPr>
        <w:footnoteReference w:id="148"/>
      </w:r>
      <w:r w:rsidRPr="000A4159">
        <w:rPr>
          <w:rFonts w:cs="Taher"/>
          <w:vertAlign w:val="superscript"/>
          <w:rtl/>
        </w:rPr>
        <w:t>)</w:t>
      </w:r>
      <w:r w:rsidRPr="00822CE9">
        <w:rPr>
          <w:rtl/>
        </w:rPr>
        <w:t xml:space="preserve">، </w:t>
      </w:r>
      <w:r w:rsidRPr="00822CE9">
        <w:rPr>
          <w:rFonts w:hint="cs"/>
          <w:rtl/>
        </w:rPr>
        <w:t xml:space="preserve">والظاهر عدم وجود اسم </w:t>
      </w:r>
      <w:r w:rsidR="008C0608">
        <w:rPr>
          <w:rFonts w:hint="cs"/>
          <w:rtl/>
        </w:rPr>
        <w:t xml:space="preserve">هذا </w:t>
      </w:r>
      <w:r w:rsidRPr="00822CE9">
        <w:rPr>
          <w:rFonts w:hint="cs"/>
          <w:rtl/>
        </w:rPr>
        <w:t>الرجل عند أهل السن</w:t>
      </w:r>
      <w:r w:rsidR="008C0608">
        <w:rPr>
          <w:rFonts w:hint="cs"/>
          <w:rtl/>
        </w:rPr>
        <w:t>ّ</w:t>
      </w:r>
      <w:r w:rsidRPr="00822CE9">
        <w:rPr>
          <w:rFonts w:hint="cs"/>
          <w:rtl/>
        </w:rPr>
        <w:t>ة</w:t>
      </w:r>
      <w:r w:rsidR="008C0608">
        <w:rPr>
          <w:rFonts w:hint="cs"/>
          <w:rtl/>
        </w:rPr>
        <w:t>،</w:t>
      </w:r>
      <w:r w:rsidRPr="00822CE9">
        <w:rPr>
          <w:rFonts w:hint="cs"/>
          <w:rtl/>
        </w:rPr>
        <w:t xml:space="preserve"> لا في كتب الحديث ولا الرجال ولا التاريخ</w:t>
      </w:r>
      <w:r w:rsidR="008C0608">
        <w:rPr>
          <w:rFonts w:hint="cs"/>
          <w:rtl/>
        </w:rPr>
        <w:t>،</w:t>
      </w:r>
      <w:r w:rsidRPr="00822CE9">
        <w:rPr>
          <w:rFonts w:hint="cs"/>
          <w:rtl/>
        </w:rPr>
        <w:t xml:space="preserve"> مما يزيد في مجهولي</w:t>
      </w:r>
      <w:r w:rsidR="008C0608">
        <w:rPr>
          <w:rFonts w:hint="cs"/>
          <w:rtl/>
        </w:rPr>
        <w:t>ّ</w:t>
      </w:r>
      <w:r w:rsidRPr="00822CE9">
        <w:rPr>
          <w:rFonts w:hint="cs"/>
          <w:rtl/>
        </w:rPr>
        <w:t xml:space="preserve">ته، </w:t>
      </w:r>
      <w:r w:rsidR="00DC6F6D">
        <w:rPr>
          <w:rFonts w:hint="cs"/>
          <w:rtl/>
        </w:rPr>
        <w:t xml:space="preserve">ويبدو أنّه الجمّال، </w:t>
      </w:r>
      <w:r w:rsidRPr="00822CE9">
        <w:rPr>
          <w:rFonts w:hint="cs"/>
          <w:rtl/>
        </w:rPr>
        <w:t>فالسند ضعيف.</w:t>
      </w:r>
    </w:p>
    <w:p w14:paraId="43D46790" w14:textId="77777777" w:rsidR="000A4159" w:rsidRPr="00822CE9" w:rsidRDefault="008C0608" w:rsidP="008C0608">
      <w:pPr>
        <w:spacing w:line="214" w:lineRule="auto"/>
        <w:rPr>
          <w:rtl/>
        </w:rPr>
      </w:pPr>
      <w:r w:rsidRPr="008C0608">
        <w:rPr>
          <w:rFonts w:hint="cs"/>
          <w:b/>
          <w:bCs/>
          <w:rtl/>
        </w:rPr>
        <w:t>ويس</w:t>
      </w:r>
      <w:r w:rsidR="000A4159" w:rsidRPr="008C0608">
        <w:rPr>
          <w:rFonts w:hint="cs"/>
          <w:b/>
          <w:bCs/>
          <w:rtl/>
        </w:rPr>
        <w:t>ج</w:t>
      </w:r>
      <w:r w:rsidRPr="008C0608">
        <w:rPr>
          <w:rFonts w:hint="cs"/>
          <w:b/>
          <w:bCs/>
          <w:rtl/>
        </w:rPr>
        <w:t>ّ</w:t>
      </w:r>
      <w:r w:rsidR="000A4159" w:rsidRPr="008C0608">
        <w:rPr>
          <w:rFonts w:hint="cs"/>
          <w:b/>
          <w:bCs/>
          <w:rtl/>
        </w:rPr>
        <w:t>ل على هذه الروايات الثلاث</w:t>
      </w:r>
      <w:r w:rsidR="000A4159" w:rsidRPr="00822CE9">
        <w:rPr>
          <w:rFonts w:hint="cs"/>
          <w:rtl/>
        </w:rPr>
        <w:t xml:space="preserve"> أن</w:t>
      </w:r>
      <w:r>
        <w:rPr>
          <w:rFonts w:hint="cs"/>
          <w:rtl/>
        </w:rPr>
        <w:t>ّ</w:t>
      </w:r>
      <w:r w:rsidR="000A4159" w:rsidRPr="00822CE9">
        <w:rPr>
          <w:rFonts w:hint="cs"/>
          <w:rtl/>
        </w:rPr>
        <w:t>ها لم تذكر صاحب فخ</w:t>
      </w:r>
      <w:r>
        <w:rPr>
          <w:rFonts w:hint="cs"/>
          <w:rtl/>
        </w:rPr>
        <w:t>ّ،</w:t>
      </w:r>
      <w:r w:rsidR="000A4159" w:rsidRPr="00822CE9">
        <w:rPr>
          <w:rFonts w:hint="cs"/>
          <w:rtl/>
        </w:rPr>
        <w:t xml:space="preserve"> وإن</w:t>
      </w:r>
      <w:r>
        <w:rPr>
          <w:rFonts w:hint="cs"/>
          <w:rtl/>
        </w:rPr>
        <w:t>ّ</w:t>
      </w:r>
      <w:r w:rsidR="000A4159" w:rsidRPr="00822CE9">
        <w:rPr>
          <w:rFonts w:hint="cs"/>
          <w:rtl/>
        </w:rPr>
        <w:t xml:space="preserve">ما أطلقت عنواناً قمنا </w:t>
      </w:r>
      <w:r>
        <w:rPr>
          <w:rFonts w:hint="cs"/>
          <w:rtl/>
        </w:rPr>
        <w:t xml:space="preserve">نحن </w:t>
      </w:r>
      <w:r w:rsidR="000A4159" w:rsidRPr="00822CE9">
        <w:rPr>
          <w:rFonts w:hint="cs"/>
          <w:rtl/>
        </w:rPr>
        <w:t>بتطبيقه عليه، ولعلّ نظر الرواية إلى شخص</w:t>
      </w:r>
      <w:r>
        <w:rPr>
          <w:rFonts w:hint="cs"/>
          <w:rtl/>
        </w:rPr>
        <w:t>ٍ</w:t>
      </w:r>
      <w:r w:rsidR="000A4159" w:rsidRPr="00822CE9">
        <w:rPr>
          <w:rFonts w:hint="cs"/>
          <w:rtl/>
        </w:rPr>
        <w:t xml:space="preserve"> آخر سيأتي، فالتطبيق بهذا الشكل إن</w:t>
      </w:r>
      <w:r>
        <w:rPr>
          <w:rFonts w:hint="cs"/>
          <w:rtl/>
        </w:rPr>
        <w:t>ّ</w:t>
      </w:r>
      <w:r w:rsidR="000A4159" w:rsidRPr="00822CE9">
        <w:rPr>
          <w:rFonts w:hint="cs"/>
          <w:rtl/>
        </w:rPr>
        <w:t>ما كان سببه الاستئناس</w:t>
      </w:r>
      <w:r>
        <w:rPr>
          <w:rFonts w:hint="cs"/>
          <w:rtl/>
        </w:rPr>
        <w:t xml:space="preserve">، دون </w:t>
      </w:r>
      <w:r w:rsidR="000A4159" w:rsidRPr="00822CE9">
        <w:rPr>
          <w:rFonts w:hint="cs"/>
          <w:rtl/>
        </w:rPr>
        <w:t>الدليل والبرهان.</w:t>
      </w:r>
    </w:p>
    <w:p w14:paraId="4695E298" w14:textId="77777777" w:rsidR="000A4159" w:rsidRPr="00822CE9" w:rsidRDefault="000A4159" w:rsidP="008C0608">
      <w:pPr>
        <w:spacing w:line="214" w:lineRule="auto"/>
        <w:rPr>
          <w:rtl/>
        </w:rPr>
      </w:pPr>
      <w:r w:rsidRPr="008C0608">
        <w:rPr>
          <w:rFonts w:hint="cs"/>
          <w:b/>
          <w:bCs/>
          <w:rtl/>
        </w:rPr>
        <w:t>الرواية الرابعة: خبر إبراهيم بن إسحاق القط</w:t>
      </w:r>
      <w:r w:rsidR="008C0608">
        <w:rPr>
          <w:rFonts w:hint="cs"/>
          <w:b/>
          <w:bCs/>
          <w:rtl/>
        </w:rPr>
        <w:t>ّ</w:t>
      </w:r>
      <w:r w:rsidRPr="008C0608">
        <w:rPr>
          <w:rFonts w:hint="cs"/>
          <w:b/>
          <w:bCs/>
          <w:rtl/>
        </w:rPr>
        <w:t>ان،</w:t>
      </w:r>
      <w:r w:rsidRPr="00822CE9">
        <w:rPr>
          <w:rFonts w:hint="cs"/>
          <w:rtl/>
        </w:rPr>
        <w:t xml:space="preserve"> قال</w:t>
      </w:r>
      <w:r w:rsidR="008C0608">
        <w:rPr>
          <w:rFonts w:hint="cs"/>
          <w:rtl/>
        </w:rPr>
        <w:t>:</w:t>
      </w:r>
      <w:r w:rsidRPr="00822CE9">
        <w:rPr>
          <w:rFonts w:hint="cs"/>
          <w:rtl/>
        </w:rPr>
        <w:t xml:space="preserve"> سمعت الحسين بن علي (شهيد فخ</w:t>
      </w:r>
      <w:r w:rsidR="008C0608">
        <w:rPr>
          <w:rFonts w:hint="cs"/>
          <w:rtl/>
        </w:rPr>
        <w:t>ّ</w:t>
      </w:r>
      <w:r w:rsidRPr="00822CE9">
        <w:rPr>
          <w:rFonts w:hint="cs"/>
          <w:rtl/>
        </w:rPr>
        <w:t>) و</w:t>
      </w:r>
      <w:r w:rsidR="008C0608">
        <w:rPr>
          <w:rFonts w:hint="cs"/>
          <w:rtl/>
        </w:rPr>
        <w:t xml:space="preserve">يحيى </w:t>
      </w:r>
      <w:r w:rsidRPr="00822CE9">
        <w:rPr>
          <w:rFonts w:hint="cs"/>
          <w:rtl/>
        </w:rPr>
        <w:t xml:space="preserve">بن عبد الله يقولان: </w:t>
      </w:r>
      <w:r w:rsidR="008C0608">
        <w:rPr>
          <w:rFonts w:hint="eastAsia"/>
          <w:rtl/>
        </w:rPr>
        <w:t>«</w:t>
      </w:r>
      <w:r w:rsidRPr="00822CE9">
        <w:rPr>
          <w:rFonts w:hint="cs"/>
          <w:rtl/>
        </w:rPr>
        <w:t>ما خرجنا حتى شاورنا أهل بيتنا، وشاورنا موسى بن جعفر، فأمرونا بالخروج</w:t>
      </w:r>
      <w:r w:rsidR="008C0608">
        <w:rPr>
          <w:rFonts w:hint="eastAsia"/>
          <w:rtl/>
        </w:rPr>
        <w:t>»</w:t>
      </w:r>
      <w:r w:rsidRPr="000A4159">
        <w:rPr>
          <w:rFonts w:cs="Taher"/>
          <w:vertAlign w:val="superscript"/>
          <w:rtl/>
        </w:rPr>
        <w:t>(</w:t>
      </w:r>
      <w:r w:rsidRPr="000A4159">
        <w:rPr>
          <w:rStyle w:val="FootnoteReference"/>
          <w:rFonts w:cs="Taher"/>
          <w:rtl/>
        </w:rPr>
        <w:footnoteReference w:id="149"/>
      </w:r>
      <w:r w:rsidRPr="000A4159">
        <w:rPr>
          <w:rFonts w:cs="Taher"/>
          <w:vertAlign w:val="superscript"/>
          <w:rtl/>
        </w:rPr>
        <w:t>)</w:t>
      </w:r>
      <w:r w:rsidRPr="00822CE9">
        <w:rPr>
          <w:rtl/>
        </w:rPr>
        <w:t>.</w:t>
      </w:r>
    </w:p>
    <w:p w14:paraId="7F22AE8B" w14:textId="77777777" w:rsidR="000A4159" w:rsidRPr="00822CE9" w:rsidRDefault="000A4159" w:rsidP="00FC2984">
      <w:pPr>
        <w:spacing w:line="214" w:lineRule="auto"/>
        <w:rPr>
          <w:rtl/>
        </w:rPr>
      </w:pPr>
      <w:r w:rsidRPr="00822CE9">
        <w:rPr>
          <w:rFonts w:hint="cs"/>
          <w:rtl/>
        </w:rPr>
        <w:t>وهذه الرواية صريحة في إذن الإمام الكاظم لشهيد فخ</w:t>
      </w:r>
      <w:r w:rsidR="00FC2984">
        <w:rPr>
          <w:rFonts w:hint="cs"/>
          <w:rtl/>
        </w:rPr>
        <w:t>ّ</w:t>
      </w:r>
      <w:r w:rsidRPr="00822CE9">
        <w:rPr>
          <w:rFonts w:hint="cs"/>
          <w:rtl/>
        </w:rPr>
        <w:t xml:space="preserve"> بالخروج، لكن</w:t>
      </w:r>
      <w:r w:rsidR="00FC2984">
        <w:rPr>
          <w:rFonts w:hint="cs"/>
          <w:rtl/>
        </w:rPr>
        <w:t>ّ</w:t>
      </w:r>
      <w:r w:rsidRPr="00822CE9">
        <w:rPr>
          <w:rFonts w:hint="cs"/>
          <w:rtl/>
        </w:rPr>
        <w:t xml:space="preserve">ها في غاية الضعف </w:t>
      </w:r>
      <w:r w:rsidRPr="00822CE9">
        <w:rPr>
          <w:rFonts w:hint="cs"/>
          <w:rtl/>
        </w:rPr>
        <w:lastRenderedPageBreak/>
        <w:t>سندي</w:t>
      </w:r>
      <w:r w:rsidR="00FC2984">
        <w:rPr>
          <w:rFonts w:hint="cs"/>
          <w:rtl/>
        </w:rPr>
        <w:t>ّ</w:t>
      </w:r>
      <w:r w:rsidRPr="00822CE9">
        <w:rPr>
          <w:rFonts w:hint="cs"/>
          <w:rtl/>
        </w:rPr>
        <w:t>اً؛ فأحمد بن كثير الذهبي في غاية الإهمال، ولعلّه ليست له سوى هذه الرواية في تراث المسلمين، كما يظهر بالمراجعة، وهكذا الحال في إبراهيم بن إسحاق القط</w:t>
      </w:r>
      <w:r w:rsidR="00FC2984">
        <w:rPr>
          <w:rFonts w:hint="cs"/>
          <w:rtl/>
        </w:rPr>
        <w:t>ّ</w:t>
      </w:r>
      <w:r w:rsidRPr="00822CE9">
        <w:rPr>
          <w:rFonts w:hint="cs"/>
          <w:rtl/>
        </w:rPr>
        <w:t>ان الوارد في سند</w:t>
      </w:r>
      <w:r w:rsidR="00FC2984">
        <w:rPr>
          <w:rFonts w:hint="cs"/>
          <w:rtl/>
        </w:rPr>
        <w:t xml:space="preserve">ها </w:t>
      </w:r>
      <w:r w:rsidRPr="00822CE9">
        <w:rPr>
          <w:rFonts w:hint="cs"/>
          <w:rtl/>
        </w:rPr>
        <w:t>أيضاً.</w:t>
      </w:r>
    </w:p>
    <w:p w14:paraId="708EF5B7" w14:textId="77777777" w:rsidR="000A4159" w:rsidRPr="00822CE9" w:rsidRDefault="000A4159" w:rsidP="00FC2984">
      <w:pPr>
        <w:spacing w:line="214" w:lineRule="auto"/>
        <w:rPr>
          <w:rtl/>
        </w:rPr>
      </w:pPr>
      <w:r w:rsidRPr="00FC2984">
        <w:rPr>
          <w:rFonts w:hint="cs"/>
          <w:b/>
          <w:bCs/>
          <w:rtl/>
        </w:rPr>
        <w:t>الرواية الخامسة: ما رواه جم</w:t>
      </w:r>
      <w:r w:rsidR="00FC2984">
        <w:rPr>
          <w:rFonts w:hint="cs"/>
          <w:b/>
          <w:bCs/>
          <w:rtl/>
        </w:rPr>
        <w:t xml:space="preserve">عٌ، </w:t>
      </w:r>
      <w:r w:rsidRPr="00822CE9">
        <w:rPr>
          <w:rFonts w:hint="cs"/>
          <w:rtl/>
        </w:rPr>
        <w:t>قالوا: جاء الجند بالرؤوس إلى موسى والعباس، وعندهم جماعة من ولد الحسن والحسين</w:t>
      </w:r>
      <w:r w:rsidR="00FC2984">
        <w:rPr>
          <w:rFonts w:hint="cs"/>
          <w:rtl/>
        </w:rPr>
        <w:t xml:space="preserve"> عليهما السلام</w:t>
      </w:r>
      <w:r w:rsidRPr="00822CE9">
        <w:rPr>
          <w:rFonts w:hint="cs"/>
          <w:rtl/>
        </w:rPr>
        <w:t>، فلم يتكلّم أحد</w:t>
      </w:r>
      <w:r w:rsidR="00FC2984">
        <w:rPr>
          <w:rFonts w:hint="cs"/>
          <w:rtl/>
        </w:rPr>
        <w:t>ٌ منهم بشيء إلا</w:t>
      </w:r>
      <w:r w:rsidRPr="00822CE9">
        <w:rPr>
          <w:rFonts w:hint="cs"/>
          <w:rtl/>
        </w:rPr>
        <w:t xml:space="preserve"> موسى بن جعفر، فقال له: هذا رأس الحسين. قال: «نعم، إن</w:t>
      </w:r>
      <w:r w:rsidR="00FC2984">
        <w:rPr>
          <w:rFonts w:hint="cs"/>
          <w:rtl/>
        </w:rPr>
        <w:t>ّ</w:t>
      </w:r>
      <w:r w:rsidRPr="00822CE9">
        <w:rPr>
          <w:rFonts w:hint="cs"/>
          <w:rtl/>
        </w:rPr>
        <w:t>ا لله وإن</w:t>
      </w:r>
      <w:r w:rsidR="00FC2984">
        <w:rPr>
          <w:rFonts w:hint="cs"/>
          <w:rtl/>
        </w:rPr>
        <w:t>ّ</w:t>
      </w:r>
      <w:r w:rsidRPr="00822CE9">
        <w:rPr>
          <w:rFonts w:hint="cs"/>
          <w:rtl/>
        </w:rPr>
        <w:t>ا إليه راجعون، مضى والله مسلماً صالحاً صو</w:t>
      </w:r>
      <w:r w:rsidR="00FC2984">
        <w:rPr>
          <w:rFonts w:hint="cs"/>
          <w:rtl/>
        </w:rPr>
        <w:t>ّ</w:t>
      </w:r>
      <w:r w:rsidRPr="00822CE9">
        <w:rPr>
          <w:rFonts w:hint="cs"/>
          <w:rtl/>
        </w:rPr>
        <w:t>اماً قو</w:t>
      </w:r>
      <w:r w:rsidR="00FC2984">
        <w:rPr>
          <w:rFonts w:hint="cs"/>
          <w:rtl/>
        </w:rPr>
        <w:t>ّ</w:t>
      </w:r>
      <w:r w:rsidRPr="00822CE9">
        <w:rPr>
          <w:rFonts w:hint="cs"/>
          <w:rtl/>
        </w:rPr>
        <w:t>اماً، آمراً بالمعرو</w:t>
      </w:r>
      <w:r w:rsidR="00FC2984">
        <w:rPr>
          <w:rFonts w:hint="cs"/>
          <w:rtl/>
        </w:rPr>
        <w:t>ف، ناهياً عن المنكر، ما كان في أ</w:t>
      </w:r>
      <w:r w:rsidRPr="00822CE9">
        <w:rPr>
          <w:rFonts w:hint="cs"/>
          <w:rtl/>
        </w:rPr>
        <w:t>هل بيته مثله»، فلم يجيبوه بشيء</w:t>
      </w:r>
      <w:r w:rsidRPr="000A4159">
        <w:rPr>
          <w:rFonts w:cs="Taher"/>
          <w:vertAlign w:val="superscript"/>
          <w:rtl/>
        </w:rPr>
        <w:t>(</w:t>
      </w:r>
      <w:r w:rsidRPr="000A4159">
        <w:rPr>
          <w:rStyle w:val="FootnoteReference"/>
          <w:rFonts w:cs="Taher"/>
          <w:rtl/>
        </w:rPr>
        <w:footnoteReference w:id="150"/>
      </w:r>
      <w:r w:rsidRPr="000A4159">
        <w:rPr>
          <w:rFonts w:cs="Taher"/>
          <w:vertAlign w:val="superscript"/>
          <w:rtl/>
        </w:rPr>
        <w:t>)</w:t>
      </w:r>
      <w:r w:rsidRPr="00822CE9">
        <w:rPr>
          <w:rtl/>
        </w:rPr>
        <w:t>.</w:t>
      </w:r>
    </w:p>
    <w:p w14:paraId="37756AFC" w14:textId="77777777" w:rsidR="000A4159" w:rsidRPr="00822CE9" w:rsidRDefault="000A4159" w:rsidP="00FC2984">
      <w:pPr>
        <w:spacing w:line="214" w:lineRule="auto"/>
        <w:rPr>
          <w:rtl/>
        </w:rPr>
      </w:pPr>
      <w:r w:rsidRPr="00822CE9">
        <w:rPr>
          <w:rFonts w:hint="cs"/>
          <w:rtl/>
        </w:rPr>
        <w:t>والرواية فيها مدح</w:t>
      </w:r>
      <w:r w:rsidR="00FC2984">
        <w:rPr>
          <w:rFonts w:hint="cs"/>
          <w:rtl/>
        </w:rPr>
        <w:t>ٌ</w:t>
      </w:r>
      <w:r w:rsidRPr="00822CE9">
        <w:rPr>
          <w:rFonts w:hint="cs"/>
          <w:rtl/>
        </w:rPr>
        <w:t xml:space="preserve"> للرجل، لكن</w:t>
      </w:r>
      <w:r w:rsidR="00FC2984">
        <w:rPr>
          <w:rFonts w:hint="cs"/>
          <w:rtl/>
        </w:rPr>
        <w:t>ّ</w:t>
      </w:r>
      <w:r w:rsidRPr="00822CE9">
        <w:rPr>
          <w:rFonts w:hint="cs"/>
          <w:rtl/>
        </w:rPr>
        <w:t>ها غير ظاهرة في تأييد حركته بالمعنى السيا</w:t>
      </w:r>
      <w:r w:rsidR="00FC2984">
        <w:rPr>
          <w:rFonts w:hint="cs"/>
          <w:rtl/>
        </w:rPr>
        <w:t>سي؛</w:t>
      </w:r>
      <w:r w:rsidRPr="00822CE9">
        <w:rPr>
          <w:rFonts w:hint="cs"/>
          <w:rtl/>
        </w:rPr>
        <w:t xml:space="preserve"> لصدورها في محضر الزعماء العباسي</w:t>
      </w:r>
      <w:r w:rsidR="00FC2984">
        <w:rPr>
          <w:rFonts w:hint="cs"/>
          <w:rtl/>
        </w:rPr>
        <w:t>ّ</w:t>
      </w:r>
      <w:r w:rsidRPr="00822CE9">
        <w:rPr>
          <w:rFonts w:hint="cs"/>
          <w:rtl/>
        </w:rPr>
        <w:t>ين، فحتى لو كان الإمام غير موافق على الثورة، بل رآها خطأ واشتباهاً، ما كان يصحّ ـ إلا تقيةً ـ أن يذم</w:t>
      </w:r>
      <w:r w:rsidR="00FC2984">
        <w:rPr>
          <w:rFonts w:hint="cs"/>
          <w:rtl/>
        </w:rPr>
        <w:t>ّ</w:t>
      </w:r>
      <w:r w:rsidRPr="00822CE9">
        <w:rPr>
          <w:rFonts w:hint="cs"/>
          <w:rtl/>
        </w:rPr>
        <w:t xml:space="preserve"> الرجل أمامهم، بل كان من الطبيعي أن يمتدحه في شخصه ويثني عليه، بغية تقر</w:t>
      </w:r>
      <w:r w:rsidR="00FC2984">
        <w:rPr>
          <w:rFonts w:hint="cs"/>
          <w:rtl/>
        </w:rPr>
        <w:t>ي</w:t>
      </w:r>
      <w:r w:rsidRPr="00822CE9">
        <w:rPr>
          <w:rFonts w:hint="cs"/>
          <w:rtl/>
        </w:rPr>
        <w:t>عهم وذم</w:t>
      </w:r>
      <w:r w:rsidR="00FC2984">
        <w:rPr>
          <w:rFonts w:hint="cs"/>
          <w:rtl/>
        </w:rPr>
        <w:t>ّ</w:t>
      </w:r>
      <w:r w:rsidRPr="00822CE9">
        <w:rPr>
          <w:rFonts w:hint="cs"/>
          <w:rtl/>
        </w:rPr>
        <w:t>هم على ما فعلوه به وبأصحابه، فلا يلوح لنا موقف صريح من الثورة عبر هذا النص</w:t>
      </w:r>
      <w:r w:rsidR="00FC2984">
        <w:rPr>
          <w:rFonts w:hint="cs"/>
          <w:rtl/>
        </w:rPr>
        <w:t>ّ</w:t>
      </w:r>
      <w:r w:rsidR="0098558F">
        <w:rPr>
          <w:rFonts w:hint="cs"/>
          <w:rtl/>
        </w:rPr>
        <w:t>، إلا على تقدير فهم ذلك من عبارة الأمر بالمعروف والنهي عن المنكر</w:t>
      </w:r>
      <w:r w:rsidRPr="00822CE9">
        <w:rPr>
          <w:rFonts w:hint="cs"/>
          <w:rtl/>
        </w:rPr>
        <w:t>.</w:t>
      </w:r>
    </w:p>
    <w:p w14:paraId="2E9628FA" w14:textId="77777777" w:rsidR="000A4159" w:rsidRDefault="00FC2984" w:rsidP="00A8364A">
      <w:pPr>
        <w:spacing w:line="214" w:lineRule="auto"/>
        <w:rPr>
          <w:rtl/>
        </w:rPr>
      </w:pPr>
      <w:r>
        <w:rPr>
          <w:rFonts w:hint="cs"/>
          <w:rtl/>
        </w:rPr>
        <w:t xml:space="preserve">هذا إضافةً </w:t>
      </w:r>
      <w:r w:rsidR="0098558F">
        <w:rPr>
          <w:rFonts w:hint="cs"/>
          <w:rtl/>
        </w:rPr>
        <w:t>إ</w:t>
      </w:r>
      <w:r w:rsidR="000A4159" w:rsidRPr="00822CE9">
        <w:rPr>
          <w:rFonts w:hint="cs"/>
          <w:rtl/>
        </w:rPr>
        <w:t xml:space="preserve">لى ضعف السند </w:t>
      </w:r>
      <w:r w:rsidR="00A8364A">
        <w:rPr>
          <w:rFonts w:hint="cs"/>
          <w:rtl/>
        </w:rPr>
        <w:t>ـ في أ</w:t>
      </w:r>
      <w:r w:rsidR="00A8364A" w:rsidRPr="00822CE9">
        <w:rPr>
          <w:rFonts w:hint="cs"/>
          <w:rtl/>
        </w:rPr>
        <w:t xml:space="preserve">حد الطرق </w:t>
      </w:r>
      <w:r w:rsidR="00A8364A">
        <w:rPr>
          <w:rFonts w:hint="cs"/>
          <w:rtl/>
        </w:rPr>
        <w:t xml:space="preserve">ـ </w:t>
      </w:r>
      <w:r w:rsidR="000A4159" w:rsidRPr="00822CE9">
        <w:rPr>
          <w:rFonts w:hint="cs"/>
          <w:rtl/>
        </w:rPr>
        <w:t>ب</w:t>
      </w:r>
      <w:r>
        <w:rPr>
          <w:rFonts w:hint="cs"/>
          <w:rtl/>
        </w:rPr>
        <w:t xml:space="preserve">المقانعي المجهول </w:t>
      </w:r>
      <w:r w:rsidR="00A8364A">
        <w:rPr>
          <w:rFonts w:hint="cs"/>
          <w:rtl/>
        </w:rPr>
        <w:t>على تقدير</w:t>
      </w:r>
      <w:r>
        <w:rPr>
          <w:rFonts w:hint="cs"/>
          <w:rtl/>
        </w:rPr>
        <w:t>،</w:t>
      </w:r>
      <w:r w:rsidR="000A4159" w:rsidRPr="00822CE9">
        <w:rPr>
          <w:rFonts w:hint="cs"/>
          <w:rtl/>
        </w:rPr>
        <w:t xml:space="preserve"> مضافاً إلى أن</w:t>
      </w:r>
      <w:r>
        <w:rPr>
          <w:rFonts w:hint="cs"/>
          <w:rtl/>
        </w:rPr>
        <w:t>ّ</w:t>
      </w:r>
      <w:r w:rsidR="000A4159" w:rsidRPr="00822CE9">
        <w:rPr>
          <w:rFonts w:hint="cs"/>
          <w:rtl/>
        </w:rPr>
        <w:t xml:space="preserve"> أبا الفرج الإصفهاني روى سيرة شهادة شهيد فخ</w:t>
      </w:r>
      <w:r>
        <w:rPr>
          <w:rFonts w:hint="cs"/>
          <w:rtl/>
        </w:rPr>
        <w:t>ّ</w:t>
      </w:r>
      <w:r w:rsidR="000A4159" w:rsidRPr="00822CE9">
        <w:rPr>
          <w:rFonts w:hint="cs"/>
          <w:rtl/>
        </w:rPr>
        <w:t xml:space="preserve"> هنا عبر ضم</w:t>
      </w:r>
      <w:r>
        <w:rPr>
          <w:rFonts w:hint="cs"/>
          <w:rtl/>
        </w:rPr>
        <w:t>ّ</w:t>
      </w:r>
      <w:r w:rsidR="000A4159" w:rsidRPr="00822CE9">
        <w:rPr>
          <w:rFonts w:hint="cs"/>
          <w:rtl/>
        </w:rPr>
        <w:t xml:space="preserve"> طرق إلى بعضها، مشيراً إلى وجود </w:t>
      </w:r>
      <w:r>
        <w:rPr>
          <w:rFonts w:hint="cs"/>
          <w:rtl/>
        </w:rPr>
        <w:t>كلامٍ رواه أحد الرواة دون البقيّة فيدمجه، ومعه يصعب أن نعلم أنّ هذا ال</w:t>
      </w:r>
      <w:r w:rsidR="000A4159" w:rsidRPr="00822CE9">
        <w:rPr>
          <w:rFonts w:hint="cs"/>
          <w:rtl/>
        </w:rPr>
        <w:t xml:space="preserve">مقطع ـ موضع الشاهد ـ ما هو الطريق إليه، </w:t>
      </w:r>
      <w:r>
        <w:rPr>
          <w:rFonts w:hint="cs"/>
          <w:rtl/>
        </w:rPr>
        <w:t xml:space="preserve">ولا </w:t>
      </w:r>
      <w:r w:rsidR="000A4159" w:rsidRPr="00822CE9">
        <w:rPr>
          <w:rFonts w:hint="cs"/>
          <w:rtl/>
        </w:rPr>
        <w:t xml:space="preserve">سيما </w:t>
      </w:r>
      <w:r>
        <w:rPr>
          <w:rFonts w:hint="cs"/>
          <w:rtl/>
        </w:rPr>
        <w:t xml:space="preserve">أنّ </w:t>
      </w:r>
      <w:r w:rsidR="000A4159" w:rsidRPr="00822CE9">
        <w:rPr>
          <w:rFonts w:hint="cs"/>
          <w:rtl/>
        </w:rPr>
        <w:t>هناك العديد من المجاهيل في الأسانيد.</w:t>
      </w:r>
    </w:p>
    <w:p w14:paraId="51AEDA15" w14:textId="77777777" w:rsidR="00A8364A" w:rsidRPr="00A8364A" w:rsidRDefault="00A8364A" w:rsidP="0096148C">
      <w:pPr>
        <w:pStyle w:val="Heading2"/>
        <w:rPr>
          <w:rtl/>
        </w:rPr>
      </w:pPr>
      <w:bookmarkStart w:id="74" w:name="_Toc143804127"/>
      <w:bookmarkStart w:id="75" w:name="_Toc238123252"/>
      <w:r>
        <w:rPr>
          <w:rFonts w:hint="cs"/>
          <w:rtl/>
        </w:rPr>
        <w:t xml:space="preserve">عناصر </w:t>
      </w:r>
      <w:r w:rsidRPr="00A8364A">
        <w:rPr>
          <w:rFonts w:hint="cs"/>
          <w:rtl/>
        </w:rPr>
        <w:t xml:space="preserve">التشكيك في موقف أهل البيت ـ إماميّاً ـ </w:t>
      </w:r>
      <w:r>
        <w:rPr>
          <w:rFonts w:hint="cs"/>
          <w:rtl/>
        </w:rPr>
        <w:t xml:space="preserve">من </w:t>
      </w:r>
      <w:r w:rsidRPr="00A8364A">
        <w:rPr>
          <w:rFonts w:hint="cs"/>
          <w:rtl/>
        </w:rPr>
        <w:t>حركة صاحب فخّ</w:t>
      </w:r>
      <w:bookmarkEnd w:id="74"/>
      <w:bookmarkEnd w:id="75"/>
    </w:p>
    <w:p w14:paraId="3BF13A9C" w14:textId="77777777" w:rsidR="000A4159" w:rsidRPr="00822CE9" w:rsidRDefault="00EE789A" w:rsidP="00EE789A">
      <w:pPr>
        <w:spacing w:line="214" w:lineRule="auto"/>
        <w:rPr>
          <w:rtl/>
        </w:rPr>
      </w:pPr>
      <w:r>
        <w:rPr>
          <w:rFonts w:hint="cs"/>
          <w:rtl/>
        </w:rPr>
        <w:t xml:space="preserve">نستنتج مما تقدّم أنّ </w:t>
      </w:r>
      <w:r w:rsidR="000A4159" w:rsidRPr="00822CE9">
        <w:rPr>
          <w:rFonts w:hint="cs"/>
          <w:rtl/>
        </w:rPr>
        <w:t>جميع الروايات الواردة في مدح</w:t>
      </w:r>
      <w:r w:rsidR="00FC2984">
        <w:rPr>
          <w:rFonts w:hint="cs"/>
          <w:rtl/>
        </w:rPr>
        <w:t xml:space="preserve"> شهيد فخّ</w:t>
      </w:r>
      <w:r w:rsidR="000A4159" w:rsidRPr="00822CE9">
        <w:rPr>
          <w:rFonts w:hint="cs"/>
          <w:rtl/>
        </w:rPr>
        <w:t xml:space="preserve"> والثناء على حركته </w:t>
      </w:r>
      <w:r w:rsidR="00FC2984">
        <w:rPr>
          <w:rFonts w:hint="cs"/>
          <w:rtl/>
        </w:rPr>
        <w:t xml:space="preserve">من قبل الأئمّة ـ بالمفهوم الإمامي للكلمة ـ </w:t>
      </w:r>
      <w:r w:rsidR="000A4159" w:rsidRPr="00822CE9">
        <w:rPr>
          <w:rFonts w:hint="cs"/>
          <w:rtl/>
        </w:rPr>
        <w:t>ضعيفة السند، بل صرّح بذلك مثل السي</w:t>
      </w:r>
      <w:r w:rsidR="00FC2984">
        <w:rPr>
          <w:rFonts w:hint="cs"/>
          <w:rtl/>
        </w:rPr>
        <w:t>ّ</w:t>
      </w:r>
      <w:r w:rsidR="000A4159" w:rsidRPr="00822CE9">
        <w:rPr>
          <w:rFonts w:hint="cs"/>
          <w:rtl/>
        </w:rPr>
        <w:t>د الخوئي</w:t>
      </w:r>
      <w:r w:rsidR="000A4159" w:rsidRPr="00822CE9">
        <w:rPr>
          <w:rtl/>
        </w:rPr>
        <w:t xml:space="preserve"> </w:t>
      </w:r>
      <w:r w:rsidR="000A4159" w:rsidRPr="00822CE9">
        <w:rPr>
          <w:rFonts w:hint="cs"/>
          <w:rtl/>
        </w:rPr>
        <w:t>والشيخ المنتظري</w:t>
      </w:r>
      <w:r w:rsidR="000A4159" w:rsidRPr="000A4159">
        <w:rPr>
          <w:rFonts w:cs="Taher"/>
          <w:vertAlign w:val="superscript"/>
          <w:rtl/>
        </w:rPr>
        <w:t>(</w:t>
      </w:r>
      <w:r w:rsidR="000A4159" w:rsidRPr="000A4159">
        <w:rPr>
          <w:rStyle w:val="FootnoteReference"/>
          <w:rFonts w:cs="Taher"/>
          <w:rtl/>
        </w:rPr>
        <w:footnoteReference w:id="151"/>
      </w:r>
      <w:r w:rsidR="000A4159" w:rsidRPr="000A4159">
        <w:rPr>
          <w:rFonts w:cs="Taher"/>
          <w:vertAlign w:val="superscript"/>
          <w:rtl/>
        </w:rPr>
        <w:t>)</w:t>
      </w:r>
      <w:r w:rsidR="00FC2984">
        <w:rPr>
          <w:rtl/>
        </w:rPr>
        <w:t>.</w:t>
      </w:r>
    </w:p>
    <w:p w14:paraId="30624A7D" w14:textId="77777777" w:rsidR="009E62BF" w:rsidRDefault="00FC2984" w:rsidP="00A47C06">
      <w:pPr>
        <w:pStyle w:val="normal930"/>
        <w:rPr>
          <w:rtl/>
        </w:rPr>
      </w:pPr>
      <w:r w:rsidRPr="00E775F6">
        <w:rPr>
          <w:rFonts w:hint="cs"/>
          <w:b/>
          <w:bCs/>
          <w:rtl/>
        </w:rPr>
        <w:lastRenderedPageBreak/>
        <w:t xml:space="preserve">كما أنّ </w:t>
      </w:r>
      <w:r w:rsidR="000A4159" w:rsidRPr="00E775F6">
        <w:rPr>
          <w:rFonts w:hint="cs"/>
          <w:b/>
          <w:bCs/>
          <w:rtl/>
        </w:rPr>
        <w:t xml:space="preserve">روايات المدح والتأييد تكاد تنحصر في كتاب </w:t>
      </w:r>
      <w:r w:rsidRPr="00E775F6">
        <w:rPr>
          <w:rFonts w:cs="Cambria" w:hint="cs"/>
          <w:b/>
          <w:bCs/>
          <w:rtl/>
        </w:rPr>
        <w:t>"</w:t>
      </w:r>
      <w:r w:rsidR="000A4159" w:rsidRPr="00E775F6">
        <w:rPr>
          <w:rFonts w:hint="cs"/>
          <w:b/>
          <w:bCs/>
          <w:rtl/>
        </w:rPr>
        <w:t>مقاتل الطالبيين</w:t>
      </w:r>
      <w:r w:rsidRPr="00E775F6">
        <w:rPr>
          <w:rFonts w:cs="Cambria" w:hint="cs"/>
          <w:b/>
          <w:bCs/>
          <w:rtl/>
        </w:rPr>
        <w:t>"</w:t>
      </w:r>
      <w:r w:rsidR="000A4159" w:rsidRPr="00E775F6">
        <w:rPr>
          <w:rFonts w:hint="cs"/>
          <w:b/>
          <w:bCs/>
          <w:rtl/>
        </w:rPr>
        <w:t xml:space="preserve"> لأبي الفرج الإصفهاني (356هـ)، وهو منتم</w:t>
      </w:r>
      <w:r w:rsidRPr="00E775F6">
        <w:rPr>
          <w:rFonts w:hint="cs"/>
          <w:b/>
          <w:bCs/>
          <w:rtl/>
        </w:rPr>
        <w:t>ٍ</w:t>
      </w:r>
      <w:r w:rsidR="000A4159" w:rsidRPr="00E775F6">
        <w:rPr>
          <w:rFonts w:hint="cs"/>
          <w:b/>
          <w:bCs/>
          <w:rtl/>
        </w:rPr>
        <w:t xml:space="preserve"> إلى المذهب الزيدي،</w:t>
      </w:r>
      <w:r w:rsidR="000A4159" w:rsidRPr="00822CE9">
        <w:rPr>
          <w:rFonts w:hint="cs"/>
          <w:rtl/>
        </w:rPr>
        <w:t xml:space="preserve"> بل حتى شهيد فخ</w:t>
      </w:r>
      <w:r>
        <w:rPr>
          <w:rFonts w:hint="cs"/>
          <w:rtl/>
        </w:rPr>
        <w:t>ّ</w:t>
      </w:r>
      <w:r w:rsidR="000A4159" w:rsidRPr="00822CE9">
        <w:rPr>
          <w:rFonts w:hint="cs"/>
          <w:rtl/>
        </w:rPr>
        <w:t xml:space="preserve"> نفسه لم يظهر مدحه الشخصي في خبر</w:t>
      </w:r>
      <w:r>
        <w:rPr>
          <w:rFonts w:hint="cs"/>
          <w:rtl/>
        </w:rPr>
        <w:t>ٍ</w:t>
      </w:r>
      <w:r w:rsidR="000A4159" w:rsidRPr="00822CE9">
        <w:rPr>
          <w:rFonts w:hint="cs"/>
          <w:rtl/>
        </w:rPr>
        <w:t xml:space="preserve"> موثوق، </w:t>
      </w:r>
      <w:r>
        <w:rPr>
          <w:rFonts w:hint="cs"/>
          <w:rtl/>
        </w:rPr>
        <w:t>فقد ذكره الطوسي في الرجال ولم ي</w:t>
      </w:r>
      <w:r w:rsidR="000A4159" w:rsidRPr="00822CE9">
        <w:rPr>
          <w:rFonts w:hint="cs"/>
          <w:rtl/>
        </w:rPr>
        <w:t>عب</w:t>
      </w:r>
      <w:r>
        <w:rPr>
          <w:rFonts w:hint="cs"/>
          <w:rtl/>
        </w:rPr>
        <w:t>ّ</w:t>
      </w:r>
      <w:r w:rsidR="000A4159" w:rsidRPr="00822CE9">
        <w:rPr>
          <w:rFonts w:hint="cs"/>
          <w:rtl/>
        </w:rPr>
        <w:t xml:space="preserve">ر </w:t>
      </w:r>
      <w:r w:rsidR="009E62BF">
        <w:rPr>
          <w:rFonts w:hint="cs"/>
          <w:rtl/>
        </w:rPr>
        <w:t>ع</w:t>
      </w:r>
      <w:r w:rsidR="000A4159" w:rsidRPr="00822CE9">
        <w:rPr>
          <w:rFonts w:hint="cs"/>
          <w:rtl/>
        </w:rPr>
        <w:t>نه بالشهيد، ولا وث</w:t>
      </w:r>
      <w:r>
        <w:rPr>
          <w:rFonts w:hint="cs"/>
          <w:rtl/>
        </w:rPr>
        <w:t>ّ</w:t>
      </w:r>
      <w:r w:rsidR="000A4159" w:rsidRPr="00822CE9">
        <w:rPr>
          <w:rFonts w:hint="cs"/>
          <w:rtl/>
        </w:rPr>
        <w:t>ق</w:t>
      </w:r>
      <w:r>
        <w:rPr>
          <w:rFonts w:hint="cs"/>
          <w:rtl/>
        </w:rPr>
        <w:t>َ</w:t>
      </w:r>
      <w:r w:rsidR="000A4159" w:rsidRPr="00822CE9">
        <w:rPr>
          <w:rFonts w:hint="cs"/>
          <w:rtl/>
        </w:rPr>
        <w:t>ه، بل قال: صاحب فخ</w:t>
      </w:r>
      <w:r>
        <w:rPr>
          <w:rFonts w:hint="cs"/>
          <w:rtl/>
        </w:rPr>
        <w:t>ّ</w:t>
      </w:r>
      <w:r w:rsidR="000A4159" w:rsidRPr="000A4159">
        <w:rPr>
          <w:rFonts w:cs="Taher"/>
          <w:vertAlign w:val="superscript"/>
          <w:rtl/>
        </w:rPr>
        <w:t>(</w:t>
      </w:r>
      <w:r w:rsidR="000A4159" w:rsidRPr="000A4159">
        <w:rPr>
          <w:rStyle w:val="FootnoteReference"/>
          <w:rFonts w:cs="Taher"/>
          <w:rtl/>
        </w:rPr>
        <w:footnoteReference w:id="152"/>
      </w:r>
      <w:r w:rsidR="000A4159" w:rsidRPr="000A4159">
        <w:rPr>
          <w:rFonts w:cs="Taher"/>
          <w:vertAlign w:val="superscript"/>
          <w:rtl/>
        </w:rPr>
        <w:t>)</w:t>
      </w:r>
      <w:r w:rsidR="000A4159" w:rsidRPr="00822CE9">
        <w:rPr>
          <w:rtl/>
        </w:rPr>
        <w:t xml:space="preserve">، </w:t>
      </w:r>
      <w:r>
        <w:rPr>
          <w:rFonts w:hint="cs"/>
          <w:rtl/>
        </w:rPr>
        <w:t xml:space="preserve">ونصّ ابن داود </w:t>
      </w:r>
      <w:r w:rsidR="000A4159" w:rsidRPr="00822CE9">
        <w:rPr>
          <w:rFonts w:hint="cs"/>
          <w:rtl/>
        </w:rPr>
        <w:t>على إهماله وا</w:t>
      </w:r>
      <w:r>
        <w:rPr>
          <w:rFonts w:hint="cs"/>
          <w:rtl/>
        </w:rPr>
        <w:t>صف</w:t>
      </w:r>
      <w:r w:rsidR="000A4159" w:rsidRPr="00822CE9">
        <w:rPr>
          <w:rFonts w:hint="cs"/>
          <w:rtl/>
        </w:rPr>
        <w:t>اً إي</w:t>
      </w:r>
      <w:r>
        <w:rPr>
          <w:rFonts w:hint="cs"/>
          <w:rtl/>
        </w:rPr>
        <w:t>ّ</w:t>
      </w:r>
      <w:r w:rsidR="000A4159" w:rsidRPr="00822CE9">
        <w:rPr>
          <w:rFonts w:hint="cs"/>
          <w:rtl/>
        </w:rPr>
        <w:t>اه بصاحب فخ</w:t>
      </w:r>
      <w:r>
        <w:rPr>
          <w:rFonts w:hint="cs"/>
          <w:rtl/>
        </w:rPr>
        <w:t>ّ</w:t>
      </w:r>
      <w:r w:rsidR="000A4159" w:rsidRPr="00822CE9">
        <w:rPr>
          <w:rFonts w:hint="cs"/>
          <w:rtl/>
        </w:rPr>
        <w:t xml:space="preserve">، </w:t>
      </w:r>
      <w:r w:rsidR="009E62BF">
        <w:rPr>
          <w:rFonts w:hint="cs"/>
          <w:rtl/>
        </w:rPr>
        <w:t>دون</w:t>
      </w:r>
      <w:r w:rsidR="000A4159" w:rsidRPr="00822CE9">
        <w:rPr>
          <w:rFonts w:hint="cs"/>
          <w:rtl/>
        </w:rPr>
        <w:t xml:space="preserve"> الشهيد</w:t>
      </w:r>
      <w:r w:rsidR="000A4159" w:rsidRPr="000A4159">
        <w:rPr>
          <w:rFonts w:cs="Taher"/>
          <w:vertAlign w:val="superscript"/>
          <w:rtl/>
        </w:rPr>
        <w:t>(</w:t>
      </w:r>
      <w:r w:rsidR="000A4159" w:rsidRPr="000A4159">
        <w:rPr>
          <w:rStyle w:val="FootnoteReference"/>
          <w:rFonts w:cs="Taher"/>
          <w:rtl/>
        </w:rPr>
        <w:footnoteReference w:id="153"/>
      </w:r>
      <w:r w:rsidR="000A4159" w:rsidRPr="000A4159">
        <w:rPr>
          <w:rFonts w:cs="Taher"/>
          <w:vertAlign w:val="superscript"/>
          <w:rtl/>
        </w:rPr>
        <w:t>)</w:t>
      </w:r>
      <w:r w:rsidR="000A4159" w:rsidRPr="00822CE9">
        <w:rPr>
          <w:rtl/>
        </w:rPr>
        <w:t xml:space="preserve">، </w:t>
      </w:r>
      <w:r w:rsidR="000A4159" w:rsidRPr="00822CE9">
        <w:rPr>
          <w:rFonts w:hint="cs"/>
          <w:rtl/>
        </w:rPr>
        <w:t>وعلى المنوال عينه من عدم التوثيق وعدم وصفه بالشهيد</w:t>
      </w:r>
      <w:r w:rsidR="009E62BF">
        <w:rPr>
          <w:rFonts w:hint="cs"/>
          <w:rtl/>
        </w:rPr>
        <w:t xml:space="preserve"> أو الترضّي عنه ونحو ذلك</w:t>
      </w:r>
      <w:r w:rsidR="000A4159" w:rsidRPr="00822CE9">
        <w:rPr>
          <w:rFonts w:hint="cs"/>
          <w:rtl/>
        </w:rPr>
        <w:t>، كان كلام التفرشي في نقد الرجال</w:t>
      </w:r>
      <w:r w:rsidR="000A4159" w:rsidRPr="000A4159">
        <w:rPr>
          <w:rFonts w:cs="Taher"/>
          <w:vertAlign w:val="superscript"/>
          <w:rtl/>
        </w:rPr>
        <w:t>(</w:t>
      </w:r>
      <w:r w:rsidR="000A4159" w:rsidRPr="000A4159">
        <w:rPr>
          <w:rStyle w:val="FootnoteReference"/>
          <w:rFonts w:cs="Taher"/>
          <w:rtl/>
        </w:rPr>
        <w:footnoteReference w:id="154"/>
      </w:r>
      <w:r w:rsidR="000A4159" w:rsidRPr="000A4159">
        <w:rPr>
          <w:rFonts w:cs="Taher"/>
          <w:vertAlign w:val="superscript"/>
          <w:rtl/>
        </w:rPr>
        <w:t>)</w:t>
      </w:r>
      <w:r w:rsidR="000A4159" w:rsidRPr="00822CE9">
        <w:rPr>
          <w:rtl/>
        </w:rPr>
        <w:t xml:space="preserve">، </w:t>
      </w:r>
      <w:r w:rsidR="000A4159" w:rsidRPr="00822CE9">
        <w:rPr>
          <w:rFonts w:hint="cs"/>
          <w:rtl/>
        </w:rPr>
        <w:t>والأردبيلي في جامع الرواة</w:t>
      </w:r>
      <w:r w:rsidR="000A4159" w:rsidRPr="000A4159">
        <w:rPr>
          <w:rFonts w:cs="Taher"/>
          <w:vertAlign w:val="superscript"/>
          <w:rtl/>
        </w:rPr>
        <w:t>(</w:t>
      </w:r>
      <w:r w:rsidR="000A4159" w:rsidRPr="000A4159">
        <w:rPr>
          <w:rStyle w:val="FootnoteReference"/>
          <w:rFonts w:cs="Taher"/>
          <w:rtl/>
        </w:rPr>
        <w:footnoteReference w:id="155"/>
      </w:r>
      <w:r w:rsidR="000A4159" w:rsidRPr="000A4159">
        <w:rPr>
          <w:rFonts w:cs="Taher"/>
          <w:vertAlign w:val="superscript"/>
          <w:rtl/>
        </w:rPr>
        <w:t>)</w:t>
      </w:r>
      <w:r w:rsidR="000A4159" w:rsidRPr="00822CE9">
        <w:rPr>
          <w:rtl/>
        </w:rPr>
        <w:t>.</w:t>
      </w:r>
      <w:r w:rsidR="009E62BF">
        <w:rPr>
          <w:rFonts w:hint="cs"/>
          <w:rtl/>
        </w:rPr>
        <w:t xml:space="preserve"> </w:t>
      </w:r>
      <w:r w:rsidR="000A4159" w:rsidRPr="00822CE9">
        <w:rPr>
          <w:rFonts w:hint="cs"/>
          <w:rtl/>
        </w:rPr>
        <w:t>وقد أشار الوحيد البهبهاني في تعليقته على منهج المقال إلى وجود أقوال في مدح الرجل وذمّه</w:t>
      </w:r>
      <w:r w:rsidR="000A4159" w:rsidRPr="000A4159">
        <w:rPr>
          <w:rFonts w:cs="Taher"/>
          <w:vertAlign w:val="superscript"/>
          <w:rtl/>
        </w:rPr>
        <w:t>(</w:t>
      </w:r>
      <w:r w:rsidR="000A4159" w:rsidRPr="000A4159">
        <w:rPr>
          <w:rStyle w:val="FootnoteReference"/>
          <w:rFonts w:cs="Taher"/>
          <w:rtl/>
        </w:rPr>
        <w:footnoteReference w:id="156"/>
      </w:r>
      <w:r w:rsidR="000A4159" w:rsidRPr="000A4159">
        <w:rPr>
          <w:rFonts w:cs="Taher"/>
          <w:vertAlign w:val="superscript"/>
          <w:rtl/>
        </w:rPr>
        <w:t>)</w:t>
      </w:r>
      <w:r w:rsidR="009E62BF">
        <w:rPr>
          <w:rFonts w:hint="cs"/>
          <w:rtl/>
        </w:rPr>
        <w:t>.</w:t>
      </w:r>
    </w:p>
    <w:p w14:paraId="45D072C1" w14:textId="77777777" w:rsidR="000A4159" w:rsidRPr="00822CE9" w:rsidRDefault="000A4159" w:rsidP="00A47C06">
      <w:pPr>
        <w:pStyle w:val="normal84"/>
        <w:rPr>
          <w:rtl/>
        </w:rPr>
      </w:pPr>
      <w:r w:rsidRPr="0098558F">
        <w:rPr>
          <w:rFonts w:hint="cs"/>
          <w:rtl/>
        </w:rPr>
        <w:t>وقد لاحظت</w:t>
      </w:r>
      <w:r w:rsidR="009E62BF" w:rsidRPr="0098558F">
        <w:rPr>
          <w:rFonts w:hint="cs"/>
          <w:rtl/>
        </w:rPr>
        <w:t>ُ</w:t>
      </w:r>
      <w:r w:rsidRPr="0098558F">
        <w:rPr>
          <w:rFonts w:hint="cs"/>
          <w:rtl/>
        </w:rPr>
        <w:t xml:space="preserve"> أن</w:t>
      </w:r>
      <w:r w:rsidR="009E62BF" w:rsidRPr="0098558F">
        <w:rPr>
          <w:rFonts w:hint="cs"/>
          <w:rtl/>
        </w:rPr>
        <w:t>ّ</w:t>
      </w:r>
      <w:r w:rsidRPr="0098558F">
        <w:rPr>
          <w:rFonts w:hint="cs"/>
          <w:rtl/>
        </w:rPr>
        <w:t xml:space="preserve"> التعبير عنه بشهيد فخ</w:t>
      </w:r>
      <w:r w:rsidR="009E62BF" w:rsidRPr="0098558F">
        <w:rPr>
          <w:rFonts w:hint="cs"/>
          <w:rtl/>
        </w:rPr>
        <w:t>ّ</w:t>
      </w:r>
      <w:r w:rsidRPr="0098558F">
        <w:rPr>
          <w:rFonts w:hint="cs"/>
          <w:rtl/>
        </w:rPr>
        <w:t xml:space="preserve"> راج في القرن الأخير عند الشيعة الإمامي</w:t>
      </w:r>
      <w:r w:rsidR="009E62BF" w:rsidRPr="0098558F">
        <w:rPr>
          <w:rFonts w:hint="cs"/>
          <w:rtl/>
        </w:rPr>
        <w:t>ّ</w:t>
      </w:r>
      <w:r w:rsidRPr="0098558F">
        <w:rPr>
          <w:rFonts w:hint="cs"/>
          <w:rtl/>
        </w:rPr>
        <w:t>ة، وقلّما جرى التعبير عنه بذلك قبلها، بل كانوا يعب</w:t>
      </w:r>
      <w:r w:rsidR="009E62BF" w:rsidRPr="0098558F">
        <w:rPr>
          <w:rFonts w:hint="cs"/>
          <w:rtl/>
        </w:rPr>
        <w:t>ّ</w:t>
      </w:r>
      <w:r w:rsidRPr="0098558F">
        <w:rPr>
          <w:rFonts w:hint="cs"/>
          <w:rtl/>
        </w:rPr>
        <w:t xml:space="preserve">رون </w:t>
      </w:r>
      <w:r w:rsidR="009E62BF" w:rsidRPr="0098558F">
        <w:rPr>
          <w:rFonts w:hint="cs"/>
          <w:rtl/>
        </w:rPr>
        <w:t xml:space="preserve">عنه بـ </w:t>
      </w:r>
      <w:r w:rsidRPr="0098558F">
        <w:rPr>
          <w:rFonts w:hint="cs"/>
          <w:rtl/>
        </w:rPr>
        <w:t>«صاحب فخ</w:t>
      </w:r>
      <w:r w:rsidR="009E62BF" w:rsidRPr="0098558F">
        <w:rPr>
          <w:rFonts w:hint="cs"/>
          <w:rtl/>
        </w:rPr>
        <w:t>ّ</w:t>
      </w:r>
      <w:r w:rsidRPr="0098558F">
        <w:rPr>
          <w:rFonts w:hint="cs"/>
          <w:rtl/>
        </w:rPr>
        <w:t>»</w:t>
      </w:r>
      <w:r w:rsidR="0098558F" w:rsidRPr="0098558F">
        <w:rPr>
          <w:rFonts w:hint="cs"/>
          <w:rtl/>
        </w:rPr>
        <w:t>،</w:t>
      </w:r>
      <w:r w:rsidRPr="00822CE9">
        <w:rPr>
          <w:rFonts w:hint="cs"/>
          <w:rtl/>
        </w:rPr>
        <w:t xml:space="preserve"> ولم يتبيّن وجود شهرة إمامي</w:t>
      </w:r>
      <w:r w:rsidR="00B5607F">
        <w:rPr>
          <w:rFonts w:hint="cs"/>
          <w:rtl/>
        </w:rPr>
        <w:t>ّ</w:t>
      </w:r>
      <w:r w:rsidRPr="00822CE9">
        <w:rPr>
          <w:rFonts w:hint="cs"/>
          <w:rtl/>
        </w:rPr>
        <w:t xml:space="preserve">ة على </w:t>
      </w:r>
      <w:r w:rsidR="00B5607F">
        <w:rPr>
          <w:rFonts w:hint="cs"/>
          <w:rtl/>
        </w:rPr>
        <w:t xml:space="preserve">تأييد </w:t>
      </w:r>
      <w:r w:rsidRPr="00822CE9">
        <w:rPr>
          <w:rFonts w:hint="cs"/>
          <w:rtl/>
        </w:rPr>
        <w:t>حركة الرجل</w:t>
      </w:r>
      <w:r w:rsidR="00B5607F">
        <w:rPr>
          <w:rFonts w:hint="cs"/>
          <w:rtl/>
        </w:rPr>
        <w:t>، ولا نقلوا أ</w:t>
      </w:r>
      <w:r w:rsidR="0098558F">
        <w:rPr>
          <w:rFonts w:hint="cs"/>
          <w:rtl/>
        </w:rPr>
        <w:t>خباراً مادحة</w:t>
      </w:r>
      <w:r w:rsidRPr="00822CE9">
        <w:rPr>
          <w:rFonts w:hint="cs"/>
          <w:rtl/>
        </w:rPr>
        <w:t xml:space="preserve"> له، </w:t>
      </w:r>
      <w:r w:rsidRPr="0098558F">
        <w:rPr>
          <w:rFonts w:hint="cs"/>
          <w:rtl/>
        </w:rPr>
        <w:t>بل وجدنا في كتاب الكافي روايةً رواها عبد الله بن المفض</w:t>
      </w:r>
      <w:r w:rsidR="00B5607F" w:rsidRPr="0098558F">
        <w:rPr>
          <w:rFonts w:hint="cs"/>
          <w:rtl/>
        </w:rPr>
        <w:t>ّ</w:t>
      </w:r>
      <w:r w:rsidRPr="0098558F">
        <w:rPr>
          <w:rFonts w:hint="cs"/>
          <w:rtl/>
        </w:rPr>
        <w:t>ل ـ مولى عبد الله بن جعفر بن أبي طالب ـ قال:</w:t>
      </w:r>
      <w:r w:rsidRPr="00822CE9">
        <w:rPr>
          <w:rFonts w:hint="cs"/>
          <w:rtl/>
        </w:rPr>
        <w:t xml:space="preserve"> لما خرج الحسين بن علي المقتول بفخ</w:t>
      </w:r>
      <w:r w:rsidR="00B5607F">
        <w:rPr>
          <w:rFonts w:hint="cs"/>
          <w:rtl/>
        </w:rPr>
        <w:t>ّ</w:t>
      </w:r>
      <w:r w:rsidRPr="00822CE9">
        <w:rPr>
          <w:rFonts w:hint="cs"/>
          <w:rtl/>
        </w:rPr>
        <w:t>، واحتوى على المدينة، دعا موسى بن جعفر إلى البيعة، فأتاه فقال له: «يا ابن عم</w:t>
      </w:r>
      <w:r w:rsidR="00B5607F">
        <w:rPr>
          <w:rFonts w:hint="cs"/>
          <w:rtl/>
        </w:rPr>
        <w:t>ّ،</w:t>
      </w:r>
      <w:r w:rsidRPr="00822CE9">
        <w:rPr>
          <w:rFonts w:hint="cs"/>
          <w:rtl/>
        </w:rPr>
        <w:t xml:space="preserve"> لا تك</w:t>
      </w:r>
      <w:r w:rsidR="00B5607F">
        <w:rPr>
          <w:rFonts w:hint="cs"/>
          <w:rtl/>
        </w:rPr>
        <w:t>لّف</w:t>
      </w:r>
      <w:r w:rsidRPr="00822CE9">
        <w:rPr>
          <w:rFonts w:hint="cs"/>
          <w:rtl/>
        </w:rPr>
        <w:t>ني ما كل</w:t>
      </w:r>
      <w:r w:rsidR="00B5607F">
        <w:rPr>
          <w:rFonts w:hint="cs"/>
          <w:rtl/>
        </w:rPr>
        <w:t>ّف</w:t>
      </w:r>
      <w:r w:rsidRPr="00822CE9">
        <w:rPr>
          <w:rFonts w:hint="cs"/>
          <w:rtl/>
        </w:rPr>
        <w:t xml:space="preserve"> </w:t>
      </w:r>
      <w:r w:rsidR="00B5607F">
        <w:rPr>
          <w:rFonts w:hint="cs"/>
          <w:rtl/>
        </w:rPr>
        <w:t>ا</w:t>
      </w:r>
      <w:r w:rsidRPr="00822CE9">
        <w:rPr>
          <w:rFonts w:hint="cs"/>
          <w:rtl/>
        </w:rPr>
        <w:t>بن</w:t>
      </w:r>
      <w:r w:rsidR="00B5607F">
        <w:rPr>
          <w:rFonts w:hint="cs"/>
          <w:rtl/>
        </w:rPr>
        <w:t>ُ</w:t>
      </w:r>
      <w:r w:rsidRPr="00822CE9">
        <w:rPr>
          <w:rFonts w:hint="cs"/>
          <w:rtl/>
        </w:rPr>
        <w:t xml:space="preserve"> عمّ</w:t>
      </w:r>
      <w:r w:rsidR="00B5607F">
        <w:rPr>
          <w:rFonts w:hint="cs"/>
          <w:rtl/>
        </w:rPr>
        <w:t>ِ</w:t>
      </w:r>
      <w:r w:rsidRPr="00822CE9">
        <w:rPr>
          <w:rFonts w:hint="cs"/>
          <w:rtl/>
        </w:rPr>
        <w:t>ك عمّ</w:t>
      </w:r>
      <w:r w:rsidR="00B5607F">
        <w:rPr>
          <w:rFonts w:hint="cs"/>
          <w:rtl/>
        </w:rPr>
        <w:t>َ</w:t>
      </w:r>
      <w:r w:rsidRPr="00822CE9">
        <w:rPr>
          <w:rFonts w:hint="cs"/>
          <w:rtl/>
        </w:rPr>
        <w:t>ك أبا عبد الله، فيخرج من</w:t>
      </w:r>
      <w:r w:rsidR="00B5607F">
        <w:rPr>
          <w:rFonts w:hint="cs"/>
          <w:rtl/>
        </w:rPr>
        <w:t>ّي ما لا أ</w:t>
      </w:r>
      <w:r w:rsidRPr="00822CE9">
        <w:rPr>
          <w:rFonts w:hint="cs"/>
          <w:rtl/>
        </w:rPr>
        <w:t>ريد، كما خرج من أبي عبد الله ما لم يكن ي</w:t>
      </w:r>
      <w:r w:rsidR="00B5607F">
        <w:rPr>
          <w:rFonts w:hint="cs"/>
          <w:rtl/>
        </w:rPr>
        <w:t>ُ</w:t>
      </w:r>
      <w:r w:rsidRPr="00822CE9">
        <w:rPr>
          <w:rFonts w:hint="cs"/>
          <w:rtl/>
        </w:rPr>
        <w:t>ريد»، فقال له الحس</w:t>
      </w:r>
      <w:r w:rsidR="00B5607F">
        <w:rPr>
          <w:rFonts w:hint="cs"/>
          <w:rtl/>
        </w:rPr>
        <w:t>ي</w:t>
      </w:r>
      <w:r w:rsidRPr="00822CE9">
        <w:rPr>
          <w:rFonts w:hint="cs"/>
          <w:rtl/>
        </w:rPr>
        <w:t>ن</w:t>
      </w:r>
      <w:r w:rsidR="00B5607F">
        <w:rPr>
          <w:rFonts w:hint="cs"/>
          <w:rtl/>
        </w:rPr>
        <w:t>:</w:t>
      </w:r>
      <w:r w:rsidRPr="00822CE9">
        <w:rPr>
          <w:rFonts w:hint="cs"/>
          <w:rtl/>
        </w:rPr>
        <w:t xml:space="preserve"> إن</w:t>
      </w:r>
      <w:r w:rsidR="00B5607F">
        <w:rPr>
          <w:rFonts w:hint="cs"/>
          <w:rtl/>
        </w:rPr>
        <w:t>ّ</w:t>
      </w:r>
      <w:r w:rsidRPr="00822CE9">
        <w:rPr>
          <w:rFonts w:hint="cs"/>
          <w:rtl/>
        </w:rPr>
        <w:t xml:space="preserve">ما عرضت عليك </w:t>
      </w:r>
      <w:r w:rsidR="00B5607F">
        <w:rPr>
          <w:rFonts w:hint="cs"/>
          <w:rtl/>
        </w:rPr>
        <w:t>أ</w:t>
      </w:r>
      <w:r w:rsidRPr="00822CE9">
        <w:rPr>
          <w:rFonts w:hint="cs"/>
          <w:rtl/>
        </w:rPr>
        <w:t>مراً؛ فإن أردته دخلت فيه، وإن كرهته لم أحملك علي</w:t>
      </w:r>
      <w:r w:rsidR="00B5607F">
        <w:rPr>
          <w:rFonts w:hint="cs"/>
          <w:rtl/>
        </w:rPr>
        <w:t>ه</w:t>
      </w:r>
      <w:r w:rsidRPr="00822CE9">
        <w:rPr>
          <w:rFonts w:hint="cs"/>
          <w:rtl/>
        </w:rPr>
        <w:t>، والله المستعان، ثم ودّعه، فقال له أبو الحسن موسى بن جعفر حين ودّعه: «يا ابن عم</w:t>
      </w:r>
      <w:r w:rsidR="00B5607F">
        <w:rPr>
          <w:rFonts w:hint="cs"/>
          <w:rtl/>
        </w:rPr>
        <w:t>ّ،</w:t>
      </w:r>
      <w:r w:rsidRPr="00822CE9">
        <w:rPr>
          <w:rFonts w:hint="cs"/>
          <w:rtl/>
        </w:rPr>
        <w:t xml:space="preserve"> إن</w:t>
      </w:r>
      <w:r w:rsidR="00B5607F">
        <w:rPr>
          <w:rFonts w:hint="cs"/>
          <w:rtl/>
        </w:rPr>
        <w:t>ّ</w:t>
      </w:r>
      <w:r w:rsidRPr="00822CE9">
        <w:rPr>
          <w:rFonts w:hint="cs"/>
          <w:rtl/>
        </w:rPr>
        <w:t>ك مقتول، فأجد الضراب، فإن</w:t>
      </w:r>
      <w:r w:rsidR="00B5607F">
        <w:rPr>
          <w:rFonts w:hint="cs"/>
          <w:rtl/>
        </w:rPr>
        <w:t>ّ</w:t>
      </w:r>
      <w:r w:rsidRPr="00822CE9">
        <w:rPr>
          <w:rFonts w:hint="cs"/>
          <w:rtl/>
        </w:rPr>
        <w:t xml:space="preserve"> القوم فسّاق يظهرون إيماناً ويسترون شركاً، وإن</w:t>
      </w:r>
      <w:r w:rsidR="00B5607F">
        <w:rPr>
          <w:rFonts w:hint="cs"/>
          <w:rtl/>
        </w:rPr>
        <w:t>ّ</w:t>
      </w:r>
      <w:r w:rsidRPr="00822CE9">
        <w:rPr>
          <w:rFonts w:hint="cs"/>
          <w:rtl/>
        </w:rPr>
        <w:t>ا لله وإن</w:t>
      </w:r>
      <w:r w:rsidR="00B5607F">
        <w:rPr>
          <w:rFonts w:hint="cs"/>
          <w:rtl/>
        </w:rPr>
        <w:t>ّ</w:t>
      </w:r>
      <w:r w:rsidRPr="00822CE9">
        <w:rPr>
          <w:rFonts w:hint="cs"/>
          <w:rtl/>
        </w:rPr>
        <w:t>ا إليه راجعون، أحتسبكم عند الله من عصبة»، ثم</w:t>
      </w:r>
      <w:r w:rsidR="00B5607F">
        <w:rPr>
          <w:rFonts w:hint="cs"/>
          <w:rtl/>
        </w:rPr>
        <w:t>ّ</w:t>
      </w:r>
      <w:r w:rsidRPr="00822CE9">
        <w:rPr>
          <w:rFonts w:hint="cs"/>
          <w:rtl/>
        </w:rPr>
        <w:t xml:space="preserve"> خرج الحسين وكان من أمره ما كان، قتلوا كلّهم كما قال عليه السلام</w:t>
      </w:r>
      <w:r w:rsidRPr="000A4159">
        <w:rPr>
          <w:rFonts w:cs="Taher"/>
          <w:vertAlign w:val="superscript"/>
          <w:rtl/>
        </w:rPr>
        <w:t>(</w:t>
      </w:r>
      <w:r w:rsidRPr="000A4159">
        <w:rPr>
          <w:rStyle w:val="FootnoteReference"/>
          <w:rFonts w:cs="Taher"/>
          <w:rtl/>
        </w:rPr>
        <w:footnoteReference w:id="157"/>
      </w:r>
      <w:r w:rsidRPr="000A4159">
        <w:rPr>
          <w:rFonts w:cs="Taher"/>
          <w:vertAlign w:val="superscript"/>
          <w:rtl/>
        </w:rPr>
        <w:t>)</w:t>
      </w:r>
      <w:r w:rsidRPr="00822CE9">
        <w:rPr>
          <w:rtl/>
        </w:rPr>
        <w:t>.</w:t>
      </w:r>
    </w:p>
    <w:p w14:paraId="68CF2BAE" w14:textId="77777777" w:rsidR="000A4159" w:rsidRPr="00822CE9" w:rsidRDefault="000A4159" w:rsidP="0098558F">
      <w:pPr>
        <w:spacing w:line="214" w:lineRule="auto"/>
        <w:rPr>
          <w:rtl/>
        </w:rPr>
      </w:pPr>
      <w:r w:rsidRPr="00822CE9">
        <w:rPr>
          <w:rFonts w:hint="cs"/>
          <w:rtl/>
        </w:rPr>
        <w:t>فهذه الرواية فيها جانب</w:t>
      </w:r>
      <w:r w:rsidR="00B5607F">
        <w:rPr>
          <w:rFonts w:hint="cs"/>
          <w:rtl/>
        </w:rPr>
        <w:t>ٌ</w:t>
      </w:r>
      <w:r w:rsidRPr="00822CE9">
        <w:rPr>
          <w:rFonts w:hint="cs"/>
          <w:rtl/>
        </w:rPr>
        <w:t xml:space="preserve"> سلبي، وهو أن</w:t>
      </w:r>
      <w:r w:rsidR="00B5607F">
        <w:rPr>
          <w:rFonts w:hint="cs"/>
          <w:rtl/>
        </w:rPr>
        <w:t>ّ</w:t>
      </w:r>
      <w:r w:rsidRPr="00822CE9">
        <w:rPr>
          <w:rFonts w:hint="cs"/>
          <w:rtl/>
        </w:rPr>
        <w:t xml:space="preserve"> </w:t>
      </w:r>
      <w:r w:rsidR="0098558F">
        <w:rPr>
          <w:rFonts w:hint="cs"/>
          <w:rtl/>
        </w:rPr>
        <w:t xml:space="preserve">الإمام </w:t>
      </w:r>
      <w:r w:rsidRPr="00822CE9">
        <w:rPr>
          <w:rFonts w:hint="cs"/>
          <w:rtl/>
        </w:rPr>
        <w:t xml:space="preserve">الكاظم لم يدعمه ولم يبايعه، ولم يصوّب </w:t>
      </w:r>
      <w:r w:rsidRPr="00822CE9">
        <w:rPr>
          <w:rFonts w:hint="cs"/>
          <w:rtl/>
        </w:rPr>
        <w:lastRenderedPageBreak/>
        <w:t>حركته، بل أشار إلى صدور موقف</w:t>
      </w:r>
      <w:r w:rsidR="00B5607F">
        <w:rPr>
          <w:rFonts w:hint="cs"/>
          <w:rtl/>
        </w:rPr>
        <w:t>ٍ</w:t>
      </w:r>
      <w:r w:rsidRPr="00822CE9">
        <w:rPr>
          <w:rFonts w:hint="cs"/>
          <w:rtl/>
        </w:rPr>
        <w:t xml:space="preserve"> سلبي من الصادق إزاء ثورة محم</w:t>
      </w:r>
      <w:r w:rsidR="00B5607F">
        <w:rPr>
          <w:rFonts w:hint="cs"/>
          <w:rtl/>
        </w:rPr>
        <w:t>ّ</w:t>
      </w:r>
      <w:r w:rsidRPr="00822CE9">
        <w:rPr>
          <w:rFonts w:hint="cs"/>
          <w:rtl/>
        </w:rPr>
        <w:t>د بن عبد الله ذي النفس الزكي</w:t>
      </w:r>
      <w:r w:rsidR="00B5607F">
        <w:rPr>
          <w:rFonts w:hint="cs"/>
          <w:rtl/>
        </w:rPr>
        <w:t>ّ</w:t>
      </w:r>
      <w:r w:rsidRPr="00822CE9">
        <w:rPr>
          <w:rFonts w:hint="cs"/>
          <w:rtl/>
        </w:rPr>
        <w:t>ة، لكن</w:t>
      </w:r>
      <w:r w:rsidR="00B5607F">
        <w:rPr>
          <w:rFonts w:hint="cs"/>
          <w:rtl/>
        </w:rPr>
        <w:t>ّ</w:t>
      </w:r>
      <w:r w:rsidRPr="00822CE9">
        <w:rPr>
          <w:rFonts w:hint="cs"/>
          <w:rtl/>
        </w:rPr>
        <w:t>ها من جهة أخرى تطالبه بإجادة المضاربة والمقاتلة، واحتسبه عند الله ونوى به وجهه سبحانه، والعصبة قرابة الرجل هنا على ما قيل</w:t>
      </w:r>
      <w:r w:rsidRPr="000A4159">
        <w:rPr>
          <w:rFonts w:cs="Taher"/>
          <w:vertAlign w:val="superscript"/>
          <w:rtl/>
        </w:rPr>
        <w:t>(</w:t>
      </w:r>
      <w:r w:rsidRPr="000A4159">
        <w:rPr>
          <w:rStyle w:val="FootnoteReference"/>
          <w:rFonts w:cs="Taher"/>
          <w:rtl/>
        </w:rPr>
        <w:footnoteReference w:id="158"/>
      </w:r>
      <w:r w:rsidRPr="000A4159">
        <w:rPr>
          <w:rFonts w:cs="Taher"/>
          <w:vertAlign w:val="superscript"/>
          <w:rtl/>
        </w:rPr>
        <w:t>)</w:t>
      </w:r>
      <w:r w:rsidRPr="00822CE9">
        <w:rPr>
          <w:rtl/>
        </w:rPr>
        <w:t>.</w:t>
      </w:r>
    </w:p>
    <w:p w14:paraId="6ECB9CAE" w14:textId="77777777" w:rsidR="000A4159" w:rsidRPr="00822CE9" w:rsidRDefault="000A4159" w:rsidP="00A47C06">
      <w:pPr>
        <w:pStyle w:val="normal870"/>
        <w:rPr>
          <w:rtl/>
        </w:rPr>
      </w:pPr>
      <w:r w:rsidRPr="00822CE9">
        <w:rPr>
          <w:rFonts w:hint="cs"/>
          <w:rtl/>
        </w:rPr>
        <w:t>وهذه الرواية ـ رغم دلالتها المشار إليها ـ ضعيفة السند بمحم</w:t>
      </w:r>
      <w:r w:rsidR="00B5607F">
        <w:rPr>
          <w:rFonts w:hint="cs"/>
          <w:rtl/>
        </w:rPr>
        <w:t>ّ</w:t>
      </w:r>
      <w:r w:rsidRPr="00822CE9">
        <w:rPr>
          <w:rFonts w:hint="cs"/>
          <w:rtl/>
        </w:rPr>
        <w:t>د بن رنجويه المهمل</w:t>
      </w:r>
      <w:r w:rsidRPr="000A4159">
        <w:rPr>
          <w:rFonts w:cs="Taher"/>
          <w:vertAlign w:val="superscript"/>
          <w:rtl/>
        </w:rPr>
        <w:t>(</w:t>
      </w:r>
      <w:r w:rsidRPr="000A4159">
        <w:rPr>
          <w:rStyle w:val="FootnoteReference"/>
          <w:rFonts w:cs="Taher"/>
          <w:rtl/>
        </w:rPr>
        <w:footnoteReference w:id="159"/>
      </w:r>
      <w:r w:rsidRPr="000A4159">
        <w:rPr>
          <w:rFonts w:cs="Taher"/>
          <w:vertAlign w:val="superscript"/>
          <w:rtl/>
        </w:rPr>
        <w:t>)</w:t>
      </w:r>
      <w:r w:rsidR="00B5607F">
        <w:rPr>
          <w:rFonts w:hint="cs"/>
          <w:rtl/>
        </w:rPr>
        <w:t xml:space="preserve">، </w:t>
      </w:r>
      <w:r w:rsidRPr="00822CE9">
        <w:rPr>
          <w:rFonts w:hint="cs"/>
          <w:rtl/>
        </w:rPr>
        <w:t xml:space="preserve">وبعبد الله بن الحكم الأرمني الذي نصّ النجاشي </w:t>
      </w:r>
      <w:r w:rsidR="001B63AC">
        <w:rPr>
          <w:rFonts w:hint="cs"/>
          <w:rtl/>
        </w:rPr>
        <w:t xml:space="preserve">وابن الغضائري </w:t>
      </w:r>
      <w:r w:rsidRPr="00822CE9">
        <w:rPr>
          <w:rFonts w:hint="cs"/>
          <w:rtl/>
        </w:rPr>
        <w:t xml:space="preserve">على تضعيفه </w:t>
      </w:r>
      <w:r w:rsidR="00B5607F">
        <w:rPr>
          <w:rFonts w:hint="cs"/>
          <w:rtl/>
        </w:rPr>
        <w:t>دون أن</w:t>
      </w:r>
      <w:r w:rsidRPr="00822CE9">
        <w:rPr>
          <w:rFonts w:hint="cs"/>
          <w:rtl/>
        </w:rPr>
        <w:t xml:space="preserve"> يرد فيه أي</w:t>
      </w:r>
      <w:r w:rsidR="00B5607F">
        <w:rPr>
          <w:rFonts w:hint="cs"/>
          <w:rtl/>
        </w:rPr>
        <w:t>ّ</w:t>
      </w:r>
      <w:r w:rsidRPr="00822CE9">
        <w:rPr>
          <w:rFonts w:hint="cs"/>
          <w:rtl/>
        </w:rPr>
        <w:t xml:space="preserve"> توثيق</w:t>
      </w:r>
      <w:r w:rsidRPr="000A4159">
        <w:rPr>
          <w:rFonts w:cs="Taher"/>
          <w:vertAlign w:val="superscript"/>
          <w:rtl/>
        </w:rPr>
        <w:t>(</w:t>
      </w:r>
      <w:r w:rsidRPr="000A4159">
        <w:rPr>
          <w:rStyle w:val="FootnoteReference"/>
          <w:rFonts w:cs="Taher"/>
          <w:rtl/>
        </w:rPr>
        <w:footnoteReference w:id="160"/>
      </w:r>
      <w:r w:rsidRPr="000A4159">
        <w:rPr>
          <w:rFonts w:cs="Taher"/>
          <w:vertAlign w:val="superscript"/>
          <w:rtl/>
        </w:rPr>
        <w:t>)</w:t>
      </w:r>
      <w:r w:rsidRPr="00822CE9">
        <w:rPr>
          <w:rtl/>
        </w:rPr>
        <w:t xml:space="preserve">، </w:t>
      </w:r>
      <w:r w:rsidRPr="00822CE9">
        <w:rPr>
          <w:rFonts w:hint="cs"/>
          <w:rtl/>
        </w:rPr>
        <w:t>كما أن</w:t>
      </w:r>
      <w:r w:rsidR="00B5607F">
        <w:rPr>
          <w:rFonts w:hint="cs"/>
          <w:rtl/>
        </w:rPr>
        <w:t>ّ</w:t>
      </w:r>
      <w:r w:rsidRPr="00822CE9">
        <w:rPr>
          <w:rFonts w:hint="cs"/>
          <w:rtl/>
        </w:rPr>
        <w:t xml:space="preserve"> عبد الله بن المفض</w:t>
      </w:r>
      <w:r w:rsidR="00B5607F">
        <w:rPr>
          <w:rFonts w:hint="cs"/>
          <w:rtl/>
        </w:rPr>
        <w:t>ّ</w:t>
      </w:r>
      <w:r w:rsidRPr="00822CE9">
        <w:rPr>
          <w:rFonts w:hint="cs"/>
          <w:rtl/>
        </w:rPr>
        <w:t>ل وعبد الله بن جعف</w:t>
      </w:r>
      <w:r w:rsidR="00B5607F">
        <w:rPr>
          <w:rFonts w:hint="cs"/>
          <w:rtl/>
        </w:rPr>
        <w:t>ر</w:t>
      </w:r>
      <w:r w:rsidRPr="00822CE9">
        <w:rPr>
          <w:rFonts w:hint="cs"/>
          <w:rtl/>
        </w:rPr>
        <w:t xml:space="preserve"> بن إبراهيم الجعفري مهملان</w:t>
      </w:r>
      <w:r w:rsidRPr="000A4159">
        <w:rPr>
          <w:rFonts w:cs="Taher"/>
          <w:vertAlign w:val="superscript"/>
          <w:rtl/>
        </w:rPr>
        <w:t>(</w:t>
      </w:r>
      <w:r w:rsidRPr="000A4159">
        <w:rPr>
          <w:rStyle w:val="FootnoteReference"/>
          <w:rFonts w:cs="Taher"/>
          <w:rtl/>
        </w:rPr>
        <w:footnoteReference w:id="161"/>
      </w:r>
      <w:r w:rsidRPr="000A4159">
        <w:rPr>
          <w:rFonts w:cs="Taher"/>
          <w:vertAlign w:val="superscript"/>
          <w:rtl/>
        </w:rPr>
        <w:t>)</w:t>
      </w:r>
      <w:r w:rsidR="00FA35DD">
        <w:rPr>
          <w:rFonts w:hint="cs"/>
          <w:rtl/>
        </w:rPr>
        <w:t xml:space="preserve">، </w:t>
      </w:r>
      <w:r w:rsidRPr="00822CE9">
        <w:rPr>
          <w:rFonts w:hint="cs"/>
          <w:rtl/>
        </w:rPr>
        <w:t>فالرواية في غاية الضعف.</w:t>
      </w:r>
    </w:p>
    <w:p w14:paraId="1446C3B0" w14:textId="77777777" w:rsidR="000A4159" w:rsidRPr="00822CE9" w:rsidRDefault="000A4159" w:rsidP="00725451">
      <w:pPr>
        <w:spacing w:line="214" w:lineRule="auto"/>
        <w:rPr>
          <w:rtl/>
        </w:rPr>
      </w:pPr>
      <w:r w:rsidRPr="00B5607F">
        <w:rPr>
          <w:rFonts w:hint="cs"/>
          <w:b/>
          <w:bCs/>
          <w:rtl/>
        </w:rPr>
        <w:t>وعليه، فلم يظهر أيّ موقف تاريخي ثابت من أهل البيت يفيد دعم أو تأييد ثورة صاحب فخ</w:t>
      </w:r>
      <w:r w:rsidR="00B5607F" w:rsidRPr="00B5607F">
        <w:rPr>
          <w:rFonts w:hint="cs"/>
          <w:b/>
          <w:bCs/>
          <w:rtl/>
        </w:rPr>
        <w:t>ّ، كما لا رواية في ذ</w:t>
      </w:r>
      <w:r w:rsidRPr="00B5607F">
        <w:rPr>
          <w:rFonts w:hint="cs"/>
          <w:b/>
          <w:bCs/>
          <w:rtl/>
        </w:rPr>
        <w:t>م</w:t>
      </w:r>
      <w:r w:rsidR="00B5607F" w:rsidRPr="00B5607F">
        <w:rPr>
          <w:rFonts w:hint="cs"/>
          <w:b/>
          <w:bCs/>
          <w:rtl/>
        </w:rPr>
        <w:t>ّ</w:t>
      </w:r>
      <w:r w:rsidRPr="00B5607F">
        <w:rPr>
          <w:rFonts w:hint="cs"/>
          <w:b/>
          <w:bCs/>
          <w:rtl/>
        </w:rPr>
        <w:t>ها، ومصادر التاريخ لم ت</w:t>
      </w:r>
      <w:r w:rsidR="00B5607F" w:rsidRPr="00B5607F">
        <w:rPr>
          <w:rFonts w:hint="cs"/>
          <w:b/>
          <w:bCs/>
          <w:rtl/>
        </w:rPr>
        <w:t>ُ</w:t>
      </w:r>
      <w:r w:rsidRPr="00B5607F">
        <w:rPr>
          <w:rFonts w:hint="cs"/>
          <w:b/>
          <w:bCs/>
          <w:rtl/>
        </w:rPr>
        <w:t>شر لنا إلى موقف</w:t>
      </w:r>
      <w:r w:rsidR="00B5607F" w:rsidRPr="00B5607F">
        <w:rPr>
          <w:rFonts w:hint="cs"/>
          <w:b/>
          <w:bCs/>
          <w:rtl/>
        </w:rPr>
        <w:t>ٍ</w:t>
      </w:r>
      <w:r w:rsidRPr="00B5607F">
        <w:rPr>
          <w:rFonts w:hint="cs"/>
          <w:b/>
          <w:bCs/>
          <w:rtl/>
        </w:rPr>
        <w:t>، فيصعب جعل هذه الثورة دليلاً هنا.</w:t>
      </w:r>
    </w:p>
    <w:p w14:paraId="79CDEFCE" w14:textId="77777777" w:rsidR="000A4159" w:rsidRPr="00822CE9" w:rsidRDefault="000A4159" w:rsidP="00A47C06">
      <w:pPr>
        <w:pStyle w:val="normal84"/>
        <w:rPr>
          <w:rtl/>
        </w:rPr>
      </w:pPr>
      <w:r w:rsidRPr="00725451">
        <w:rPr>
          <w:rFonts w:hint="cs"/>
          <w:b/>
          <w:bCs/>
          <w:rtl/>
        </w:rPr>
        <w:t>ي</w:t>
      </w:r>
      <w:r w:rsidR="00B5607F" w:rsidRPr="00725451">
        <w:rPr>
          <w:rFonts w:hint="cs"/>
          <w:b/>
          <w:bCs/>
          <w:rtl/>
        </w:rPr>
        <w:t>ُ</w:t>
      </w:r>
      <w:r w:rsidRPr="00725451">
        <w:rPr>
          <w:rFonts w:hint="cs"/>
          <w:b/>
          <w:bCs/>
          <w:rtl/>
        </w:rPr>
        <w:t>ضاف إلى ذلك</w:t>
      </w:r>
      <w:r w:rsidRPr="00822CE9">
        <w:rPr>
          <w:rFonts w:hint="cs"/>
          <w:rtl/>
        </w:rPr>
        <w:t xml:space="preserve"> أن</w:t>
      </w:r>
      <w:r w:rsidR="00B5607F">
        <w:rPr>
          <w:rFonts w:hint="cs"/>
          <w:rtl/>
        </w:rPr>
        <w:t>ّ</w:t>
      </w:r>
      <w:r w:rsidRPr="00822CE9">
        <w:rPr>
          <w:rFonts w:hint="cs"/>
          <w:rtl/>
        </w:rPr>
        <w:t>ه حتى لو ثبت إذن الإمام الكاظم ورضاه عن هذه الثورة، فنحن لا نعرف الملابسات، فقد تكون جازت بعنوان</w:t>
      </w:r>
      <w:r w:rsidR="00B5607F">
        <w:rPr>
          <w:rFonts w:hint="cs"/>
          <w:rtl/>
        </w:rPr>
        <w:t>ٍ</w:t>
      </w:r>
      <w:r w:rsidRPr="00822CE9">
        <w:rPr>
          <w:rFonts w:hint="cs"/>
          <w:rtl/>
        </w:rPr>
        <w:t xml:space="preserve"> ثانوي، وربما يقال: إن</w:t>
      </w:r>
      <w:r w:rsidR="00B5607F">
        <w:rPr>
          <w:rFonts w:hint="cs"/>
          <w:rtl/>
        </w:rPr>
        <w:t>ّ</w:t>
      </w:r>
      <w:r w:rsidRPr="00822CE9">
        <w:rPr>
          <w:rFonts w:hint="cs"/>
          <w:rtl/>
        </w:rPr>
        <w:t>ها حينئذ بإذن المعصوم</w:t>
      </w:r>
      <w:r w:rsidR="00B5607F">
        <w:rPr>
          <w:rFonts w:hint="cs"/>
          <w:rtl/>
        </w:rPr>
        <w:t>،</w:t>
      </w:r>
      <w:r w:rsidRPr="00822CE9">
        <w:rPr>
          <w:rFonts w:hint="cs"/>
          <w:rtl/>
        </w:rPr>
        <w:t xml:space="preserve"> فكيف نقدّمها على ما دلّ من روايات على عدم جواز الخروج في عصر الغيبة و..</w:t>
      </w:r>
      <w:r w:rsidR="005C0EEC">
        <w:rPr>
          <w:rFonts w:hint="cs"/>
          <w:rtl/>
        </w:rPr>
        <w:t>؟!</w:t>
      </w:r>
    </w:p>
    <w:p w14:paraId="6C75ACDE" w14:textId="77777777" w:rsidR="000A4159" w:rsidRPr="00725451" w:rsidRDefault="000A4159" w:rsidP="0096148C">
      <w:pPr>
        <w:pStyle w:val="Heading2"/>
        <w:rPr>
          <w:rtl/>
        </w:rPr>
      </w:pPr>
      <w:bookmarkStart w:id="76" w:name="_Toc143804128"/>
      <w:bookmarkStart w:id="77" w:name="_Toc238123253"/>
      <w:r w:rsidRPr="00725451">
        <w:rPr>
          <w:rFonts w:hint="cs"/>
          <w:rtl/>
        </w:rPr>
        <w:t xml:space="preserve">15 ـ الاستناد إلى </w:t>
      </w:r>
      <w:r w:rsidR="00EE789A">
        <w:rPr>
          <w:rFonts w:hint="cs"/>
          <w:rtl/>
        </w:rPr>
        <w:t xml:space="preserve">حركة </w:t>
      </w:r>
      <w:r w:rsidRPr="00725451">
        <w:rPr>
          <w:rFonts w:hint="cs"/>
          <w:rtl/>
        </w:rPr>
        <w:t>الإمام الحسين بن علي</w:t>
      </w:r>
      <w:bookmarkEnd w:id="76"/>
      <w:bookmarkEnd w:id="77"/>
    </w:p>
    <w:p w14:paraId="7975A460" w14:textId="77777777" w:rsidR="00DD6401" w:rsidRPr="00D435D0" w:rsidRDefault="00DD6401" w:rsidP="00A47C06">
      <w:pPr>
        <w:pStyle w:val="normal84"/>
        <w:rPr>
          <w:rtl/>
        </w:rPr>
      </w:pPr>
      <w:r w:rsidRPr="00D435D0">
        <w:rPr>
          <w:rFonts w:hint="cs"/>
          <w:rtl/>
        </w:rPr>
        <w:t>من الواضح أنّ البحث الفقهي في شرعية الثورة على الأنظمة الفاسدة من الأبحاث الضرورية التي تحتاج إلى قراءة متأنية وواعية، لا تغرق في الانفعالات الحماسية ولا تخشى من الفعل والإقدام؛ وقد طرح الفقه الإسلامي هذا الموضوع، وتناولته المذاهب الإسلامية منذ القدم؛ واتخذت فيه مواقف بلغت حدّ التناقض.</w:t>
      </w:r>
    </w:p>
    <w:p w14:paraId="312FEE16" w14:textId="77777777" w:rsidR="00DD6401" w:rsidRPr="00D435D0" w:rsidRDefault="00DD6401" w:rsidP="008271D8">
      <w:pPr>
        <w:spacing w:line="214" w:lineRule="auto"/>
        <w:rPr>
          <w:rtl/>
        </w:rPr>
      </w:pPr>
      <w:r w:rsidRPr="00D435D0">
        <w:rPr>
          <w:rFonts w:hint="cs"/>
          <w:rtl/>
        </w:rPr>
        <w:t xml:space="preserve">وفي الوسط الشيعي الإمامي، طرحت هذه القضية منذ زمن بعيد، لكن باختصار خضع ـ </w:t>
      </w:r>
      <w:r w:rsidRPr="00D435D0">
        <w:rPr>
          <w:rFonts w:hint="cs"/>
          <w:rtl/>
        </w:rPr>
        <w:lastRenderedPageBreak/>
        <w:t>تارةً ـ للدراسات المتعلّقة بالمسألة الكلامية المتصلة بالإمام المهدي، وأخرى بالمسألة السياسية المتصلة بموضوع التقية الذي حكم العقل الشيعي في غير مجال وصعيد، وقد سجلت جملة أدلّة لصالح كل فريق، وكان من بين</w:t>
      </w:r>
      <w:r w:rsidR="008271D8">
        <w:rPr>
          <w:rFonts w:hint="cs"/>
          <w:rtl/>
        </w:rPr>
        <w:t xml:space="preserve"> أدلّة </w:t>
      </w:r>
      <w:r w:rsidR="008271D8" w:rsidRPr="00D435D0">
        <w:rPr>
          <w:rFonts w:hint="cs"/>
          <w:rtl/>
        </w:rPr>
        <w:t xml:space="preserve">شرعية الثورة </w:t>
      </w:r>
      <w:r w:rsidRPr="00D435D0">
        <w:rPr>
          <w:rFonts w:hint="cs"/>
          <w:rtl/>
        </w:rPr>
        <w:t>ومن أبرزها الاستناد المرجعي لنهضة الإمام الحسين، حيث شهد هذا الدليل تنشيطاً ملحوظاً في القرن الماضي.</w:t>
      </w:r>
    </w:p>
    <w:p w14:paraId="16CD9B89" w14:textId="77777777" w:rsidR="005D5457" w:rsidRDefault="00DD6401" w:rsidP="00A47C06">
      <w:pPr>
        <w:rPr>
          <w:rtl/>
        </w:rPr>
      </w:pPr>
      <w:r w:rsidRPr="00D435D0">
        <w:rPr>
          <w:rFonts w:hint="cs"/>
          <w:rtl/>
        </w:rPr>
        <w:t xml:space="preserve">بدورنا، سوف نحاول </w:t>
      </w:r>
      <w:r w:rsidR="00CA6AA3">
        <w:rPr>
          <w:rFonts w:hint="cs"/>
          <w:rtl/>
        </w:rPr>
        <w:t>هنا</w:t>
      </w:r>
      <w:r w:rsidRPr="00D435D0">
        <w:rPr>
          <w:rFonts w:hint="cs"/>
          <w:rtl/>
        </w:rPr>
        <w:t xml:space="preserve"> تحليل هذه ال</w:t>
      </w:r>
      <w:r w:rsidR="008271D8">
        <w:rPr>
          <w:rFonts w:hint="cs"/>
          <w:rtl/>
        </w:rPr>
        <w:t>حركة الحسينيّة</w:t>
      </w:r>
      <w:r w:rsidRPr="00D435D0">
        <w:rPr>
          <w:rFonts w:hint="cs"/>
          <w:rtl/>
        </w:rPr>
        <w:t xml:space="preserve"> بما يتصل بهذا الموضوع؛ لنرى هل تعطي هذه النهضة تبريراً شرعياً لممارسة آلية الثورة ضدّ الأنظمة الجائرة، أ</w:t>
      </w:r>
      <w:r w:rsidR="008271D8">
        <w:rPr>
          <w:rFonts w:hint="cs"/>
          <w:rtl/>
        </w:rPr>
        <w:t>و أنّ</w:t>
      </w:r>
      <w:r w:rsidRPr="00D435D0">
        <w:rPr>
          <w:rFonts w:hint="cs"/>
          <w:rtl/>
        </w:rPr>
        <w:t xml:space="preserve"> هناك ما يمنع عن توظيف هذه الحركة التاريخية الكبرى في مثل هذه الحالات؟ وإذا كان الجواب إيجابياً فمن الضروري تحديد المَدَيَات التي يعطيها هذا الدليل في نطاق حالات فساد الأنظمة أو جورها أو انحرافها</w:t>
      </w:r>
      <w:r w:rsidR="008271D8">
        <w:rPr>
          <w:rFonts w:hint="cs"/>
          <w:rtl/>
        </w:rPr>
        <w:t>.</w:t>
      </w:r>
    </w:p>
    <w:p w14:paraId="68D48C91" w14:textId="77777777" w:rsidR="005D5457" w:rsidRDefault="005D5457" w:rsidP="005D5457">
      <w:pPr>
        <w:spacing w:line="214" w:lineRule="auto"/>
        <w:rPr>
          <w:b/>
          <w:bCs/>
          <w:rtl/>
        </w:rPr>
      </w:pPr>
      <w:r w:rsidRPr="005D5457">
        <w:rPr>
          <w:rFonts w:hint="cs"/>
          <w:b/>
          <w:bCs/>
          <w:rtl/>
        </w:rPr>
        <w:t>وهذا يعني أنّنا أمام مرحلتين:</w:t>
      </w:r>
    </w:p>
    <w:p w14:paraId="3D21808D" w14:textId="77777777" w:rsidR="005D5457" w:rsidRDefault="005D5457" w:rsidP="005D5457">
      <w:pPr>
        <w:spacing w:line="214" w:lineRule="auto"/>
        <w:rPr>
          <w:rtl/>
        </w:rPr>
      </w:pPr>
      <w:r>
        <w:rPr>
          <w:rFonts w:hint="cs"/>
          <w:b/>
          <w:bCs/>
          <w:rtl/>
        </w:rPr>
        <w:t xml:space="preserve">المرحلة الأولى: </w:t>
      </w:r>
      <w:r w:rsidRPr="005D5457">
        <w:rPr>
          <w:rFonts w:hint="cs"/>
          <w:b/>
          <w:bCs/>
          <w:rtl/>
        </w:rPr>
        <w:t>المرحلة التفسيريّة والتحليلي</w:t>
      </w:r>
      <w:r>
        <w:rPr>
          <w:rFonts w:hint="cs"/>
          <w:b/>
          <w:bCs/>
          <w:rtl/>
        </w:rPr>
        <w:t>ّ</w:t>
      </w:r>
      <w:r w:rsidRPr="005D5457">
        <w:rPr>
          <w:rFonts w:hint="cs"/>
          <w:b/>
          <w:bCs/>
          <w:rtl/>
        </w:rPr>
        <w:t>ة لخروج الحسين</w:t>
      </w:r>
      <w:r>
        <w:rPr>
          <w:rFonts w:hint="cs"/>
          <w:b/>
          <w:bCs/>
          <w:rtl/>
        </w:rPr>
        <w:t>،</w:t>
      </w:r>
      <w:r>
        <w:rPr>
          <w:rFonts w:hint="cs"/>
          <w:rtl/>
        </w:rPr>
        <w:t xml:space="preserve"> من حيث المنطلقات والدوافع والمسارات.</w:t>
      </w:r>
    </w:p>
    <w:p w14:paraId="494D6DF3" w14:textId="77777777" w:rsidR="00DD6401" w:rsidRPr="00D435D0" w:rsidRDefault="005D5457" w:rsidP="00A47C06">
      <w:pPr>
        <w:rPr>
          <w:rtl/>
        </w:rPr>
      </w:pPr>
      <w:r w:rsidRPr="005D5457">
        <w:rPr>
          <w:rFonts w:hint="cs"/>
          <w:b/>
          <w:bCs/>
          <w:rtl/>
        </w:rPr>
        <w:t>المرحلة الثانية</w:t>
      </w:r>
      <w:r>
        <w:rPr>
          <w:rFonts w:hint="cs"/>
          <w:b/>
          <w:bCs/>
          <w:rtl/>
        </w:rPr>
        <w:t>:</w:t>
      </w:r>
      <w:r w:rsidRPr="005D5457">
        <w:rPr>
          <w:rFonts w:hint="cs"/>
          <w:b/>
          <w:bCs/>
          <w:rtl/>
        </w:rPr>
        <w:t xml:space="preserve"> المرحلة الاجتهادي</w:t>
      </w:r>
      <w:r>
        <w:rPr>
          <w:rFonts w:hint="cs"/>
          <w:b/>
          <w:bCs/>
          <w:rtl/>
        </w:rPr>
        <w:t>ّ</w:t>
      </w:r>
      <w:r w:rsidRPr="005D5457">
        <w:rPr>
          <w:rFonts w:hint="cs"/>
          <w:b/>
          <w:bCs/>
          <w:rtl/>
        </w:rPr>
        <w:t>ة الاستنباطي</w:t>
      </w:r>
      <w:r>
        <w:rPr>
          <w:rFonts w:hint="cs"/>
          <w:b/>
          <w:bCs/>
          <w:rtl/>
        </w:rPr>
        <w:t>ّ</w:t>
      </w:r>
      <w:r w:rsidRPr="005D5457">
        <w:rPr>
          <w:rFonts w:hint="cs"/>
          <w:b/>
          <w:bCs/>
          <w:rtl/>
        </w:rPr>
        <w:t>ة</w:t>
      </w:r>
      <w:r>
        <w:rPr>
          <w:rFonts w:hint="cs"/>
          <w:b/>
          <w:bCs/>
          <w:rtl/>
        </w:rPr>
        <w:t xml:space="preserve">، </w:t>
      </w:r>
      <w:r w:rsidRPr="005D5457">
        <w:rPr>
          <w:rFonts w:hint="cs"/>
          <w:rtl/>
        </w:rPr>
        <w:t>والتي تقع</w:t>
      </w:r>
      <w:r>
        <w:rPr>
          <w:rFonts w:hint="cs"/>
          <w:rtl/>
        </w:rPr>
        <w:t xml:space="preserve"> في ضوء نتائج البحث في المرحلة الأولى، فوفقاً لنتائج المرحلة الأولى، إلى أيّ مدى يمكن الاستفادة من الحركة الحسينيّة في شرعنة الثورات وإسقاط الأنظمة الفاسدة ولو بالقوّة؟</w:t>
      </w:r>
    </w:p>
    <w:p w14:paraId="3A7FDD1E" w14:textId="77777777" w:rsidR="00DD6401" w:rsidRPr="00D435D0" w:rsidRDefault="00DD6401" w:rsidP="00A47C06">
      <w:pPr>
        <w:rPr>
          <w:rtl/>
        </w:rPr>
      </w:pPr>
      <w:r w:rsidRPr="00D435D0">
        <w:rPr>
          <w:rFonts w:hint="cs"/>
          <w:rtl/>
        </w:rPr>
        <w:t>من هنا، كانت الصيغة الأوّلية للاستدلال بهذه الحركة؛ ف</w:t>
      </w:r>
      <w:r w:rsidR="008271D8">
        <w:rPr>
          <w:rFonts w:hint="cs"/>
          <w:rtl/>
        </w:rPr>
        <w:t>خروج</w:t>
      </w:r>
      <w:r w:rsidR="00FA35DD" w:rsidRPr="000A4159">
        <w:rPr>
          <w:rFonts w:cs="Taher"/>
          <w:vertAlign w:val="superscript"/>
          <w:rtl/>
        </w:rPr>
        <w:t>(</w:t>
      </w:r>
      <w:r w:rsidR="00FA35DD" w:rsidRPr="000A4159">
        <w:rPr>
          <w:rStyle w:val="FootnoteReference"/>
          <w:rFonts w:cs="Taher"/>
          <w:rtl/>
        </w:rPr>
        <w:footnoteReference w:id="162"/>
      </w:r>
      <w:r w:rsidR="00FA35DD" w:rsidRPr="000A4159">
        <w:rPr>
          <w:rFonts w:cs="Taher"/>
          <w:vertAlign w:val="superscript"/>
          <w:rtl/>
        </w:rPr>
        <w:t>)</w:t>
      </w:r>
      <w:r w:rsidR="008271D8">
        <w:rPr>
          <w:rFonts w:hint="cs"/>
          <w:rtl/>
        </w:rPr>
        <w:t xml:space="preserve"> </w:t>
      </w:r>
      <w:r w:rsidRPr="00D435D0">
        <w:rPr>
          <w:rFonts w:hint="cs"/>
          <w:rtl/>
        </w:rPr>
        <w:t>الإمام الشهيد الحسين بن علي بن أبي طالب</w:t>
      </w:r>
      <w:r w:rsidR="008271D8">
        <w:rPr>
          <w:rFonts w:hint="cs"/>
          <w:rtl/>
        </w:rPr>
        <w:t>×</w:t>
      </w:r>
      <w:r w:rsidRPr="00D435D0">
        <w:rPr>
          <w:rFonts w:hint="cs"/>
          <w:rtl/>
        </w:rPr>
        <w:t xml:space="preserve"> من المسلّمات التاريخية، كما أن</w:t>
      </w:r>
      <w:r w:rsidR="008271D8">
        <w:rPr>
          <w:rFonts w:hint="cs"/>
          <w:rtl/>
        </w:rPr>
        <w:t>ّ</w:t>
      </w:r>
      <w:r w:rsidRPr="00D435D0">
        <w:rPr>
          <w:rFonts w:hint="cs"/>
          <w:rtl/>
        </w:rPr>
        <w:t xml:space="preserve"> صاحبه من أئمة أهل البيت، وقد كان خروجاً على السلطان يزيد بن معاوية بن أبي سفيان، نتيجة الانحراف الذي حلّ بالسلطة والخلافة، ف</w:t>
      </w:r>
      <w:r w:rsidR="008271D8">
        <w:rPr>
          <w:rFonts w:hint="cs"/>
          <w:rtl/>
        </w:rPr>
        <w:t>ي</w:t>
      </w:r>
      <w:r w:rsidRPr="00D435D0">
        <w:rPr>
          <w:rFonts w:hint="cs"/>
          <w:rtl/>
        </w:rPr>
        <w:t>كون من أقوى الأدلّة ـ سنداً ودلالةً ـ على جواز الخروج الدموي ضدّ النظام الفاسد.</w:t>
      </w:r>
    </w:p>
    <w:p w14:paraId="56529992" w14:textId="77777777" w:rsidR="00DD6401" w:rsidRPr="00475252" w:rsidRDefault="00DD6401" w:rsidP="0096148C">
      <w:pPr>
        <w:pStyle w:val="Heading2"/>
        <w:rPr>
          <w:rtl/>
        </w:rPr>
      </w:pPr>
      <w:bookmarkStart w:id="78" w:name="_Toc307009610"/>
      <w:bookmarkStart w:id="79" w:name="_Toc143804129"/>
      <w:bookmarkStart w:id="80" w:name="_Toc238123254"/>
      <w:r w:rsidRPr="00475252">
        <w:rPr>
          <w:rFonts w:hint="cs"/>
          <w:rtl/>
        </w:rPr>
        <w:lastRenderedPageBreak/>
        <w:t>المبرّرات الموضوعية لدراسة فلسفة الحركة الحسيني</w:t>
      </w:r>
      <w:r w:rsidR="008271D8">
        <w:rPr>
          <w:rFonts w:hint="cs"/>
          <w:rtl/>
        </w:rPr>
        <w:t>ّ</w:t>
      </w:r>
      <w:r w:rsidRPr="00475252">
        <w:rPr>
          <w:rFonts w:hint="cs"/>
          <w:rtl/>
        </w:rPr>
        <w:t>ة</w:t>
      </w:r>
      <w:bookmarkEnd w:id="78"/>
      <w:bookmarkEnd w:id="79"/>
      <w:bookmarkEnd w:id="80"/>
    </w:p>
    <w:p w14:paraId="39DA4F6E" w14:textId="77777777" w:rsidR="00DD6401" w:rsidRPr="00D435D0" w:rsidRDefault="00DD6401" w:rsidP="00A47C06">
      <w:pPr>
        <w:pStyle w:val="normal84"/>
        <w:rPr>
          <w:rtl/>
        </w:rPr>
      </w:pPr>
      <w:r w:rsidRPr="00D435D0">
        <w:rPr>
          <w:rtl/>
        </w:rPr>
        <w:t>والبحث في علاقة ال</w:t>
      </w:r>
      <w:r w:rsidR="008271D8">
        <w:rPr>
          <w:rFonts w:hint="cs"/>
          <w:rtl/>
        </w:rPr>
        <w:t xml:space="preserve">حركة </w:t>
      </w:r>
      <w:r w:rsidRPr="00D435D0">
        <w:rPr>
          <w:rtl/>
        </w:rPr>
        <w:t>الحسينية بمسألة الخروج على الأنظمة الظالمة لا يمكن أن يأخذ طريقه الطبيعي بمعزل عن النظري</w:t>
      </w:r>
      <w:r w:rsidR="008271D8">
        <w:rPr>
          <w:rFonts w:hint="cs"/>
          <w:rtl/>
        </w:rPr>
        <w:t>ّ</w:t>
      </w:r>
      <w:r w:rsidRPr="00D435D0">
        <w:rPr>
          <w:rtl/>
        </w:rPr>
        <w:t>ة التي يكوّنها الباحث على مستوى تحليله لهذ</w:t>
      </w:r>
      <w:r w:rsidR="008271D8">
        <w:rPr>
          <w:rFonts w:hint="cs"/>
          <w:rtl/>
        </w:rPr>
        <w:t xml:space="preserve">ا الخروج </w:t>
      </w:r>
      <w:r w:rsidRPr="00D435D0">
        <w:rPr>
          <w:rtl/>
        </w:rPr>
        <w:t>نفسه وفلسفته؛ لأنّ النظريات التي طرحت حول هذا الموضوع تلقي بظلالها على نتائج الاستناد إل</w:t>
      </w:r>
      <w:r w:rsidR="008271D8">
        <w:rPr>
          <w:rFonts w:hint="cs"/>
          <w:rtl/>
        </w:rPr>
        <w:t>يه</w:t>
      </w:r>
      <w:r w:rsidRPr="00D435D0">
        <w:rPr>
          <w:rtl/>
        </w:rPr>
        <w:t xml:space="preserve"> في بحثنا الفقهي هنا.</w:t>
      </w:r>
    </w:p>
    <w:p w14:paraId="0725FD31" w14:textId="77777777" w:rsidR="003D44CC" w:rsidRDefault="00DD6401" w:rsidP="008271D8">
      <w:pPr>
        <w:spacing w:line="214" w:lineRule="auto"/>
        <w:rPr>
          <w:rFonts w:ascii="Mosawi" w:hAnsi="Mosawi"/>
          <w:rtl/>
        </w:rPr>
      </w:pPr>
      <w:r w:rsidRPr="008271D8">
        <w:rPr>
          <w:b/>
          <w:bCs/>
          <w:rtl/>
        </w:rPr>
        <w:t>ونحن نعرف أنّ فلسفة ال</w:t>
      </w:r>
      <w:r w:rsidR="008271D8" w:rsidRPr="008271D8">
        <w:rPr>
          <w:rFonts w:hint="cs"/>
          <w:b/>
          <w:bCs/>
          <w:rtl/>
        </w:rPr>
        <w:t xml:space="preserve">حركة </w:t>
      </w:r>
      <w:r w:rsidRPr="008271D8">
        <w:rPr>
          <w:b/>
          <w:bCs/>
          <w:rtl/>
        </w:rPr>
        <w:t>الحسينية لم توضع على نار حامية في الوسط الشيعي منذ زمن بعيد، بل إنّ بعض العلماء دعا إلى الإحجام عن دراسة هذا الموضوع واعتبره نوعاً من التكلّف،</w:t>
      </w:r>
      <w:r w:rsidRPr="00D435D0">
        <w:rPr>
          <w:rtl/>
        </w:rPr>
        <w:t xml:space="preserve"> وأنّ اللازم إحالة الأمر إلى أهل البيت أنفسهم، لأنّهم معصومون</w:t>
      </w:r>
      <w:r w:rsidRPr="00D45AC2">
        <w:rPr>
          <w:rFonts w:ascii="Mosawi" w:hAnsi="Mosawi" w:cs="Taher"/>
          <w:vertAlign w:val="superscript"/>
          <w:rtl/>
        </w:rPr>
        <w:t>(</w:t>
      </w:r>
      <w:r w:rsidRPr="00D45AC2">
        <w:rPr>
          <w:rFonts w:ascii="Mosawi" w:hAnsi="Mosawi" w:cs="Taher"/>
          <w:vertAlign w:val="superscript"/>
          <w:rtl/>
        </w:rPr>
        <w:footnoteReference w:id="163"/>
      </w:r>
      <w:r w:rsidRPr="00D45AC2">
        <w:rPr>
          <w:rFonts w:ascii="Mosawi" w:hAnsi="Mosawi" w:cs="Taher"/>
          <w:vertAlign w:val="superscript"/>
          <w:rtl/>
        </w:rPr>
        <w:t>)</w:t>
      </w:r>
      <w:r w:rsidR="003D44CC">
        <w:rPr>
          <w:rFonts w:ascii="Mosawi" w:hAnsi="Mosawi" w:hint="cs"/>
          <w:rtl/>
        </w:rPr>
        <w:t>.</w:t>
      </w:r>
    </w:p>
    <w:p w14:paraId="576EE630" w14:textId="77777777" w:rsidR="003D44CC" w:rsidRDefault="003D44CC" w:rsidP="003D44CC">
      <w:pPr>
        <w:spacing w:line="214" w:lineRule="auto"/>
        <w:rPr>
          <w:rFonts w:ascii="Mosawi" w:hAnsi="Mosawi"/>
          <w:rtl/>
        </w:rPr>
      </w:pPr>
      <w:r w:rsidRPr="003D44CC">
        <w:rPr>
          <w:rFonts w:ascii="Mosawi" w:hAnsi="Mosawi" w:hint="cs"/>
          <w:b/>
          <w:bCs/>
          <w:rtl/>
        </w:rPr>
        <w:t xml:space="preserve">قال المجلسي </w:t>
      </w:r>
      <w:r>
        <w:rPr>
          <w:rFonts w:ascii="Mosawi" w:hAnsi="Mosawi" w:hint="cs"/>
          <w:b/>
          <w:bCs/>
          <w:rtl/>
        </w:rPr>
        <w:t xml:space="preserve">ـ </w:t>
      </w:r>
      <w:r w:rsidRPr="003D44CC">
        <w:rPr>
          <w:rFonts w:ascii="Mosawi" w:hAnsi="Mosawi" w:hint="cs"/>
          <w:b/>
          <w:bCs/>
          <w:rtl/>
        </w:rPr>
        <w:t>معلّقاً على محاولات السيد المرتضى تعقيل خروج الحسين وتب</w:t>
      </w:r>
      <w:r>
        <w:rPr>
          <w:rFonts w:ascii="Mosawi" w:hAnsi="Mosawi" w:hint="cs"/>
          <w:b/>
          <w:bCs/>
          <w:rtl/>
        </w:rPr>
        <w:t>ر</w:t>
      </w:r>
      <w:r w:rsidRPr="003D44CC">
        <w:rPr>
          <w:rFonts w:ascii="Mosawi" w:hAnsi="Mosawi" w:hint="cs"/>
          <w:b/>
          <w:bCs/>
          <w:rtl/>
        </w:rPr>
        <w:t>يره</w:t>
      </w:r>
      <w:r>
        <w:rPr>
          <w:rFonts w:ascii="Mosawi" w:hAnsi="Mosawi" w:hint="cs"/>
          <w:b/>
          <w:bCs/>
          <w:rtl/>
        </w:rPr>
        <w:t xml:space="preserve"> ـ</w:t>
      </w:r>
      <w:r w:rsidRPr="003D44CC">
        <w:rPr>
          <w:rFonts w:ascii="Mosawi" w:hAnsi="Mosawi" w:hint="cs"/>
          <w:b/>
          <w:bCs/>
          <w:rtl/>
        </w:rPr>
        <w:t>:</w:t>
      </w:r>
      <w:r>
        <w:rPr>
          <w:rFonts w:ascii="Mosawi" w:hAnsi="Mosawi" w:hint="cs"/>
          <w:rtl/>
        </w:rPr>
        <w:t xml:space="preserve"> </w:t>
      </w:r>
      <w:r>
        <w:rPr>
          <w:rFonts w:ascii="Mosawi" w:hAnsi="Mosawi" w:hint="eastAsia"/>
          <w:rtl/>
        </w:rPr>
        <w:t>«</w:t>
      </w:r>
      <w:r w:rsidRPr="003D44CC">
        <w:rPr>
          <w:rFonts w:ascii="Mosawi" w:hAnsi="Mosawi"/>
          <w:rtl/>
        </w:rPr>
        <w:t>قد مضى في كتاب الإمامة وكتاب الفتن أخبار كثيرة دال</w:t>
      </w:r>
      <w:r>
        <w:rPr>
          <w:rFonts w:ascii="Mosawi" w:hAnsi="Mosawi" w:hint="cs"/>
          <w:rtl/>
        </w:rPr>
        <w:t>ّ</w:t>
      </w:r>
      <w:r w:rsidRPr="003D44CC">
        <w:rPr>
          <w:rFonts w:ascii="Mosawi" w:hAnsi="Mosawi"/>
          <w:rtl/>
        </w:rPr>
        <w:t>ة على أن</w:t>
      </w:r>
      <w:r>
        <w:rPr>
          <w:rFonts w:ascii="Mosawi" w:hAnsi="Mosawi" w:hint="cs"/>
          <w:rtl/>
        </w:rPr>
        <w:t xml:space="preserve">ّ </w:t>
      </w:r>
      <w:r w:rsidRPr="003D44CC">
        <w:rPr>
          <w:rFonts w:ascii="Mosawi" w:hAnsi="Mosawi"/>
          <w:rtl/>
        </w:rPr>
        <w:t>كل</w:t>
      </w:r>
      <w:r>
        <w:rPr>
          <w:rFonts w:ascii="Mosawi" w:hAnsi="Mosawi" w:hint="cs"/>
          <w:rtl/>
        </w:rPr>
        <w:t>ّ</w:t>
      </w:r>
      <w:r w:rsidRPr="003D44CC">
        <w:rPr>
          <w:rFonts w:ascii="Mosawi" w:hAnsi="Mosawi"/>
          <w:rtl/>
        </w:rPr>
        <w:t>ا</w:t>
      </w:r>
      <w:r>
        <w:rPr>
          <w:rFonts w:ascii="Mosawi" w:hAnsi="Mosawi" w:hint="cs"/>
          <w:rtl/>
        </w:rPr>
        <w:t>ً</w:t>
      </w:r>
      <w:r w:rsidRPr="003D44CC">
        <w:rPr>
          <w:rFonts w:ascii="Mosawi" w:hAnsi="Mosawi"/>
          <w:rtl/>
        </w:rPr>
        <w:t xml:space="preserve"> منهم </w:t>
      </w:r>
      <w:r>
        <w:rPr>
          <w:rFonts w:ascii="Mosawi" w:hAnsi="Mosawi" w:hint="cs"/>
          <w:rtl/>
        </w:rPr>
        <w:t xml:space="preserve">ـ </w:t>
      </w:r>
      <w:r w:rsidRPr="003D44CC">
        <w:rPr>
          <w:rFonts w:ascii="Mosawi" w:hAnsi="Mosawi"/>
          <w:rtl/>
        </w:rPr>
        <w:t xml:space="preserve">عليهم السلام </w:t>
      </w:r>
      <w:r>
        <w:rPr>
          <w:rFonts w:ascii="Mosawi" w:hAnsi="Mosawi" w:hint="cs"/>
          <w:rtl/>
        </w:rPr>
        <w:t xml:space="preserve">ـ </w:t>
      </w:r>
      <w:r w:rsidRPr="003D44CC">
        <w:rPr>
          <w:rFonts w:ascii="Mosawi" w:hAnsi="Mosawi"/>
          <w:rtl/>
        </w:rPr>
        <w:t>كان مأمورا</w:t>
      </w:r>
      <w:r>
        <w:rPr>
          <w:rFonts w:ascii="Mosawi" w:hAnsi="Mosawi" w:hint="cs"/>
          <w:rtl/>
        </w:rPr>
        <w:t>ً</w:t>
      </w:r>
      <w:r w:rsidRPr="003D44CC">
        <w:rPr>
          <w:rFonts w:ascii="Mosawi" w:hAnsi="Mosawi"/>
          <w:rtl/>
        </w:rPr>
        <w:t xml:space="preserve"> بأمور خاص</w:t>
      </w:r>
      <w:r>
        <w:rPr>
          <w:rFonts w:ascii="Mosawi" w:hAnsi="Mosawi" w:hint="cs"/>
          <w:rtl/>
        </w:rPr>
        <w:t>ّ</w:t>
      </w:r>
      <w:r w:rsidRPr="003D44CC">
        <w:rPr>
          <w:rFonts w:ascii="Mosawi" w:hAnsi="Mosawi"/>
          <w:rtl/>
        </w:rPr>
        <w:t>ة مكتوبة في الصحف السماوي</w:t>
      </w:r>
      <w:r>
        <w:rPr>
          <w:rFonts w:ascii="Mosawi" w:hAnsi="Mosawi" w:hint="cs"/>
          <w:rtl/>
        </w:rPr>
        <w:t>ّ</w:t>
      </w:r>
      <w:r w:rsidRPr="003D44CC">
        <w:rPr>
          <w:rFonts w:ascii="Mosawi" w:hAnsi="Mosawi"/>
          <w:rtl/>
        </w:rPr>
        <w:t>ة النازلة على</w:t>
      </w:r>
      <w:r>
        <w:rPr>
          <w:rFonts w:ascii="Mosawi" w:hAnsi="Mosawi" w:hint="cs"/>
          <w:rtl/>
        </w:rPr>
        <w:t xml:space="preserve"> </w:t>
      </w:r>
      <w:r w:rsidRPr="003D44CC">
        <w:rPr>
          <w:rFonts w:ascii="Mosawi" w:hAnsi="Mosawi"/>
          <w:rtl/>
        </w:rPr>
        <w:t>الرسول</w:t>
      </w:r>
      <w:r>
        <w:rPr>
          <w:rFonts w:ascii="Mosawi" w:hAnsi="Mosawi" w:hint="cs"/>
          <w:rtl/>
        </w:rPr>
        <w:t>‘،</w:t>
      </w:r>
      <w:r w:rsidRPr="003D44CC">
        <w:rPr>
          <w:rFonts w:ascii="Mosawi" w:hAnsi="Mosawi"/>
          <w:rtl/>
        </w:rPr>
        <w:t xml:space="preserve"> فهم كانوا يعملون بها. ولا ينبغي قياس الأحكام المتعل</w:t>
      </w:r>
      <w:r>
        <w:rPr>
          <w:rFonts w:ascii="Mosawi" w:hAnsi="Mosawi" w:hint="cs"/>
          <w:rtl/>
        </w:rPr>
        <w:t>ّ</w:t>
      </w:r>
      <w:r w:rsidRPr="003D44CC">
        <w:rPr>
          <w:rFonts w:ascii="Mosawi" w:hAnsi="Mosawi"/>
          <w:rtl/>
        </w:rPr>
        <w:t>قة بهم على</w:t>
      </w:r>
      <w:r>
        <w:rPr>
          <w:rFonts w:ascii="Mosawi" w:hAnsi="Mosawi" w:hint="cs"/>
          <w:rtl/>
        </w:rPr>
        <w:t xml:space="preserve"> </w:t>
      </w:r>
      <w:r w:rsidRPr="003D44CC">
        <w:rPr>
          <w:rFonts w:ascii="Mosawi" w:hAnsi="Mosawi"/>
          <w:rtl/>
        </w:rPr>
        <w:t>أحكامنا، وبعد الاط</w:t>
      </w:r>
      <w:r>
        <w:rPr>
          <w:rFonts w:ascii="Mosawi" w:hAnsi="Mosawi" w:hint="cs"/>
          <w:rtl/>
        </w:rPr>
        <w:t>ّ</w:t>
      </w:r>
      <w:r w:rsidRPr="003D44CC">
        <w:rPr>
          <w:rFonts w:ascii="Mosawi" w:hAnsi="Mosawi"/>
          <w:rtl/>
        </w:rPr>
        <w:t xml:space="preserve">لاع على أحوال الأنبياء </w:t>
      </w:r>
      <w:r>
        <w:rPr>
          <w:rFonts w:ascii="Mosawi" w:hAnsi="Mosawi" w:hint="cs"/>
          <w:rtl/>
        </w:rPr>
        <w:t xml:space="preserve">ـ </w:t>
      </w:r>
      <w:r w:rsidRPr="003D44CC">
        <w:rPr>
          <w:rFonts w:ascii="Mosawi" w:hAnsi="Mosawi"/>
          <w:rtl/>
        </w:rPr>
        <w:t xml:space="preserve">عليهم السلام </w:t>
      </w:r>
      <w:r>
        <w:rPr>
          <w:rFonts w:ascii="Mosawi" w:hAnsi="Mosawi" w:hint="cs"/>
          <w:rtl/>
        </w:rPr>
        <w:t xml:space="preserve">ـ </w:t>
      </w:r>
      <w:r w:rsidRPr="003D44CC">
        <w:rPr>
          <w:rFonts w:ascii="Mosawi" w:hAnsi="Mosawi"/>
          <w:rtl/>
        </w:rPr>
        <w:t>وأن</w:t>
      </w:r>
      <w:r>
        <w:rPr>
          <w:rFonts w:ascii="Mosawi" w:hAnsi="Mosawi" w:hint="cs"/>
          <w:rtl/>
        </w:rPr>
        <w:t>ّ</w:t>
      </w:r>
      <w:r w:rsidRPr="003D44CC">
        <w:rPr>
          <w:rFonts w:ascii="Mosawi" w:hAnsi="Mosawi"/>
          <w:rtl/>
        </w:rPr>
        <w:t xml:space="preserve"> كثيرا</w:t>
      </w:r>
      <w:r>
        <w:rPr>
          <w:rFonts w:ascii="Mosawi" w:hAnsi="Mosawi" w:hint="cs"/>
          <w:rtl/>
        </w:rPr>
        <w:t>ً</w:t>
      </w:r>
      <w:r w:rsidRPr="003D44CC">
        <w:rPr>
          <w:rFonts w:ascii="Mosawi" w:hAnsi="Mosawi"/>
          <w:rtl/>
        </w:rPr>
        <w:t xml:space="preserve"> منهم كانوا يبعثون</w:t>
      </w:r>
      <w:r>
        <w:rPr>
          <w:rFonts w:ascii="Mosawi" w:hAnsi="Mosawi" w:hint="cs"/>
          <w:rtl/>
        </w:rPr>
        <w:t xml:space="preserve"> </w:t>
      </w:r>
      <w:r w:rsidRPr="003D44CC">
        <w:rPr>
          <w:rFonts w:ascii="Mosawi" w:hAnsi="Mosawi"/>
          <w:rtl/>
        </w:rPr>
        <w:t>فرادى على ألوف من الكفرة، ويسب</w:t>
      </w:r>
      <w:r>
        <w:rPr>
          <w:rFonts w:ascii="Mosawi" w:hAnsi="Mosawi" w:hint="cs"/>
          <w:rtl/>
        </w:rPr>
        <w:t>ّ</w:t>
      </w:r>
      <w:r w:rsidRPr="003D44CC">
        <w:rPr>
          <w:rFonts w:ascii="Mosawi" w:hAnsi="Mosawi"/>
          <w:rtl/>
        </w:rPr>
        <w:t>ون آلهتهم، ويدعونهم إلى دينهم، ولا يبالون</w:t>
      </w:r>
      <w:r>
        <w:rPr>
          <w:rFonts w:ascii="Mosawi" w:hAnsi="Mosawi" w:hint="cs"/>
          <w:rtl/>
        </w:rPr>
        <w:t xml:space="preserve"> </w:t>
      </w:r>
      <w:r w:rsidRPr="003D44CC">
        <w:rPr>
          <w:rFonts w:ascii="Mosawi" w:hAnsi="Mosawi"/>
          <w:rtl/>
        </w:rPr>
        <w:t>بما ينالهم من ا</w:t>
      </w:r>
      <w:r>
        <w:rPr>
          <w:rFonts w:ascii="Mosawi" w:hAnsi="Mosawi"/>
          <w:rtl/>
        </w:rPr>
        <w:t>لمكاره والضرب والحبس والقتل وال</w:t>
      </w:r>
      <w:r>
        <w:rPr>
          <w:rFonts w:ascii="Mosawi" w:hAnsi="Mosawi" w:hint="cs"/>
          <w:rtl/>
        </w:rPr>
        <w:t>إ</w:t>
      </w:r>
      <w:r w:rsidRPr="003D44CC">
        <w:rPr>
          <w:rFonts w:ascii="Mosawi" w:hAnsi="Mosawi"/>
          <w:rtl/>
        </w:rPr>
        <w:t>لقاء في النار وغير ذلك، لا ينبغي</w:t>
      </w:r>
      <w:r>
        <w:rPr>
          <w:rFonts w:ascii="Mosawi" w:hAnsi="Mosawi" w:hint="cs"/>
          <w:rtl/>
        </w:rPr>
        <w:t xml:space="preserve"> </w:t>
      </w:r>
      <w:r w:rsidRPr="003D44CC">
        <w:rPr>
          <w:rFonts w:ascii="Mosawi" w:hAnsi="Mosawi"/>
          <w:rtl/>
        </w:rPr>
        <w:t>الاعتراض على أئم</w:t>
      </w:r>
      <w:r>
        <w:rPr>
          <w:rFonts w:ascii="Mosawi" w:hAnsi="Mosawi" w:hint="cs"/>
          <w:rtl/>
        </w:rPr>
        <w:t>ّ</w:t>
      </w:r>
      <w:r w:rsidRPr="003D44CC">
        <w:rPr>
          <w:rFonts w:ascii="Mosawi" w:hAnsi="Mosawi"/>
          <w:rtl/>
        </w:rPr>
        <w:t>ة الدين في أمثال ذلك، مع أن</w:t>
      </w:r>
      <w:r>
        <w:rPr>
          <w:rFonts w:ascii="Mosawi" w:hAnsi="Mosawi" w:hint="cs"/>
          <w:rtl/>
        </w:rPr>
        <w:t>ّ</w:t>
      </w:r>
      <w:r w:rsidRPr="003D44CC">
        <w:rPr>
          <w:rFonts w:ascii="Mosawi" w:hAnsi="Mosawi"/>
          <w:rtl/>
        </w:rPr>
        <w:t>ه بعد ثبوت عصمتهم بالبراهين</w:t>
      </w:r>
      <w:r>
        <w:rPr>
          <w:rFonts w:ascii="Mosawi" w:hAnsi="Mosawi" w:hint="cs"/>
          <w:rtl/>
        </w:rPr>
        <w:t xml:space="preserve"> </w:t>
      </w:r>
      <w:r w:rsidRPr="003D44CC">
        <w:rPr>
          <w:rFonts w:ascii="Mosawi" w:hAnsi="Mosawi"/>
          <w:rtl/>
        </w:rPr>
        <w:t>والنصوص المتواترة، لا مجال للاعتراض عليهم، بل يجب التسليم لهم في كل</w:t>
      </w:r>
      <w:r>
        <w:rPr>
          <w:rFonts w:ascii="Mosawi" w:hAnsi="Mosawi" w:hint="cs"/>
          <w:rtl/>
        </w:rPr>
        <w:t>ّ</w:t>
      </w:r>
      <w:r w:rsidRPr="003D44CC">
        <w:rPr>
          <w:rFonts w:ascii="Mosawi" w:hAnsi="Mosawi"/>
          <w:rtl/>
        </w:rPr>
        <w:t xml:space="preserve"> ما</w:t>
      </w:r>
      <w:r>
        <w:rPr>
          <w:rFonts w:ascii="Mosawi" w:hAnsi="Mosawi" w:hint="cs"/>
          <w:rtl/>
        </w:rPr>
        <w:t xml:space="preserve"> </w:t>
      </w:r>
      <w:r w:rsidRPr="003D44CC">
        <w:rPr>
          <w:rFonts w:ascii="Mosawi" w:hAnsi="Mosawi"/>
          <w:rtl/>
        </w:rPr>
        <w:t>يصدر عنهم</w:t>
      </w:r>
      <w:r>
        <w:rPr>
          <w:rFonts w:ascii="Mosawi" w:hAnsi="Mosawi" w:hint="cs"/>
          <w:rtl/>
        </w:rPr>
        <w:t>»</w:t>
      </w:r>
      <w:r w:rsidRPr="00D45AC2">
        <w:rPr>
          <w:rFonts w:ascii="Mosawi" w:hAnsi="Mosawi" w:cs="Taher"/>
          <w:vertAlign w:val="superscript"/>
          <w:rtl/>
        </w:rPr>
        <w:t>(</w:t>
      </w:r>
      <w:r w:rsidRPr="00D45AC2">
        <w:rPr>
          <w:rFonts w:ascii="Mosawi" w:hAnsi="Mosawi" w:cs="Taher"/>
          <w:vertAlign w:val="superscript"/>
          <w:rtl/>
        </w:rPr>
        <w:footnoteReference w:id="164"/>
      </w:r>
      <w:r w:rsidRPr="00D45AC2">
        <w:rPr>
          <w:rFonts w:ascii="Mosawi" w:hAnsi="Mosawi" w:cs="Taher"/>
          <w:vertAlign w:val="superscript"/>
          <w:rtl/>
        </w:rPr>
        <w:t>)</w:t>
      </w:r>
      <w:r>
        <w:rPr>
          <w:rFonts w:ascii="Mosawi" w:hAnsi="Mosawi" w:hint="cs"/>
          <w:rtl/>
        </w:rPr>
        <w:t>. ثمّ حاول المجلسيّ رغم ذلك بيان بعض المصالح من خروج الحسين.</w:t>
      </w:r>
    </w:p>
    <w:p w14:paraId="5481B1C7" w14:textId="77777777" w:rsidR="00E34112" w:rsidRDefault="003D44CC" w:rsidP="00BA0C6A">
      <w:pPr>
        <w:spacing w:line="214" w:lineRule="auto"/>
        <w:rPr>
          <w:rFonts w:ascii="Mosawi" w:hAnsi="Mosawi"/>
          <w:rtl/>
        </w:rPr>
      </w:pPr>
      <w:r w:rsidRPr="003D44CC">
        <w:rPr>
          <w:rFonts w:ascii="Mosawi" w:hAnsi="Mosawi" w:hint="cs"/>
          <w:b/>
          <w:bCs/>
          <w:rtl/>
        </w:rPr>
        <w:t>وقال الشيخ النجفي:</w:t>
      </w:r>
      <w:r>
        <w:rPr>
          <w:rFonts w:ascii="Mosawi" w:hAnsi="Mosawi" w:hint="cs"/>
          <w:rtl/>
        </w:rPr>
        <w:t xml:space="preserve"> </w:t>
      </w:r>
      <w:r>
        <w:rPr>
          <w:rFonts w:ascii="Mosawi" w:hAnsi="Mosawi" w:hint="eastAsia"/>
          <w:rtl/>
        </w:rPr>
        <w:t>«</w:t>
      </w:r>
      <w:r>
        <w:rPr>
          <w:rFonts w:ascii="Mosawi" w:hAnsi="Mosawi" w:hint="cs"/>
          <w:rtl/>
        </w:rPr>
        <w:t xml:space="preserve">.. </w:t>
      </w:r>
      <w:r w:rsidRPr="003D44CC">
        <w:rPr>
          <w:rFonts w:ascii="Mosawi" w:hAnsi="Mosawi"/>
          <w:rtl/>
        </w:rPr>
        <w:t>ما وقع من</w:t>
      </w:r>
      <w:r>
        <w:rPr>
          <w:rFonts w:ascii="Mosawi" w:hAnsi="Mosawi" w:hint="cs"/>
          <w:rtl/>
        </w:rPr>
        <w:t xml:space="preserve"> </w:t>
      </w:r>
      <w:r w:rsidRPr="003D44CC">
        <w:rPr>
          <w:rFonts w:ascii="Mosawi" w:hAnsi="Mosawi"/>
          <w:rtl/>
        </w:rPr>
        <w:t>الحسين</w:t>
      </w:r>
      <w:r>
        <w:rPr>
          <w:rFonts w:ascii="Mosawi" w:hAnsi="Mosawi" w:hint="cs"/>
          <w:rtl/>
        </w:rPr>
        <w:t>×،</w:t>
      </w:r>
      <w:r w:rsidRPr="003D44CC">
        <w:rPr>
          <w:rFonts w:ascii="Mosawi" w:hAnsi="Mosawi"/>
          <w:rtl/>
        </w:rPr>
        <w:t xml:space="preserve"> مع أن</w:t>
      </w:r>
      <w:r>
        <w:rPr>
          <w:rFonts w:ascii="Mosawi" w:hAnsi="Mosawi" w:hint="cs"/>
          <w:rtl/>
        </w:rPr>
        <w:t>ّ</w:t>
      </w:r>
      <w:r w:rsidRPr="003D44CC">
        <w:rPr>
          <w:rFonts w:ascii="Mosawi" w:hAnsi="Mosawi"/>
          <w:rtl/>
        </w:rPr>
        <w:t>ه من الأسرار الرباني</w:t>
      </w:r>
      <w:r>
        <w:rPr>
          <w:rFonts w:ascii="Mosawi" w:hAnsi="Mosawi" w:hint="cs"/>
          <w:rtl/>
        </w:rPr>
        <w:t>ّ</w:t>
      </w:r>
      <w:r w:rsidRPr="003D44CC">
        <w:rPr>
          <w:rFonts w:ascii="Mosawi" w:hAnsi="Mosawi"/>
          <w:rtl/>
        </w:rPr>
        <w:t>ة والعلم المخزون</w:t>
      </w:r>
      <w:r>
        <w:rPr>
          <w:rFonts w:ascii="Mosawi" w:hAnsi="Mosawi" w:hint="cs"/>
          <w:rtl/>
        </w:rPr>
        <w:t xml:space="preserve">، </w:t>
      </w:r>
      <w:r w:rsidRPr="003D44CC">
        <w:rPr>
          <w:rFonts w:ascii="Mosawi" w:hAnsi="Mosawi"/>
          <w:rtl/>
        </w:rPr>
        <w:t>يمكن</w:t>
      </w:r>
      <w:r>
        <w:rPr>
          <w:rFonts w:ascii="Mosawi" w:hAnsi="Mosawi" w:hint="cs"/>
          <w:rtl/>
        </w:rPr>
        <w:t xml:space="preserve"> </w:t>
      </w:r>
      <w:r w:rsidRPr="003D44CC">
        <w:rPr>
          <w:rFonts w:ascii="Mosawi" w:hAnsi="Mosawi"/>
          <w:rtl/>
        </w:rPr>
        <w:t>أن يكون لانحصار الطريق في ذلك</w:t>
      </w:r>
      <w:r>
        <w:rPr>
          <w:rFonts w:ascii="Mosawi" w:hAnsi="Mosawi" w:hint="cs"/>
          <w:rtl/>
        </w:rPr>
        <w:t>..</w:t>
      </w:r>
      <w:r w:rsidRPr="003D44CC">
        <w:rPr>
          <w:rFonts w:ascii="Mosawi" w:hAnsi="Mosawi"/>
          <w:rtl/>
        </w:rPr>
        <w:t xml:space="preserve"> على أن</w:t>
      </w:r>
      <w:r>
        <w:rPr>
          <w:rFonts w:ascii="Mosawi" w:hAnsi="Mosawi" w:hint="cs"/>
          <w:rtl/>
        </w:rPr>
        <w:t>ّ</w:t>
      </w:r>
      <w:r w:rsidRPr="003D44CC">
        <w:rPr>
          <w:rFonts w:ascii="Mosawi" w:hAnsi="Mosawi"/>
          <w:rtl/>
        </w:rPr>
        <w:t>ه له تكليف خاص</w:t>
      </w:r>
      <w:r>
        <w:rPr>
          <w:rFonts w:ascii="Mosawi" w:hAnsi="Mosawi" w:hint="cs"/>
          <w:rtl/>
        </w:rPr>
        <w:t>ّ</w:t>
      </w:r>
      <w:r w:rsidRPr="003D44CC">
        <w:rPr>
          <w:rFonts w:ascii="Mosawi" w:hAnsi="Mosawi"/>
          <w:rtl/>
        </w:rPr>
        <w:t xml:space="preserve"> قد قدم عليه وبادر إلى</w:t>
      </w:r>
      <w:r>
        <w:rPr>
          <w:rFonts w:ascii="Mosawi" w:hAnsi="Mosawi" w:hint="cs"/>
          <w:rtl/>
        </w:rPr>
        <w:t xml:space="preserve"> </w:t>
      </w:r>
      <w:r w:rsidRPr="003D44CC">
        <w:rPr>
          <w:rFonts w:ascii="Mosawi" w:hAnsi="Mosawi"/>
          <w:rtl/>
        </w:rPr>
        <w:t>إجابته، ومعصوم من الخطأ لا يعترض على فعله ولا قوله، فلا ي</w:t>
      </w:r>
      <w:r>
        <w:rPr>
          <w:rFonts w:ascii="Mosawi" w:hAnsi="Mosawi" w:hint="cs"/>
          <w:rtl/>
        </w:rPr>
        <w:t>ُ</w:t>
      </w:r>
      <w:r w:rsidRPr="003D44CC">
        <w:rPr>
          <w:rFonts w:ascii="Mosawi" w:hAnsi="Mosawi"/>
          <w:rtl/>
        </w:rPr>
        <w:t>قاس</w:t>
      </w:r>
      <w:r>
        <w:rPr>
          <w:rFonts w:ascii="Mosawi" w:hAnsi="Mosawi" w:hint="cs"/>
          <w:rtl/>
        </w:rPr>
        <w:t xml:space="preserve"> </w:t>
      </w:r>
      <w:r w:rsidRPr="003D44CC">
        <w:rPr>
          <w:rFonts w:ascii="Mosawi" w:hAnsi="Mosawi"/>
          <w:rtl/>
        </w:rPr>
        <w:t>عليه من كان تكليفه ظاهر الأدل</w:t>
      </w:r>
      <w:r>
        <w:rPr>
          <w:rFonts w:ascii="Mosawi" w:hAnsi="Mosawi" w:hint="cs"/>
          <w:rtl/>
        </w:rPr>
        <w:t>ّ</w:t>
      </w:r>
      <w:r w:rsidRPr="003D44CC">
        <w:rPr>
          <w:rFonts w:ascii="Mosawi" w:hAnsi="Mosawi"/>
          <w:rtl/>
        </w:rPr>
        <w:t>ة والأخذ بعمومها وإطلاقها مرج</w:t>
      </w:r>
      <w:r>
        <w:rPr>
          <w:rFonts w:ascii="Mosawi" w:hAnsi="Mosawi" w:hint="cs"/>
          <w:rtl/>
        </w:rPr>
        <w:t>ّ</w:t>
      </w:r>
      <w:r w:rsidRPr="003D44CC">
        <w:rPr>
          <w:rFonts w:ascii="Mosawi" w:hAnsi="Mosawi"/>
          <w:rtl/>
        </w:rPr>
        <w:t>حا</w:t>
      </w:r>
      <w:r>
        <w:rPr>
          <w:rFonts w:ascii="Mosawi" w:hAnsi="Mosawi" w:hint="cs"/>
          <w:rtl/>
        </w:rPr>
        <w:t>ً</w:t>
      </w:r>
      <w:r w:rsidRPr="003D44CC">
        <w:rPr>
          <w:rFonts w:ascii="Mosawi" w:hAnsi="Mosawi"/>
          <w:rtl/>
        </w:rPr>
        <w:t xml:space="preserve"> بينها</w:t>
      </w:r>
      <w:r>
        <w:rPr>
          <w:rFonts w:ascii="Mosawi" w:hAnsi="Mosawi" w:hint="cs"/>
          <w:rtl/>
        </w:rPr>
        <w:t xml:space="preserve"> </w:t>
      </w:r>
      <w:r w:rsidRPr="003D44CC">
        <w:rPr>
          <w:rFonts w:ascii="Mosawi" w:hAnsi="Mosawi"/>
          <w:rtl/>
        </w:rPr>
        <w:t>بالمرج</w:t>
      </w:r>
      <w:r>
        <w:rPr>
          <w:rFonts w:ascii="Mosawi" w:hAnsi="Mosawi" w:hint="cs"/>
          <w:rtl/>
        </w:rPr>
        <w:t>ّ</w:t>
      </w:r>
      <w:r w:rsidRPr="003D44CC">
        <w:rPr>
          <w:rFonts w:ascii="Mosawi" w:hAnsi="Mosawi"/>
          <w:rtl/>
        </w:rPr>
        <w:t>حات الظن</w:t>
      </w:r>
      <w:r>
        <w:rPr>
          <w:rFonts w:ascii="Mosawi" w:hAnsi="Mosawi" w:hint="cs"/>
          <w:rtl/>
        </w:rPr>
        <w:t>ّ</w:t>
      </w:r>
      <w:r w:rsidRPr="003D44CC">
        <w:rPr>
          <w:rFonts w:ascii="Mosawi" w:hAnsi="Mosawi"/>
          <w:rtl/>
        </w:rPr>
        <w:t>ية</w:t>
      </w:r>
      <w:r>
        <w:rPr>
          <w:rFonts w:ascii="Mosawi" w:hAnsi="Mosawi" w:hint="cs"/>
          <w:rtl/>
        </w:rPr>
        <w:t>..</w:t>
      </w:r>
      <w:r>
        <w:rPr>
          <w:rFonts w:ascii="Mosawi" w:hAnsi="Mosawi" w:hint="eastAsia"/>
          <w:rtl/>
        </w:rPr>
        <w:t>»</w:t>
      </w:r>
      <w:r w:rsidRPr="00D45AC2">
        <w:rPr>
          <w:rFonts w:ascii="Mosawi" w:hAnsi="Mosawi" w:cs="Taher"/>
          <w:vertAlign w:val="superscript"/>
          <w:rtl/>
        </w:rPr>
        <w:t>(</w:t>
      </w:r>
      <w:r w:rsidRPr="00D45AC2">
        <w:rPr>
          <w:rFonts w:ascii="Mosawi" w:hAnsi="Mosawi" w:cs="Taher"/>
          <w:vertAlign w:val="superscript"/>
          <w:rtl/>
        </w:rPr>
        <w:footnoteReference w:id="165"/>
      </w:r>
      <w:r w:rsidRPr="00D45AC2">
        <w:rPr>
          <w:rFonts w:ascii="Mosawi" w:hAnsi="Mosawi" w:cs="Taher"/>
          <w:vertAlign w:val="superscript"/>
          <w:rtl/>
        </w:rPr>
        <w:t>)</w:t>
      </w:r>
      <w:r>
        <w:rPr>
          <w:rFonts w:ascii="Mosawi" w:hAnsi="Mosawi" w:hint="eastAsia"/>
          <w:rtl/>
        </w:rPr>
        <w:t>.</w:t>
      </w:r>
    </w:p>
    <w:p w14:paraId="0E8E002E" w14:textId="77777777" w:rsidR="00DD6401" w:rsidRPr="002E756D" w:rsidRDefault="00DD6401" w:rsidP="0047716B">
      <w:pPr>
        <w:spacing w:line="214" w:lineRule="auto"/>
        <w:rPr>
          <w:b/>
          <w:bCs/>
          <w:rtl/>
        </w:rPr>
      </w:pPr>
      <w:r w:rsidRPr="00E4028C">
        <w:rPr>
          <w:rFonts w:ascii="Mosawi" w:hAnsi="Mosawi"/>
          <w:rtl/>
        </w:rPr>
        <w:lastRenderedPageBreak/>
        <w:t>وهذا الك</w:t>
      </w:r>
      <w:r w:rsidRPr="00E4028C">
        <w:rPr>
          <w:rFonts w:hint="cs"/>
          <w:rtl/>
        </w:rPr>
        <w:t xml:space="preserve">لام ينطلق من الأصول الموضوعة المسلّمة في العقيدة الشيعية، </w:t>
      </w:r>
      <w:r w:rsidRPr="002E756D">
        <w:rPr>
          <w:rFonts w:hint="cs"/>
          <w:b/>
          <w:bCs/>
          <w:rtl/>
        </w:rPr>
        <w:t>ومن ثم</w:t>
      </w:r>
      <w:r w:rsidR="002E756D" w:rsidRPr="002E756D">
        <w:rPr>
          <w:rFonts w:hint="cs"/>
          <w:b/>
          <w:bCs/>
          <w:rtl/>
        </w:rPr>
        <w:t>ّ</w:t>
      </w:r>
      <w:r w:rsidRPr="002E756D">
        <w:rPr>
          <w:rFonts w:hint="cs"/>
          <w:b/>
          <w:bCs/>
          <w:rtl/>
        </w:rPr>
        <w:t xml:space="preserve"> ف</w:t>
      </w:r>
      <w:r w:rsidR="0047716B">
        <w:rPr>
          <w:rFonts w:hint="cs"/>
          <w:b/>
          <w:bCs/>
          <w:rtl/>
        </w:rPr>
        <w:t xml:space="preserve">يمكن التعليق عليه من </w:t>
      </w:r>
      <w:r w:rsidRPr="002E756D">
        <w:rPr>
          <w:rFonts w:hint="cs"/>
          <w:b/>
          <w:bCs/>
          <w:rtl/>
        </w:rPr>
        <w:t>ناحيتين:</w:t>
      </w:r>
    </w:p>
    <w:p w14:paraId="78A992DD" w14:textId="77777777" w:rsidR="00DD6401" w:rsidRPr="00E4028C" w:rsidRDefault="002E756D" w:rsidP="00BA0C6A">
      <w:pPr>
        <w:pStyle w:val="Space2"/>
        <w:rPr>
          <w:rtl/>
        </w:rPr>
      </w:pPr>
      <w:r w:rsidRPr="002E756D">
        <w:rPr>
          <w:rFonts w:hint="cs"/>
          <w:b/>
          <w:bCs/>
          <w:rtl/>
        </w:rPr>
        <w:t xml:space="preserve">1 ـ </w:t>
      </w:r>
      <w:r w:rsidR="00DD6401" w:rsidRPr="00E4028C">
        <w:rPr>
          <w:rFonts w:hint="cs"/>
          <w:rtl/>
        </w:rPr>
        <w:t>إنّ الاعتقاد بعصمتهم لا يعني أنّ دراسة مبرّرات ال</w:t>
      </w:r>
      <w:r>
        <w:rPr>
          <w:rFonts w:hint="cs"/>
          <w:rtl/>
        </w:rPr>
        <w:t xml:space="preserve">حركة </w:t>
      </w:r>
      <w:r w:rsidR="00DD6401" w:rsidRPr="00E4028C">
        <w:rPr>
          <w:rFonts w:hint="cs"/>
          <w:rtl/>
        </w:rPr>
        <w:t>نحوٌ من الاعتراض عليهم، بل هو للتدب</w:t>
      </w:r>
      <w:r>
        <w:rPr>
          <w:rFonts w:hint="cs"/>
          <w:rtl/>
        </w:rPr>
        <w:t>ّ</w:t>
      </w:r>
      <w:r w:rsidR="00DD6401" w:rsidRPr="00E4028C">
        <w:rPr>
          <w:rFonts w:hint="cs"/>
          <w:rtl/>
        </w:rPr>
        <w:t xml:space="preserve">ر في سيرتهم وسنّتهم التي هي </w:t>
      </w:r>
      <w:r>
        <w:rPr>
          <w:rFonts w:hint="cs"/>
          <w:rtl/>
        </w:rPr>
        <w:t xml:space="preserve">كاشف </w:t>
      </w:r>
      <w:r w:rsidR="00DD6401" w:rsidRPr="00E4028C">
        <w:rPr>
          <w:rFonts w:hint="cs"/>
          <w:rtl/>
        </w:rPr>
        <w:t>تشريعي، نحاول من خلاله أخذ المؤشرات التي تدلّنا على الموقف الشرعي، وهذا البحث الذي نحن فيه خير دليل على أنّ تحليل ال</w:t>
      </w:r>
      <w:r>
        <w:rPr>
          <w:rFonts w:hint="cs"/>
          <w:rtl/>
        </w:rPr>
        <w:t xml:space="preserve">حركة </w:t>
      </w:r>
      <w:r w:rsidR="00DD6401" w:rsidRPr="00D435D0">
        <w:rPr>
          <w:rFonts w:hint="cs"/>
          <w:rtl/>
        </w:rPr>
        <w:t>الحسيني</w:t>
      </w:r>
      <w:r>
        <w:rPr>
          <w:rFonts w:hint="cs"/>
          <w:rtl/>
        </w:rPr>
        <w:t>ّ</w:t>
      </w:r>
      <w:r w:rsidR="00DD6401" w:rsidRPr="00D435D0">
        <w:rPr>
          <w:rFonts w:hint="cs"/>
          <w:rtl/>
        </w:rPr>
        <w:t>ة</w:t>
      </w:r>
      <w:r w:rsidR="00DD6401" w:rsidRPr="00E4028C">
        <w:rPr>
          <w:rFonts w:hint="cs"/>
          <w:rtl/>
        </w:rPr>
        <w:t xml:space="preserve"> سوف يترك أثراً ـ ولو في الجملة ـ على نظري</w:t>
      </w:r>
      <w:r>
        <w:rPr>
          <w:rFonts w:hint="cs"/>
          <w:rtl/>
        </w:rPr>
        <w:t>ّ</w:t>
      </w:r>
      <w:r w:rsidR="00DD6401" w:rsidRPr="00E4028C">
        <w:rPr>
          <w:rFonts w:hint="cs"/>
          <w:rtl/>
        </w:rPr>
        <w:t xml:space="preserve">ة سياسية </w:t>
      </w:r>
      <w:r>
        <w:rPr>
          <w:rFonts w:hint="cs"/>
          <w:rtl/>
        </w:rPr>
        <w:t>م</w:t>
      </w:r>
      <w:r w:rsidR="00DD6401" w:rsidRPr="00E4028C">
        <w:rPr>
          <w:rFonts w:hint="cs"/>
          <w:rtl/>
        </w:rPr>
        <w:t>هم</w:t>
      </w:r>
      <w:r>
        <w:rPr>
          <w:rFonts w:hint="cs"/>
          <w:rtl/>
        </w:rPr>
        <w:t>ّ</w:t>
      </w:r>
      <w:r w:rsidR="00DD6401" w:rsidRPr="00E4028C">
        <w:rPr>
          <w:rFonts w:hint="cs"/>
          <w:rtl/>
        </w:rPr>
        <w:t>ة، هي نظرية الثورة على الأنظمة الفاسدة.</w:t>
      </w:r>
    </w:p>
    <w:p w14:paraId="1C74244B" w14:textId="77777777" w:rsidR="00DD6401" w:rsidRDefault="002E756D" w:rsidP="00A47C06">
      <w:pPr>
        <w:rPr>
          <w:rtl/>
        </w:rPr>
      </w:pPr>
      <w:r w:rsidRPr="002E756D">
        <w:rPr>
          <w:rFonts w:hint="cs"/>
          <w:b/>
          <w:bCs/>
          <w:rtl/>
        </w:rPr>
        <w:t xml:space="preserve">2 ـ </w:t>
      </w:r>
      <w:r w:rsidR="00DD6401" w:rsidRPr="00E4028C">
        <w:rPr>
          <w:rFonts w:hint="cs"/>
          <w:rtl/>
        </w:rPr>
        <w:t>إنّ تحليل ال</w:t>
      </w:r>
      <w:r>
        <w:rPr>
          <w:rFonts w:hint="cs"/>
          <w:rtl/>
        </w:rPr>
        <w:t xml:space="preserve">حركة </w:t>
      </w:r>
      <w:r w:rsidR="00DD6401" w:rsidRPr="00D435D0">
        <w:rPr>
          <w:rFonts w:hint="cs"/>
          <w:rtl/>
        </w:rPr>
        <w:t>الحسينية</w:t>
      </w:r>
      <w:r w:rsidR="00DD6401" w:rsidRPr="00E4028C">
        <w:rPr>
          <w:rFonts w:hint="cs"/>
          <w:rtl/>
        </w:rPr>
        <w:t xml:space="preserve"> قد يساعد في الدفاع عنها أمام إشكالات غير الشيعة، ومن المعروف أنّه منذ قديم الأيّام كانت هناك انتقادات عنيفة ومتوسّطة العنف ضدّ الإمام الحسين في خروجه على يزيد، فأبو بكر بن العربي وابن حزم الأندلسي وبعض الخوارج و.. وكثير من المستشرقين مثل فله</w:t>
      </w:r>
      <w:r>
        <w:rPr>
          <w:rFonts w:hint="cs"/>
          <w:rtl/>
        </w:rPr>
        <w:t>ا</w:t>
      </w:r>
      <w:r w:rsidR="00DD6401" w:rsidRPr="00E4028C">
        <w:rPr>
          <w:rFonts w:hint="cs"/>
          <w:rtl/>
        </w:rPr>
        <w:t>وزن، وجولدتسيهر، وسير وليام مور، ولامانس، انتقدوا ال</w:t>
      </w:r>
      <w:r>
        <w:rPr>
          <w:rFonts w:hint="cs"/>
          <w:rtl/>
        </w:rPr>
        <w:t xml:space="preserve">حركة </w:t>
      </w:r>
      <w:r w:rsidR="00DD6401" w:rsidRPr="00E4028C">
        <w:rPr>
          <w:rFonts w:hint="cs"/>
          <w:rtl/>
        </w:rPr>
        <w:t xml:space="preserve">بشدّة، وقلّة من المستشرقين ـ مثل ماريني ـ </w:t>
      </w:r>
      <w:r>
        <w:rPr>
          <w:rFonts w:hint="cs"/>
          <w:rtl/>
        </w:rPr>
        <w:t xml:space="preserve">ممّن </w:t>
      </w:r>
      <w:r w:rsidR="00DD6401" w:rsidRPr="00E4028C">
        <w:rPr>
          <w:rFonts w:hint="cs"/>
          <w:rtl/>
        </w:rPr>
        <w:t>أثنوا عليها</w:t>
      </w:r>
      <w:r w:rsidR="00DD6401" w:rsidRPr="00763E4E">
        <w:rPr>
          <w:rFonts w:cs="Taher"/>
          <w:vertAlign w:val="superscript"/>
          <w:rtl/>
        </w:rPr>
        <w:t>(</w:t>
      </w:r>
      <w:r w:rsidR="00DD6401" w:rsidRPr="00763E4E">
        <w:rPr>
          <w:rFonts w:cs="Taher"/>
          <w:vertAlign w:val="superscript"/>
          <w:rtl/>
        </w:rPr>
        <w:footnoteReference w:id="166"/>
      </w:r>
      <w:r w:rsidR="00DD6401" w:rsidRPr="00763E4E">
        <w:rPr>
          <w:rFonts w:cs="Taher"/>
          <w:vertAlign w:val="superscript"/>
          <w:rtl/>
        </w:rPr>
        <w:t>)</w:t>
      </w:r>
      <w:r w:rsidR="00DD6401" w:rsidRPr="00E4028C">
        <w:rPr>
          <w:rFonts w:hint="cs"/>
          <w:rtl/>
        </w:rPr>
        <w:t>، فكيف يمكن مواجهة هذه الانتقادات التي تنطلق من مناخ عقائدي ومعرفي آخر، دون الإقدام على تحليل ال</w:t>
      </w:r>
      <w:r>
        <w:rPr>
          <w:rFonts w:hint="cs"/>
          <w:rtl/>
        </w:rPr>
        <w:t xml:space="preserve">حركة </w:t>
      </w:r>
      <w:r w:rsidR="00DD6401" w:rsidRPr="00E4028C">
        <w:rPr>
          <w:rFonts w:hint="cs"/>
          <w:rtl/>
        </w:rPr>
        <w:t>واكتشاف مبرّراتها ودوافعها ونتائجها؟! ولهذا وجدنا مثل السيد المرتضى (436هـ) يقوم بتحليل</w:t>
      </w:r>
      <w:r>
        <w:rPr>
          <w:rFonts w:hint="cs"/>
          <w:rtl/>
        </w:rPr>
        <w:t>ها</w:t>
      </w:r>
      <w:r w:rsidR="00DD6401" w:rsidRPr="00E4028C">
        <w:rPr>
          <w:rFonts w:hint="cs"/>
          <w:rtl/>
        </w:rPr>
        <w:t xml:space="preserve"> بهدف الدفاع عنها أمام الذين انتقدوها</w:t>
      </w:r>
      <w:r w:rsidR="005363AE" w:rsidRPr="00D45AC2">
        <w:rPr>
          <w:rFonts w:ascii="Mosawi" w:hAnsi="Mosawi" w:cs="Taher"/>
          <w:vertAlign w:val="superscript"/>
          <w:rtl/>
        </w:rPr>
        <w:t>(</w:t>
      </w:r>
      <w:r w:rsidR="005363AE" w:rsidRPr="00D45AC2">
        <w:rPr>
          <w:rFonts w:ascii="Mosawi" w:hAnsi="Mosawi" w:cs="Taher"/>
          <w:vertAlign w:val="superscript"/>
          <w:rtl/>
        </w:rPr>
        <w:footnoteReference w:id="167"/>
      </w:r>
      <w:r w:rsidR="005363AE" w:rsidRPr="00D45AC2">
        <w:rPr>
          <w:rFonts w:ascii="Mosawi" w:hAnsi="Mosawi" w:cs="Taher"/>
          <w:vertAlign w:val="superscript"/>
          <w:rtl/>
        </w:rPr>
        <w:t>)</w:t>
      </w:r>
      <w:r w:rsidR="00DD6401" w:rsidRPr="00E4028C">
        <w:rPr>
          <w:rFonts w:hint="cs"/>
          <w:rtl/>
        </w:rPr>
        <w:t>.</w:t>
      </w:r>
    </w:p>
    <w:p w14:paraId="2EA11C67" w14:textId="77777777" w:rsidR="00156ED8" w:rsidRPr="00156ED8" w:rsidRDefault="00156ED8" w:rsidP="00BA0C6A">
      <w:pPr>
        <w:pStyle w:val="Space2"/>
        <w:rPr>
          <w:b/>
          <w:bCs/>
          <w:rtl/>
        </w:rPr>
      </w:pPr>
      <w:r w:rsidRPr="00156ED8">
        <w:rPr>
          <w:rFonts w:hint="cs"/>
          <w:b/>
          <w:bCs/>
          <w:rtl/>
        </w:rPr>
        <w:t>ولعلّ هذين العالمين كان نظرهما إلى خصوص القراءات النقدي</w:t>
      </w:r>
      <w:r>
        <w:rPr>
          <w:rFonts w:hint="cs"/>
          <w:b/>
          <w:bCs/>
          <w:rtl/>
        </w:rPr>
        <w:t>ّ</w:t>
      </w:r>
      <w:r w:rsidRPr="00156ED8">
        <w:rPr>
          <w:rFonts w:hint="cs"/>
          <w:b/>
          <w:bCs/>
          <w:rtl/>
        </w:rPr>
        <w:t>ة لخروج الحسين</w:t>
      </w:r>
      <w:r>
        <w:rPr>
          <w:rFonts w:hint="cs"/>
          <w:b/>
          <w:bCs/>
          <w:rtl/>
        </w:rPr>
        <w:t>، والله العالم</w:t>
      </w:r>
      <w:r w:rsidRPr="00156ED8">
        <w:rPr>
          <w:rFonts w:hint="cs"/>
          <w:b/>
          <w:bCs/>
          <w:rtl/>
        </w:rPr>
        <w:t>.</w:t>
      </w:r>
    </w:p>
    <w:p w14:paraId="75CB5602" w14:textId="77777777" w:rsidR="00DD6401" w:rsidRPr="00475252" w:rsidRDefault="00C347F4" w:rsidP="0096148C">
      <w:pPr>
        <w:pStyle w:val="Heading2"/>
        <w:rPr>
          <w:rtl/>
        </w:rPr>
      </w:pPr>
      <w:bookmarkStart w:id="81" w:name="_Toc307009611"/>
      <w:bookmarkStart w:id="82" w:name="_Toc143804130"/>
      <w:bookmarkStart w:id="83" w:name="_Toc238123255"/>
      <w:r>
        <w:rPr>
          <w:rFonts w:hint="cs"/>
          <w:rtl/>
        </w:rPr>
        <w:t xml:space="preserve">لمحة حول </w:t>
      </w:r>
      <w:r w:rsidR="00DD6401" w:rsidRPr="00475252">
        <w:rPr>
          <w:rFonts w:hint="cs"/>
          <w:rtl/>
        </w:rPr>
        <w:t>المشهد الشيعي التاريخي إزاء قراءة ال</w:t>
      </w:r>
      <w:r w:rsidR="002E756D">
        <w:rPr>
          <w:rFonts w:hint="cs"/>
          <w:rtl/>
        </w:rPr>
        <w:t xml:space="preserve">حركة </w:t>
      </w:r>
      <w:r w:rsidR="00DD6401" w:rsidRPr="00475252">
        <w:rPr>
          <w:rFonts w:hint="cs"/>
          <w:rtl/>
        </w:rPr>
        <w:t>الحسيني</w:t>
      </w:r>
      <w:r w:rsidR="002E756D">
        <w:rPr>
          <w:rFonts w:hint="cs"/>
          <w:rtl/>
        </w:rPr>
        <w:t>ّ</w:t>
      </w:r>
      <w:r w:rsidR="00DD6401" w:rsidRPr="00475252">
        <w:rPr>
          <w:rFonts w:hint="cs"/>
          <w:rtl/>
        </w:rPr>
        <w:t>ة</w:t>
      </w:r>
      <w:bookmarkEnd w:id="81"/>
      <w:bookmarkEnd w:id="82"/>
      <w:bookmarkEnd w:id="83"/>
    </w:p>
    <w:p w14:paraId="14AF8C95" w14:textId="77777777" w:rsidR="002E756D" w:rsidRDefault="00DD6401" w:rsidP="004A23E9">
      <w:pPr>
        <w:pStyle w:val="Space"/>
        <w:rPr>
          <w:rtl/>
        </w:rPr>
      </w:pPr>
      <w:r w:rsidRPr="00E4028C">
        <w:rPr>
          <w:rFonts w:hint="cs"/>
          <w:rtl/>
        </w:rPr>
        <w:t xml:space="preserve">وعلى أيّة حال، فالقرن العشرين ـ وبالتحديد النصف الثاني منه ـ هو الذي شهد فتح باب الجدل في هذا الموضوع، وإلا فالشيعة </w:t>
      </w:r>
      <w:r w:rsidR="002E756D">
        <w:rPr>
          <w:rFonts w:hint="cs"/>
          <w:rtl/>
        </w:rPr>
        <w:t xml:space="preserve">الإماميّة </w:t>
      </w:r>
      <w:r w:rsidRPr="00E4028C">
        <w:rPr>
          <w:rFonts w:hint="cs"/>
          <w:rtl/>
        </w:rPr>
        <w:t xml:space="preserve">قبل هذا التاريخ لم يتداولوا مسألة النهضة </w:t>
      </w:r>
      <w:r w:rsidRPr="00D435D0">
        <w:rPr>
          <w:rFonts w:hint="cs"/>
          <w:rtl/>
        </w:rPr>
        <w:t>الحسينية</w:t>
      </w:r>
      <w:r w:rsidRPr="00E4028C">
        <w:rPr>
          <w:rFonts w:hint="cs"/>
          <w:rtl/>
        </w:rPr>
        <w:t xml:space="preserve"> ـ غالباً ـ سوى من زاوية تراجيدية لا يتم</w:t>
      </w:r>
      <w:r w:rsidR="002E756D">
        <w:rPr>
          <w:rFonts w:hint="cs"/>
          <w:rtl/>
        </w:rPr>
        <w:t>ّ</w:t>
      </w:r>
      <w:r w:rsidRPr="00E4028C">
        <w:rPr>
          <w:rFonts w:hint="cs"/>
          <w:rtl/>
        </w:rPr>
        <w:t xml:space="preserve"> توظيفها في الإطار السياسي والنهضوي إلا </w:t>
      </w:r>
      <w:r w:rsidRPr="00E4028C">
        <w:rPr>
          <w:rFonts w:hint="cs"/>
          <w:rtl/>
        </w:rPr>
        <w:lastRenderedPageBreak/>
        <w:t xml:space="preserve">نادراً، وقد لعب ظهور الإسلام </w:t>
      </w:r>
      <w:r w:rsidR="005246FA">
        <w:rPr>
          <w:rFonts w:hint="cs"/>
          <w:rtl/>
        </w:rPr>
        <w:t>النهضوي (</w:t>
      </w:r>
      <w:r w:rsidRPr="00E4028C">
        <w:rPr>
          <w:rFonts w:hint="cs"/>
          <w:rtl/>
        </w:rPr>
        <w:t xml:space="preserve">السياسي </w:t>
      </w:r>
      <w:r w:rsidR="005246FA">
        <w:rPr>
          <w:rFonts w:hint="cs"/>
          <w:rtl/>
        </w:rPr>
        <w:t xml:space="preserve">ـ الاجتماعي) </w:t>
      </w:r>
      <w:r w:rsidRPr="00E4028C">
        <w:rPr>
          <w:rFonts w:hint="cs"/>
          <w:rtl/>
        </w:rPr>
        <w:t xml:space="preserve">الشيعي في الفترة الأخيرة بقوّة دوراً بالغاً في هذا التحوّل في قراءة الحركة </w:t>
      </w:r>
      <w:r w:rsidRPr="00D435D0">
        <w:rPr>
          <w:rFonts w:hint="cs"/>
          <w:rtl/>
        </w:rPr>
        <w:t>الحسيني</w:t>
      </w:r>
      <w:r w:rsidR="002E756D">
        <w:rPr>
          <w:rFonts w:hint="cs"/>
          <w:rtl/>
        </w:rPr>
        <w:t>ّ</w:t>
      </w:r>
      <w:r w:rsidRPr="00D435D0">
        <w:rPr>
          <w:rFonts w:hint="cs"/>
          <w:rtl/>
        </w:rPr>
        <w:t>ة</w:t>
      </w:r>
      <w:r w:rsidRPr="00E4028C">
        <w:rPr>
          <w:rFonts w:hint="cs"/>
          <w:rtl/>
        </w:rPr>
        <w:t>، مما دفع للانتقال من تفسير</w:t>
      </w:r>
      <w:r w:rsidR="002E756D">
        <w:rPr>
          <w:rFonts w:hint="cs"/>
          <w:rtl/>
        </w:rPr>
        <w:t>ها</w:t>
      </w:r>
      <w:r w:rsidRPr="00E4028C">
        <w:rPr>
          <w:rFonts w:hint="cs"/>
          <w:rtl/>
        </w:rPr>
        <w:t xml:space="preserve"> مجموعةَ عناصر بكائي</w:t>
      </w:r>
      <w:r w:rsidR="002E756D">
        <w:rPr>
          <w:rFonts w:hint="cs"/>
          <w:rtl/>
        </w:rPr>
        <w:t>ّ</w:t>
      </w:r>
      <w:r w:rsidRPr="00E4028C">
        <w:rPr>
          <w:rFonts w:hint="cs"/>
          <w:rtl/>
        </w:rPr>
        <w:t>ة تراجيدية إلى توليفة من العوامل النهضوية والتغييري</w:t>
      </w:r>
      <w:r w:rsidR="005246FA">
        <w:rPr>
          <w:rFonts w:hint="cs"/>
          <w:rtl/>
        </w:rPr>
        <w:t>ّ</w:t>
      </w:r>
      <w:r w:rsidRPr="00E4028C">
        <w:rPr>
          <w:rFonts w:hint="cs"/>
          <w:rtl/>
        </w:rPr>
        <w:t>ة</w:t>
      </w:r>
      <w:r w:rsidR="002E756D">
        <w:rPr>
          <w:rFonts w:hint="cs"/>
          <w:rtl/>
        </w:rPr>
        <w:t>.</w:t>
      </w:r>
    </w:p>
    <w:p w14:paraId="2DB0DB5D" w14:textId="77777777" w:rsidR="00DD6401" w:rsidRPr="00E4028C" w:rsidRDefault="00DD6401" w:rsidP="00A47C06">
      <w:pPr>
        <w:pStyle w:val="normal870"/>
      </w:pPr>
      <w:r w:rsidRPr="002E756D">
        <w:rPr>
          <w:rFonts w:hint="cs"/>
          <w:b/>
          <w:bCs/>
          <w:rtl/>
        </w:rPr>
        <w:t>ويدلّنا على هذا الأمر عناوين المؤل</w:t>
      </w:r>
      <w:r w:rsidR="002E756D" w:rsidRPr="002E756D">
        <w:rPr>
          <w:rFonts w:hint="cs"/>
          <w:b/>
          <w:bCs/>
          <w:rtl/>
        </w:rPr>
        <w:t>ّ</w:t>
      </w:r>
      <w:r w:rsidRPr="002E756D">
        <w:rPr>
          <w:rFonts w:hint="cs"/>
          <w:b/>
          <w:bCs/>
          <w:rtl/>
        </w:rPr>
        <w:t>فات التي كان يكتبها الشيعة حول الحسين، وهي مؤلفات تعجّ بالمفردات التراجيدية مثل:</w:t>
      </w:r>
      <w:r w:rsidRPr="00E4028C">
        <w:rPr>
          <w:rFonts w:hint="cs"/>
          <w:rtl/>
        </w:rPr>
        <w:t xml:space="preserve"> طريق البكاء، طوفان البكاء، عمّان البكاء، أمواج البكاء، رياض البكاء، مفتاح البكاء، منبع البكاء، مخزن البكاء، معدن البكاء، مناهل البكاء، مجرى البكاء، سحاب البكاء، عين البكاء، كنز الباكين، مبكى العيون، مبكى العينين، المبكيات، بحر الدموع، فيض الدموع، عين الدموع، سحاب الدموع، ينبوع الدموع، منبع الدموع، دمع العين، مدامع العين، مخازن الأحزان، رياض الأحزان، قبسات الأحزان، مثير الأحزان، مهيّج الأحزان، نوحة الأحزان وصحيفة الأشجان، أحزان الشيعة، بحر الحزن، كنز المحن، بحر الغموم، بحر الغم، قصص الغم، واحة الغموم، الهم والغم، مشرط الغم، كنز المصائب، مجمع المصائب، وجيزة المصائب، إكليل المصائب و..</w:t>
      </w:r>
    </w:p>
    <w:p w14:paraId="74DC5134" w14:textId="77777777" w:rsidR="00DD6401" w:rsidRPr="00E4028C" w:rsidRDefault="00DD6401" w:rsidP="00A47C06">
      <w:pPr>
        <w:rPr>
          <w:rtl/>
        </w:rPr>
      </w:pPr>
      <w:r w:rsidRPr="002E756D">
        <w:rPr>
          <w:rFonts w:hint="cs"/>
          <w:b/>
          <w:bCs/>
          <w:rtl/>
        </w:rPr>
        <w:t>بينما شاعت في كتابات المتأخ</w:t>
      </w:r>
      <w:r w:rsidR="002E756D">
        <w:rPr>
          <w:rFonts w:hint="cs"/>
          <w:b/>
          <w:bCs/>
          <w:rtl/>
        </w:rPr>
        <w:t>ّ</w:t>
      </w:r>
      <w:r w:rsidRPr="002E756D">
        <w:rPr>
          <w:rFonts w:hint="cs"/>
          <w:b/>
          <w:bCs/>
          <w:rtl/>
        </w:rPr>
        <w:t>رين مفردات</w:t>
      </w:r>
      <w:r w:rsidRPr="00E4028C">
        <w:rPr>
          <w:rFonts w:hint="cs"/>
          <w:rtl/>
        </w:rPr>
        <w:t xml:space="preserve"> الثورة والحماسة والسياسة بشكل لافت من قبيل: في ظلال الحرية، زعيم الأحرار، الحسين حامل لواء الحرية، الحسين سيّد الأحرار، الحسين رمز الحرية، الملحمة </w:t>
      </w:r>
      <w:r w:rsidRPr="00D435D0">
        <w:rPr>
          <w:rFonts w:hint="cs"/>
          <w:rtl/>
        </w:rPr>
        <w:t>الحسينية</w:t>
      </w:r>
      <w:r w:rsidRPr="00E4028C">
        <w:rPr>
          <w:rFonts w:hint="cs"/>
          <w:rtl/>
        </w:rPr>
        <w:t xml:space="preserve">، ملحمة عاشوراء، ملحمة كربلاء، رجال الثورة، رسالة الحسين الثورية وظروفها الحرجة، ثورة الحسين، ثورة الطفّ، النهضة </w:t>
      </w:r>
      <w:r w:rsidRPr="00D435D0">
        <w:rPr>
          <w:rFonts w:hint="cs"/>
          <w:rtl/>
        </w:rPr>
        <w:t>الحسينية</w:t>
      </w:r>
      <w:r w:rsidRPr="00E4028C">
        <w:rPr>
          <w:rFonts w:hint="cs"/>
          <w:rtl/>
        </w:rPr>
        <w:t xml:space="preserve">، نهضة عاشوراء، الأهداف الاجتماعية عند الحسين بن علي، تحليل دوافع ثورة كربلاء، الثورة </w:t>
      </w:r>
      <w:r w:rsidRPr="00D435D0">
        <w:rPr>
          <w:rFonts w:hint="cs"/>
          <w:rtl/>
        </w:rPr>
        <w:t>الحسينية</w:t>
      </w:r>
      <w:r w:rsidRPr="00E4028C">
        <w:rPr>
          <w:rFonts w:hint="cs"/>
          <w:rtl/>
        </w:rPr>
        <w:t xml:space="preserve"> وأهدافها الاجتماعية، الثورة الخالدة و..</w:t>
      </w:r>
      <w:r w:rsidRPr="00763E4E">
        <w:rPr>
          <w:rFonts w:cs="Taher"/>
          <w:vertAlign w:val="superscript"/>
          <w:rtl/>
        </w:rPr>
        <w:t>(</w:t>
      </w:r>
      <w:r w:rsidRPr="00763E4E">
        <w:rPr>
          <w:rFonts w:cs="Taher"/>
          <w:vertAlign w:val="superscript"/>
          <w:rtl/>
        </w:rPr>
        <w:footnoteReference w:id="168"/>
      </w:r>
      <w:r w:rsidRPr="00763E4E">
        <w:rPr>
          <w:rFonts w:cs="Taher"/>
          <w:vertAlign w:val="superscript"/>
          <w:rtl/>
        </w:rPr>
        <w:t>)</w:t>
      </w:r>
      <w:r w:rsidRPr="00E4028C">
        <w:rPr>
          <w:rFonts w:hint="cs"/>
          <w:rtl/>
        </w:rPr>
        <w:t>. وهذا كلّه يؤكّد غياب التفسيرات التحليلية لهذه ال</w:t>
      </w:r>
      <w:r w:rsidR="002E756D">
        <w:rPr>
          <w:rFonts w:hint="cs"/>
          <w:rtl/>
        </w:rPr>
        <w:t xml:space="preserve">حركة </w:t>
      </w:r>
      <w:r w:rsidRPr="00E4028C">
        <w:rPr>
          <w:rFonts w:hint="cs"/>
          <w:rtl/>
        </w:rPr>
        <w:t>قبل القرن العشرين في الوسط الشيعي.</w:t>
      </w:r>
    </w:p>
    <w:p w14:paraId="4324309A" w14:textId="77777777" w:rsidR="00DD6401" w:rsidRPr="00E4028C" w:rsidRDefault="00DD6401" w:rsidP="00793F0B">
      <w:pPr>
        <w:pStyle w:val="Space2"/>
        <w:rPr>
          <w:rtl/>
        </w:rPr>
      </w:pPr>
      <w:r w:rsidRPr="002E756D">
        <w:rPr>
          <w:rFonts w:hint="cs"/>
          <w:b/>
          <w:bCs/>
          <w:rtl/>
        </w:rPr>
        <w:t>ومن إفرازات التأثير السياسي على إعادة قراءة الحركة الحسيني</w:t>
      </w:r>
      <w:r w:rsidR="002E756D" w:rsidRPr="002E756D">
        <w:rPr>
          <w:rFonts w:hint="cs"/>
          <w:b/>
          <w:bCs/>
          <w:rtl/>
        </w:rPr>
        <w:t>ّ</w:t>
      </w:r>
      <w:r w:rsidRPr="002E756D">
        <w:rPr>
          <w:rFonts w:hint="cs"/>
          <w:b/>
          <w:bCs/>
          <w:rtl/>
        </w:rPr>
        <w:t>ة، صدور كتاب «الشهيد الخالد»</w:t>
      </w:r>
      <w:r w:rsidRPr="00E4028C">
        <w:rPr>
          <w:rFonts w:hint="cs"/>
          <w:rtl/>
        </w:rPr>
        <w:t xml:space="preserve"> الذي ألّفه الشيخ نعمة الله صالحي نجف آبادي (2006م) عام 19</w:t>
      </w:r>
      <w:r w:rsidR="00793F0B">
        <w:rPr>
          <w:rFonts w:hint="cs"/>
          <w:rtl/>
        </w:rPr>
        <w:t>69</w:t>
      </w:r>
      <w:r w:rsidRPr="00E4028C">
        <w:rPr>
          <w:rFonts w:hint="cs"/>
          <w:rtl/>
        </w:rPr>
        <w:t>م، فقد شكّل هذا الكتاب منعطفاً في دراسة فلسفة قيام الإمام الحسين في الوسط الشيعي</w:t>
      </w:r>
      <w:r w:rsidR="00912431">
        <w:rPr>
          <w:rFonts w:hint="cs"/>
          <w:rtl/>
        </w:rPr>
        <w:t>.</w:t>
      </w:r>
    </w:p>
    <w:p w14:paraId="5E694F66" w14:textId="77777777" w:rsidR="00DD6401" w:rsidRPr="00E4028C" w:rsidRDefault="00912431" w:rsidP="009B7F51">
      <w:pPr>
        <w:rPr>
          <w:rtl/>
        </w:rPr>
      </w:pPr>
      <w:r>
        <w:rPr>
          <w:rFonts w:hint="cs"/>
          <w:rtl/>
        </w:rPr>
        <w:lastRenderedPageBreak/>
        <w:t>و</w:t>
      </w:r>
      <w:r w:rsidR="00DD6401" w:rsidRPr="00E4028C">
        <w:rPr>
          <w:rFonts w:hint="cs"/>
          <w:rtl/>
        </w:rPr>
        <w:t>منذ 19</w:t>
      </w:r>
      <w:r w:rsidR="00793F0B">
        <w:rPr>
          <w:rFonts w:hint="cs"/>
          <w:rtl/>
        </w:rPr>
        <w:t>69</w:t>
      </w:r>
      <w:r w:rsidR="00DD6401" w:rsidRPr="00E4028C">
        <w:rPr>
          <w:rFonts w:hint="cs"/>
          <w:rtl/>
        </w:rPr>
        <w:t xml:space="preserve">م بالتحديد، ظهرت قفزة </w:t>
      </w:r>
      <w:r w:rsidR="002E756D">
        <w:rPr>
          <w:rFonts w:hint="cs"/>
          <w:rtl/>
        </w:rPr>
        <w:t>م</w:t>
      </w:r>
      <w:r w:rsidR="00DD6401" w:rsidRPr="00E4028C">
        <w:rPr>
          <w:rFonts w:hint="cs"/>
          <w:rtl/>
        </w:rPr>
        <w:t>هم</w:t>
      </w:r>
      <w:r w:rsidR="002E756D">
        <w:rPr>
          <w:rFonts w:hint="cs"/>
          <w:rtl/>
        </w:rPr>
        <w:t>ّ</w:t>
      </w:r>
      <w:r w:rsidR="00DD6401" w:rsidRPr="00E4028C">
        <w:rPr>
          <w:rFonts w:hint="cs"/>
          <w:rtl/>
        </w:rPr>
        <w:t>ة في تاريخ دراسة الشيعة لفلسفة ال</w:t>
      </w:r>
      <w:r w:rsidR="002E756D">
        <w:rPr>
          <w:rFonts w:hint="cs"/>
          <w:rtl/>
        </w:rPr>
        <w:t xml:space="preserve">حركة </w:t>
      </w:r>
      <w:r w:rsidR="00DD6401" w:rsidRPr="00D435D0">
        <w:rPr>
          <w:rFonts w:hint="cs"/>
          <w:rtl/>
        </w:rPr>
        <w:t>الحسينية</w:t>
      </w:r>
      <w:r w:rsidR="00DD6401" w:rsidRPr="00E4028C">
        <w:rPr>
          <w:rFonts w:hint="cs"/>
          <w:rtl/>
        </w:rPr>
        <w:t xml:space="preserve">، وتبلورت العديد من النظريات، التي كان بعضها ضعيفاً جداً، وبعضها أكثر حضوراً وهيمنةً على العقل الشيعي، وقد كان الإسلام السياسي </w:t>
      </w:r>
      <w:r w:rsidR="002A735B">
        <w:rPr>
          <w:rFonts w:hint="cs"/>
          <w:rtl/>
        </w:rPr>
        <w:t xml:space="preserve">والاجتماعي </w:t>
      </w:r>
      <w:r w:rsidR="00DD6401" w:rsidRPr="00E4028C">
        <w:rPr>
          <w:rFonts w:hint="cs"/>
          <w:rtl/>
        </w:rPr>
        <w:t xml:space="preserve">الشيعي ـ كما قلنا ـ بمدارسه قد لعب دوراً في إعادة قراءة </w:t>
      </w:r>
      <w:r w:rsidR="002E756D">
        <w:rPr>
          <w:rFonts w:hint="cs"/>
          <w:rtl/>
        </w:rPr>
        <w:t xml:space="preserve">حركة </w:t>
      </w:r>
      <w:r w:rsidR="00DD6401" w:rsidRPr="00E4028C">
        <w:rPr>
          <w:rFonts w:hint="cs"/>
          <w:rtl/>
        </w:rPr>
        <w:t>الحسين؛ لهذا وجدنا قراءات لها أيضاً في العالم العربي الشيعي، كان منها قراءات: السيد محمد باقر الصدر والسيد هاشم معروف الحسني</w:t>
      </w:r>
      <w:r w:rsidR="002E756D">
        <w:rPr>
          <w:rFonts w:hint="cs"/>
          <w:rtl/>
        </w:rPr>
        <w:t>،</w:t>
      </w:r>
      <w:r w:rsidR="00DD6401" w:rsidRPr="00E4028C">
        <w:rPr>
          <w:rFonts w:hint="cs"/>
          <w:rtl/>
        </w:rPr>
        <w:t xml:space="preserve"> والشيخ محمد مهدي شمس الدين</w:t>
      </w:r>
      <w:r w:rsidR="002E756D">
        <w:rPr>
          <w:rFonts w:hint="cs"/>
          <w:rtl/>
        </w:rPr>
        <w:t>،</w:t>
      </w:r>
      <w:r w:rsidR="00DD6401" w:rsidRPr="00E4028C">
        <w:rPr>
          <w:rFonts w:hint="cs"/>
          <w:rtl/>
        </w:rPr>
        <w:t xml:space="preserve"> والسيد محمد باقر الحكيم</w:t>
      </w:r>
      <w:r w:rsidR="002E756D">
        <w:rPr>
          <w:rFonts w:hint="cs"/>
          <w:rtl/>
        </w:rPr>
        <w:t>،</w:t>
      </w:r>
      <w:r w:rsidR="00DD6401" w:rsidRPr="00E4028C">
        <w:rPr>
          <w:rFonts w:hint="cs"/>
          <w:rtl/>
        </w:rPr>
        <w:t xml:space="preserve"> وباقر شريف القرشي</w:t>
      </w:r>
      <w:r w:rsidR="002E756D">
        <w:rPr>
          <w:rFonts w:hint="cs"/>
          <w:rtl/>
        </w:rPr>
        <w:t>،</w:t>
      </w:r>
      <w:r w:rsidR="00DD6401" w:rsidRPr="00E4028C">
        <w:rPr>
          <w:rFonts w:hint="cs"/>
          <w:rtl/>
        </w:rPr>
        <w:t xml:space="preserve"> والسيد محمود الهاشمي</w:t>
      </w:r>
      <w:r w:rsidR="002E756D">
        <w:rPr>
          <w:rFonts w:hint="cs"/>
          <w:rtl/>
        </w:rPr>
        <w:t>،</w:t>
      </w:r>
      <w:r w:rsidR="00DD6401" w:rsidRPr="00E4028C">
        <w:rPr>
          <w:rFonts w:hint="cs"/>
          <w:rtl/>
        </w:rPr>
        <w:t xml:space="preserve"> والشيخ محمد مهدي الآصفي</w:t>
      </w:r>
      <w:r w:rsidR="002E756D">
        <w:rPr>
          <w:rFonts w:hint="cs"/>
          <w:rtl/>
        </w:rPr>
        <w:t>،</w:t>
      </w:r>
      <w:r w:rsidR="00DD6401" w:rsidRPr="00E4028C">
        <w:rPr>
          <w:rFonts w:hint="cs"/>
          <w:rtl/>
        </w:rPr>
        <w:t xml:space="preserve"> والسيد محمد حسين فضل الله</w:t>
      </w:r>
      <w:r w:rsidR="002E756D">
        <w:rPr>
          <w:rFonts w:hint="cs"/>
          <w:rtl/>
        </w:rPr>
        <w:t>،</w:t>
      </w:r>
      <w:r w:rsidR="00DD6401" w:rsidRPr="00E4028C">
        <w:rPr>
          <w:rFonts w:hint="cs"/>
          <w:rtl/>
        </w:rPr>
        <w:t xml:space="preserve"> وغيرهم.</w:t>
      </w:r>
    </w:p>
    <w:p w14:paraId="0917D287" w14:textId="77777777" w:rsidR="00DD6401" w:rsidRPr="00E4028C" w:rsidRDefault="00DD6401" w:rsidP="009B7F51">
      <w:pPr>
        <w:pStyle w:val="Space"/>
        <w:spacing w:line="216" w:lineRule="auto"/>
        <w:rPr>
          <w:rtl/>
        </w:rPr>
      </w:pPr>
      <w:r w:rsidRPr="002E756D">
        <w:rPr>
          <w:rFonts w:hint="cs"/>
          <w:b/>
          <w:bCs/>
          <w:rtl/>
        </w:rPr>
        <w:t>وعندما نتحدّث عن تأثير الحركة السياسية الإسلامي</w:t>
      </w:r>
      <w:r w:rsidR="002E756D" w:rsidRPr="002E756D">
        <w:rPr>
          <w:rFonts w:hint="cs"/>
          <w:b/>
          <w:bCs/>
          <w:rtl/>
        </w:rPr>
        <w:t>ّ</w:t>
      </w:r>
      <w:r w:rsidRPr="002E756D">
        <w:rPr>
          <w:rFonts w:hint="cs"/>
          <w:b/>
          <w:bCs/>
          <w:rtl/>
        </w:rPr>
        <w:t>ة المتأخرة على إعادة قراءة هذا الموضوع؛ فلا ننفي وجود بعض الوقفات السابقة في هذا المجال،</w:t>
      </w:r>
      <w:r w:rsidRPr="00E4028C">
        <w:rPr>
          <w:rFonts w:hint="cs"/>
          <w:rtl/>
        </w:rPr>
        <w:t xml:space="preserve"> لعلّ من أقدمها وقفة السيد المرتضى (436هـ) في كتاب: تنزيه الأنبياء، قيل فيها: إنّها كانت جواباً تنزّلياً منه لبعض من لم يكن يؤمن بالإمامة سلفاً</w:t>
      </w:r>
      <w:r w:rsidRPr="00763E4E">
        <w:rPr>
          <w:rFonts w:cs="Taher"/>
          <w:vertAlign w:val="superscript"/>
          <w:rtl/>
        </w:rPr>
        <w:t>(</w:t>
      </w:r>
      <w:r w:rsidRPr="00763E4E">
        <w:rPr>
          <w:rFonts w:cs="Taher"/>
          <w:vertAlign w:val="superscript"/>
          <w:rtl/>
        </w:rPr>
        <w:footnoteReference w:id="169"/>
      </w:r>
      <w:r w:rsidRPr="00763E4E">
        <w:rPr>
          <w:rFonts w:cs="Taher"/>
          <w:vertAlign w:val="superscript"/>
          <w:rtl/>
        </w:rPr>
        <w:t>)</w:t>
      </w:r>
      <w:r w:rsidRPr="00E4028C">
        <w:rPr>
          <w:rFonts w:hint="cs"/>
          <w:rtl/>
        </w:rPr>
        <w:t>، كما كان لبعض العلماء والفقهاء وقفات متواضعة في ثنايا دراساتهم الفقهي</w:t>
      </w:r>
      <w:r w:rsidR="002E756D">
        <w:rPr>
          <w:rFonts w:hint="cs"/>
          <w:rtl/>
        </w:rPr>
        <w:t>ّ</w:t>
      </w:r>
      <w:r w:rsidRPr="00E4028C">
        <w:rPr>
          <w:rFonts w:hint="cs"/>
          <w:rtl/>
        </w:rPr>
        <w:t>ة، كما سيظهر للقارئ في مطاوي هذا البحث.</w:t>
      </w:r>
    </w:p>
    <w:p w14:paraId="71F429AE" w14:textId="77777777" w:rsidR="009125AB" w:rsidRDefault="00DD6401" w:rsidP="009125AB">
      <w:pPr>
        <w:pStyle w:val="Space1"/>
        <w:rPr>
          <w:rtl/>
        </w:rPr>
      </w:pPr>
      <w:r w:rsidRPr="00E4028C">
        <w:rPr>
          <w:rFonts w:hint="cs"/>
          <w:rtl/>
        </w:rPr>
        <w:t>والبحث في</w:t>
      </w:r>
      <w:r w:rsidR="008513AE">
        <w:rPr>
          <w:rFonts w:hint="cs"/>
          <w:rtl/>
        </w:rPr>
        <w:t xml:space="preserve"> حركة </w:t>
      </w:r>
      <w:r w:rsidRPr="00E4028C">
        <w:rPr>
          <w:rFonts w:hint="cs"/>
          <w:rtl/>
        </w:rPr>
        <w:t>الإمام الحسين ومنطلقاتها ومديات تعميق هذه المنطلقات طويلٌ، وقد كتب في ذلك الكثير، بل قد تحدّث بعضهم عن وجود ثمانية مناهج علمية لدراسة الظاهرة العاشورائية</w:t>
      </w:r>
      <w:r w:rsidRPr="00763E4E">
        <w:rPr>
          <w:rFonts w:cs="Taher"/>
          <w:vertAlign w:val="superscript"/>
          <w:rtl/>
        </w:rPr>
        <w:t>(</w:t>
      </w:r>
      <w:r w:rsidRPr="00763E4E">
        <w:rPr>
          <w:rFonts w:cs="Taher"/>
          <w:vertAlign w:val="superscript"/>
          <w:rtl/>
        </w:rPr>
        <w:footnoteReference w:id="170"/>
      </w:r>
      <w:r w:rsidRPr="00763E4E">
        <w:rPr>
          <w:rFonts w:cs="Taher"/>
          <w:vertAlign w:val="superscript"/>
          <w:rtl/>
        </w:rPr>
        <w:t>)</w:t>
      </w:r>
      <w:r w:rsidRPr="00E4028C">
        <w:rPr>
          <w:rFonts w:hint="cs"/>
          <w:rtl/>
        </w:rPr>
        <w:t xml:space="preserve">، وسوف نحاول هنا معالجة ما من شأنه أن يتصل بموضوعنا فحسب، </w:t>
      </w:r>
      <w:r w:rsidRPr="00516FF7">
        <w:rPr>
          <w:rFonts w:hint="cs"/>
          <w:sz w:val="29"/>
          <w:szCs w:val="29"/>
          <w:rtl/>
        </w:rPr>
        <w:t>وإلا خرجنا عن محور البحث ودخلنا في</w:t>
      </w:r>
      <w:r w:rsidRPr="00E4028C">
        <w:rPr>
          <w:rFonts w:hint="cs"/>
          <w:rtl/>
        </w:rPr>
        <w:t xml:space="preserve"> الاستطرادات.</w:t>
      </w:r>
    </w:p>
    <w:p w14:paraId="3EEFF198" w14:textId="77777777" w:rsidR="00DD6401" w:rsidRPr="009125AB" w:rsidRDefault="009125AB" w:rsidP="009125AB">
      <w:pPr>
        <w:pStyle w:val="Space1"/>
        <w:rPr>
          <w:b/>
          <w:bCs/>
          <w:rtl/>
        </w:rPr>
      </w:pPr>
      <w:r w:rsidRPr="009125AB">
        <w:rPr>
          <w:rFonts w:hint="cs"/>
          <w:b/>
          <w:bCs/>
          <w:rtl/>
        </w:rPr>
        <w:t>وسيكون كلامنا على مرحلتين:</w:t>
      </w:r>
    </w:p>
    <w:p w14:paraId="161437F4" w14:textId="77777777" w:rsidR="009125AB" w:rsidRPr="009125AB" w:rsidRDefault="009125AB" w:rsidP="009125AB">
      <w:pPr>
        <w:pStyle w:val="Space1"/>
        <w:rPr>
          <w:b/>
          <w:bCs/>
          <w:rtl/>
        </w:rPr>
      </w:pPr>
      <w:r w:rsidRPr="009125AB">
        <w:rPr>
          <w:rFonts w:hint="cs"/>
          <w:b/>
          <w:bCs/>
          <w:rtl/>
        </w:rPr>
        <w:t>المرحلة الأولى: في النظري</w:t>
      </w:r>
      <w:r>
        <w:rPr>
          <w:rFonts w:hint="cs"/>
          <w:b/>
          <w:bCs/>
          <w:rtl/>
        </w:rPr>
        <w:t>ّ</w:t>
      </w:r>
      <w:r w:rsidRPr="009125AB">
        <w:rPr>
          <w:rFonts w:hint="cs"/>
          <w:b/>
          <w:bCs/>
          <w:rtl/>
        </w:rPr>
        <w:t>ات التفسيري</w:t>
      </w:r>
      <w:r>
        <w:rPr>
          <w:rFonts w:hint="cs"/>
          <w:b/>
          <w:bCs/>
          <w:rtl/>
        </w:rPr>
        <w:t>ّ</w:t>
      </w:r>
      <w:r w:rsidRPr="009125AB">
        <w:rPr>
          <w:rFonts w:hint="cs"/>
          <w:b/>
          <w:bCs/>
          <w:rtl/>
        </w:rPr>
        <w:t>ة للحركة الحس</w:t>
      </w:r>
      <w:r>
        <w:rPr>
          <w:rFonts w:hint="cs"/>
          <w:b/>
          <w:bCs/>
          <w:rtl/>
        </w:rPr>
        <w:t>ي</w:t>
      </w:r>
      <w:r w:rsidRPr="009125AB">
        <w:rPr>
          <w:rFonts w:hint="cs"/>
          <w:b/>
          <w:bCs/>
          <w:rtl/>
        </w:rPr>
        <w:t>ني</w:t>
      </w:r>
      <w:r>
        <w:rPr>
          <w:rFonts w:hint="cs"/>
          <w:b/>
          <w:bCs/>
          <w:rtl/>
        </w:rPr>
        <w:t>ّ</w:t>
      </w:r>
      <w:r w:rsidRPr="009125AB">
        <w:rPr>
          <w:rFonts w:hint="cs"/>
          <w:b/>
          <w:bCs/>
          <w:rtl/>
        </w:rPr>
        <w:t>ة.</w:t>
      </w:r>
    </w:p>
    <w:p w14:paraId="20B3360D" w14:textId="77777777" w:rsidR="009125AB" w:rsidRPr="009125AB" w:rsidRDefault="009125AB" w:rsidP="009125AB">
      <w:pPr>
        <w:pStyle w:val="Space1"/>
        <w:rPr>
          <w:b/>
          <w:bCs/>
          <w:rtl/>
        </w:rPr>
      </w:pPr>
      <w:r w:rsidRPr="009125AB">
        <w:rPr>
          <w:rFonts w:hint="cs"/>
          <w:b/>
          <w:bCs/>
          <w:rtl/>
        </w:rPr>
        <w:t xml:space="preserve">المرحلة </w:t>
      </w:r>
      <w:r>
        <w:rPr>
          <w:rFonts w:hint="cs"/>
          <w:b/>
          <w:bCs/>
          <w:rtl/>
        </w:rPr>
        <w:t>ال</w:t>
      </w:r>
      <w:r w:rsidRPr="009125AB">
        <w:rPr>
          <w:rFonts w:hint="cs"/>
          <w:b/>
          <w:bCs/>
          <w:rtl/>
        </w:rPr>
        <w:t>ثانية: في التأثيرات الفقهي</w:t>
      </w:r>
      <w:r>
        <w:rPr>
          <w:rFonts w:hint="cs"/>
          <w:b/>
          <w:bCs/>
          <w:rtl/>
        </w:rPr>
        <w:t>ّ</w:t>
      </w:r>
      <w:r w:rsidRPr="009125AB">
        <w:rPr>
          <w:rFonts w:hint="cs"/>
          <w:b/>
          <w:bCs/>
          <w:rtl/>
        </w:rPr>
        <w:t>ة لهذه النظري</w:t>
      </w:r>
      <w:r>
        <w:rPr>
          <w:rFonts w:hint="cs"/>
          <w:b/>
          <w:bCs/>
          <w:rtl/>
        </w:rPr>
        <w:t>ّ</w:t>
      </w:r>
      <w:r w:rsidRPr="009125AB">
        <w:rPr>
          <w:rFonts w:hint="cs"/>
          <w:b/>
          <w:bCs/>
          <w:rtl/>
        </w:rPr>
        <w:t>ات على موضوع بحثنا.</w:t>
      </w:r>
    </w:p>
    <w:p w14:paraId="162D6339" w14:textId="77777777" w:rsidR="00DD6401" w:rsidRPr="00475252" w:rsidRDefault="009125AB" w:rsidP="0096148C">
      <w:pPr>
        <w:pStyle w:val="Heading2"/>
        <w:rPr>
          <w:rtl/>
        </w:rPr>
      </w:pPr>
      <w:bookmarkStart w:id="84" w:name="_Toc307009612"/>
      <w:bookmarkStart w:id="85" w:name="_Toc143804131"/>
      <w:bookmarkStart w:id="86" w:name="_Toc238123256"/>
      <w:r>
        <w:rPr>
          <w:rFonts w:hint="cs"/>
          <w:rtl/>
        </w:rPr>
        <w:t>المرحلة الأولى: ال</w:t>
      </w:r>
      <w:r w:rsidR="00DD6401" w:rsidRPr="00475252">
        <w:rPr>
          <w:rFonts w:hint="cs"/>
          <w:rtl/>
        </w:rPr>
        <w:t>نظري</w:t>
      </w:r>
      <w:r w:rsidR="008513AE">
        <w:rPr>
          <w:rFonts w:hint="cs"/>
          <w:rtl/>
        </w:rPr>
        <w:t>ّ</w:t>
      </w:r>
      <w:r w:rsidR="00DD6401" w:rsidRPr="00475252">
        <w:rPr>
          <w:rFonts w:hint="cs"/>
          <w:rtl/>
        </w:rPr>
        <w:t>ات</w:t>
      </w:r>
      <w:r>
        <w:rPr>
          <w:rFonts w:hint="cs"/>
          <w:rtl/>
        </w:rPr>
        <w:t xml:space="preserve"> التفسيريّة والتحليلية لل</w:t>
      </w:r>
      <w:r w:rsidR="008513AE">
        <w:rPr>
          <w:rFonts w:hint="cs"/>
          <w:rtl/>
        </w:rPr>
        <w:t xml:space="preserve">حركة </w:t>
      </w:r>
      <w:r w:rsidR="00DD6401" w:rsidRPr="00475252">
        <w:rPr>
          <w:rFonts w:hint="cs"/>
          <w:rtl/>
        </w:rPr>
        <w:t>الحسيني</w:t>
      </w:r>
      <w:r w:rsidR="008513AE">
        <w:rPr>
          <w:rFonts w:hint="cs"/>
          <w:rtl/>
        </w:rPr>
        <w:t>ّ</w:t>
      </w:r>
      <w:r w:rsidR="00DD6401" w:rsidRPr="00475252">
        <w:rPr>
          <w:rFonts w:hint="cs"/>
          <w:rtl/>
        </w:rPr>
        <w:t>ة</w:t>
      </w:r>
      <w:bookmarkEnd w:id="84"/>
      <w:bookmarkEnd w:id="85"/>
      <w:bookmarkEnd w:id="86"/>
    </w:p>
    <w:p w14:paraId="664434A8" w14:textId="77777777" w:rsidR="00DD6401" w:rsidRPr="00E4028C" w:rsidRDefault="00DD6401" w:rsidP="008513AE">
      <w:pPr>
        <w:pStyle w:val="Space1"/>
        <w:rPr>
          <w:rtl/>
        </w:rPr>
      </w:pPr>
      <w:r w:rsidRPr="00E4028C">
        <w:rPr>
          <w:rFonts w:hint="cs"/>
          <w:rtl/>
        </w:rPr>
        <w:t>قبل البحث عن أبرز النظري</w:t>
      </w:r>
      <w:r w:rsidR="008513AE">
        <w:rPr>
          <w:rFonts w:hint="cs"/>
          <w:rtl/>
        </w:rPr>
        <w:t>ّ</w:t>
      </w:r>
      <w:r w:rsidRPr="00E4028C">
        <w:rPr>
          <w:rFonts w:hint="cs"/>
          <w:rtl/>
        </w:rPr>
        <w:t xml:space="preserve">ات في تفسير </w:t>
      </w:r>
      <w:r w:rsidR="008513AE">
        <w:rPr>
          <w:rFonts w:hint="cs"/>
          <w:rtl/>
        </w:rPr>
        <w:t xml:space="preserve">حركة </w:t>
      </w:r>
      <w:r w:rsidRPr="00E4028C">
        <w:rPr>
          <w:rFonts w:hint="cs"/>
          <w:rtl/>
        </w:rPr>
        <w:t xml:space="preserve">الإمام الحسين، والتي تتصل ببحثنا هنا، من </w:t>
      </w:r>
      <w:r w:rsidRPr="00E4028C">
        <w:rPr>
          <w:rFonts w:hint="cs"/>
          <w:rtl/>
        </w:rPr>
        <w:lastRenderedPageBreak/>
        <w:t>الضروري أن نعرف أنّ بعض هذه النظريات لا يهم</w:t>
      </w:r>
      <w:r w:rsidR="008513AE">
        <w:rPr>
          <w:rFonts w:hint="cs"/>
          <w:rtl/>
        </w:rPr>
        <w:t>ّ</w:t>
      </w:r>
      <w:r w:rsidRPr="00E4028C">
        <w:rPr>
          <w:rFonts w:hint="cs"/>
          <w:rtl/>
        </w:rPr>
        <w:t>نا مدى صحّته وصوابه إذا حسمنا النتيجة التي يعطينا إياها على مستوى بحثنا الفقهي هنا، فإذا كانت هناك نظرية</w:t>
      </w:r>
      <w:r w:rsidR="008513AE">
        <w:rPr>
          <w:rFonts w:hint="cs"/>
          <w:rtl/>
        </w:rPr>
        <w:t>ٌ</w:t>
      </w:r>
      <w:r w:rsidRPr="00E4028C">
        <w:rPr>
          <w:rFonts w:hint="cs"/>
          <w:rtl/>
        </w:rPr>
        <w:t xml:space="preserve"> ما لا تنتج إمكاني</w:t>
      </w:r>
      <w:r w:rsidR="008513AE">
        <w:rPr>
          <w:rFonts w:hint="cs"/>
          <w:rtl/>
        </w:rPr>
        <w:t>ّ</w:t>
      </w:r>
      <w:r w:rsidRPr="00E4028C">
        <w:rPr>
          <w:rFonts w:hint="cs"/>
          <w:rtl/>
        </w:rPr>
        <w:t>ة الاستدلال ب</w:t>
      </w:r>
      <w:r w:rsidR="008513AE">
        <w:rPr>
          <w:rFonts w:hint="cs"/>
          <w:rtl/>
        </w:rPr>
        <w:t xml:space="preserve">حركة </w:t>
      </w:r>
      <w:r w:rsidRPr="00E4028C">
        <w:rPr>
          <w:rFonts w:hint="cs"/>
          <w:rtl/>
        </w:rPr>
        <w:t>الحسين ولا عدمها، أي أن</w:t>
      </w:r>
      <w:r w:rsidR="00C87C69">
        <w:rPr>
          <w:rFonts w:hint="cs"/>
          <w:rtl/>
        </w:rPr>
        <w:t>ّ</w:t>
      </w:r>
      <w:r w:rsidRPr="00E4028C">
        <w:rPr>
          <w:rFonts w:hint="cs"/>
          <w:rtl/>
        </w:rPr>
        <w:t>ها ساكتة حول هذا الموضوع أو متساوية النسبة، فلا يهم</w:t>
      </w:r>
      <w:r w:rsidR="008513AE">
        <w:rPr>
          <w:rFonts w:hint="cs"/>
          <w:rtl/>
        </w:rPr>
        <w:t>ّ</w:t>
      </w:r>
      <w:r w:rsidRPr="00E4028C">
        <w:rPr>
          <w:rFonts w:hint="cs"/>
          <w:rtl/>
        </w:rPr>
        <w:t>نا تحديد صوابها من خطئها.</w:t>
      </w:r>
    </w:p>
    <w:p w14:paraId="61A4FEA6" w14:textId="77777777" w:rsidR="00DD6401" w:rsidRPr="008513AE" w:rsidRDefault="00DD6401" w:rsidP="008513AE">
      <w:pPr>
        <w:pStyle w:val="Space"/>
        <w:rPr>
          <w:b/>
          <w:bCs/>
          <w:rtl/>
        </w:rPr>
      </w:pPr>
      <w:r w:rsidRPr="008513AE">
        <w:rPr>
          <w:rFonts w:hint="cs"/>
          <w:b/>
          <w:bCs/>
          <w:rtl/>
        </w:rPr>
        <w:t>وعلى أي</w:t>
      </w:r>
      <w:r w:rsidR="008513AE">
        <w:rPr>
          <w:rFonts w:hint="cs"/>
          <w:b/>
          <w:bCs/>
          <w:rtl/>
        </w:rPr>
        <w:t>ّ</w:t>
      </w:r>
      <w:r w:rsidRPr="008513AE">
        <w:rPr>
          <w:rFonts w:hint="cs"/>
          <w:b/>
          <w:bCs/>
          <w:rtl/>
        </w:rPr>
        <w:t>ة حال، فأبرز النظري</w:t>
      </w:r>
      <w:r w:rsidR="008513AE">
        <w:rPr>
          <w:rFonts w:hint="cs"/>
          <w:b/>
          <w:bCs/>
          <w:rtl/>
        </w:rPr>
        <w:t>ّ</w:t>
      </w:r>
      <w:r w:rsidRPr="008513AE">
        <w:rPr>
          <w:rFonts w:hint="cs"/>
          <w:b/>
          <w:bCs/>
          <w:rtl/>
        </w:rPr>
        <w:t>ات ذات الصلة بموضوعنا هنا ه</w:t>
      </w:r>
      <w:r w:rsidR="008513AE">
        <w:rPr>
          <w:rFonts w:hint="cs"/>
          <w:b/>
          <w:bCs/>
          <w:rtl/>
        </w:rPr>
        <w:t>و</w:t>
      </w:r>
      <w:r w:rsidRPr="008513AE">
        <w:rPr>
          <w:rFonts w:hint="cs"/>
          <w:b/>
          <w:bCs/>
          <w:rtl/>
        </w:rPr>
        <w:t>:</w:t>
      </w:r>
    </w:p>
    <w:p w14:paraId="11CA1C8B" w14:textId="77777777" w:rsidR="00DD6401" w:rsidRPr="00236AA7" w:rsidRDefault="009125AB" w:rsidP="0096148C">
      <w:pPr>
        <w:pStyle w:val="Heading2"/>
        <w:rPr>
          <w:rtl/>
        </w:rPr>
      </w:pPr>
      <w:bookmarkStart w:id="87" w:name="_Toc307009613"/>
      <w:bookmarkStart w:id="88" w:name="_Toc143804132"/>
      <w:bookmarkStart w:id="89" w:name="_Toc238123257"/>
      <w:r>
        <w:rPr>
          <w:rFonts w:hint="cs"/>
          <w:rtl/>
        </w:rPr>
        <w:t xml:space="preserve">النظريّة الأولى: </w:t>
      </w:r>
      <w:r w:rsidR="00DD6401" w:rsidRPr="00236AA7">
        <w:rPr>
          <w:rFonts w:hint="cs"/>
          <w:rtl/>
        </w:rPr>
        <w:t>النظرية الغيبية الاختصاصية، أو اللامعقول الحسيني</w:t>
      </w:r>
      <w:bookmarkEnd w:id="87"/>
      <w:bookmarkEnd w:id="88"/>
      <w:bookmarkEnd w:id="89"/>
    </w:p>
    <w:p w14:paraId="11B5CC1A" w14:textId="77777777" w:rsidR="00DD6401" w:rsidRPr="00E4028C" w:rsidRDefault="00DD6401" w:rsidP="003E5983">
      <w:pPr>
        <w:rPr>
          <w:rtl/>
        </w:rPr>
      </w:pPr>
      <w:r w:rsidRPr="00E4028C">
        <w:rPr>
          <w:rFonts w:hint="cs"/>
          <w:rtl/>
        </w:rPr>
        <w:t>يقصد بالنظرية الغيبية الاختصاصية التي لها حضور عند بعض علماء الشيعة</w:t>
      </w:r>
      <w:r w:rsidRPr="00763E4E">
        <w:rPr>
          <w:rFonts w:cs="Taher"/>
          <w:vertAlign w:val="superscript"/>
          <w:rtl/>
        </w:rPr>
        <w:t>(</w:t>
      </w:r>
      <w:r w:rsidRPr="00763E4E">
        <w:rPr>
          <w:rFonts w:cs="Taher"/>
          <w:vertAlign w:val="superscript"/>
          <w:rtl/>
        </w:rPr>
        <w:footnoteReference w:id="171"/>
      </w:r>
      <w:r w:rsidRPr="00763E4E">
        <w:rPr>
          <w:rFonts w:cs="Taher"/>
          <w:vertAlign w:val="superscript"/>
          <w:rtl/>
        </w:rPr>
        <w:t>)</w:t>
      </w:r>
      <w:r w:rsidRPr="00E4028C">
        <w:rPr>
          <w:rFonts w:hint="cs"/>
          <w:rtl/>
        </w:rPr>
        <w:t xml:space="preserve">، أنّ الإمام </w:t>
      </w:r>
      <w:r w:rsidR="003E5983">
        <w:rPr>
          <w:rFonts w:hint="cs"/>
          <w:rtl/>
        </w:rPr>
        <w:t>الحسين</w:t>
      </w:r>
      <w:r w:rsidRPr="00E4028C">
        <w:rPr>
          <w:rFonts w:hint="cs"/>
          <w:rtl/>
        </w:rPr>
        <w:t xml:space="preserve"> إ</w:t>
      </w:r>
      <w:r w:rsidR="003E5983">
        <w:rPr>
          <w:rFonts w:hint="cs"/>
          <w:rtl/>
        </w:rPr>
        <w:t xml:space="preserve">نّما </w:t>
      </w:r>
      <w:r w:rsidRPr="00E4028C">
        <w:rPr>
          <w:rFonts w:hint="cs"/>
          <w:rtl/>
        </w:rPr>
        <w:t xml:space="preserve">انطلق في </w:t>
      </w:r>
      <w:r w:rsidR="003E5983">
        <w:rPr>
          <w:rFonts w:hint="cs"/>
          <w:rtl/>
        </w:rPr>
        <w:t xml:space="preserve">حركته </w:t>
      </w:r>
      <w:r w:rsidRPr="00E4028C">
        <w:rPr>
          <w:rFonts w:hint="cs"/>
          <w:rtl/>
        </w:rPr>
        <w:t>لأوامر غيبية خاصّة به وجهت إليه، فلم يهدف الحسين إسقاط الأنظمة ولا تأسيس دولة إسلامية ولا إحياء ضمير الأمّة ولا</w:t>
      </w:r>
      <w:r w:rsidR="003E5983">
        <w:rPr>
          <w:rFonts w:hint="cs"/>
          <w:rtl/>
        </w:rPr>
        <w:t xml:space="preserve"> نحو ذلك،</w:t>
      </w:r>
      <w:r w:rsidRPr="00E4028C">
        <w:rPr>
          <w:rFonts w:hint="cs"/>
          <w:rtl/>
        </w:rPr>
        <w:t xml:space="preserve"> كل</w:t>
      </w:r>
      <w:r w:rsidR="003E5983">
        <w:rPr>
          <w:rFonts w:hint="cs"/>
          <w:rtl/>
        </w:rPr>
        <w:t>ّ</w:t>
      </w:r>
      <w:r w:rsidRPr="00E4028C">
        <w:rPr>
          <w:rFonts w:hint="cs"/>
          <w:rtl/>
        </w:rPr>
        <w:t xml:space="preserve"> ما في الأمر أن</w:t>
      </w:r>
      <w:r w:rsidR="003E5983">
        <w:rPr>
          <w:rFonts w:hint="cs"/>
          <w:rtl/>
        </w:rPr>
        <w:t>ّ</w:t>
      </w:r>
      <w:r w:rsidRPr="00E4028C">
        <w:rPr>
          <w:rFonts w:hint="cs"/>
          <w:rtl/>
        </w:rPr>
        <w:t>ه نظراً لعصمته وإمامته فقد تلق</w:t>
      </w:r>
      <w:r w:rsidR="003E5983">
        <w:rPr>
          <w:rFonts w:hint="cs"/>
          <w:rtl/>
        </w:rPr>
        <w:t>ّ</w:t>
      </w:r>
      <w:r w:rsidRPr="00E4028C">
        <w:rPr>
          <w:rFonts w:hint="cs"/>
          <w:rtl/>
        </w:rPr>
        <w:t>ى أوامر غيبية لا نقدر على تقديم تفسير عقلاني لها، لا سياسياً ولا اجتماعياً ولا</w:t>
      </w:r>
      <w:r w:rsidR="003E5983">
        <w:rPr>
          <w:rFonts w:hint="cs"/>
          <w:rtl/>
        </w:rPr>
        <w:t xml:space="preserve"> غير ذلك،</w:t>
      </w:r>
      <w:r w:rsidRPr="00E4028C">
        <w:rPr>
          <w:rFonts w:hint="cs"/>
          <w:rtl/>
        </w:rPr>
        <w:t xml:space="preserve"> وأن</w:t>
      </w:r>
      <w:r w:rsidR="003E5983">
        <w:rPr>
          <w:rFonts w:hint="cs"/>
          <w:rtl/>
        </w:rPr>
        <w:t>ّ</w:t>
      </w:r>
      <w:r w:rsidRPr="00E4028C">
        <w:rPr>
          <w:rFonts w:hint="cs"/>
          <w:rtl/>
        </w:rPr>
        <w:t xml:space="preserve">ه اندفع لتطبيق تلك التعاليم الربانية. نعم، ترتّب على </w:t>
      </w:r>
      <w:r w:rsidR="003E5983">
        <w:rPr>
          <w:rFonts w:hint="cs"/>
          <w:rtl/>
        </w:rPr>
        <w:t xml:space="preserve">حركة </w:t>
      </w:r>
      <w:r w:rsidRPr="00E4028C">
        <w:rPr>
          <w:rFonts w:hint="cs"/>
          <w:rtl/>
        </w:rPr>
        <w:t>الحسين أن حقّقت نتائج باهرة على أرض الواقع، فخلقت مدرسة الثورة في حياة المسلمين، وأسقطت ـ بعد حوالي سبعة عقود ـ سلطان بني أمية الجائر، لكنّ هذا كلّه لم يكن منظوراً للحسين</w:t>
      </w:r>
      <w:r w:rsidR="003E5983">
        <w:rPr>
          <w:rFonts w:hint="cs"/>
          <w:rtl/>
        </w:rPr>
        <w:t xml:space="preserve"> نفسه</w:t>
      </w:r>
      <w:r w:rsidRPr="00E4028C">
        <w:rPr>
          <w:rFonts w:hint="cs"/>
          <w:rtl/>
        </w:rPr>
        <w:t xml:space="preserve"> لحظة خروجه، بل المنظور له أوامر غيبي</w:t>
      </w:r>
      <w:r w:rsidR="003E5983">
        <w:rPr>
          <w:rFonts w:hint="cs"/>
          <w:rtl/>
        </w:rPr>
        <w:t>ّ</w:t>
      </w:r>
      <w:r w:rsidRPr="00E4028C">
        <w:rPr>
          <w:rFonts w:hint="cs"/>
          <w:rtl/>
        </w:rPr>
        <w:t>ة وجّهت إليه واختصّت به</w:t>
      </w:r>
      <w:r w:rsidRPr="00763E4E">
        <w:rPr>
          <w:rFonts w:cs="Taher"/>
          <w:vertAlign w:val="superscript"/>
          <w:rtl/>
        </w:rPr>
        <w:t>(</w:t>
      </w:r>
      <w:r w:rsidRPr="00763E4E">
        <w:rPr>
          <w:rFonts w:cs="Taher"/>
          <w:vertAlign w:val="superscript"/>
          <w:rtl/>
        </w:rPr>
        <w:footnoteReference w:id="172"/>
      </w:r>
      <w:r w:rsidRPr="00763E4E">
        <w:rPr>
          <w:rFonts w:cs="Taher"/>
          <w:vertAlign w:val="superscript"/>
          <w:rtl/>
        </w:rPr>
        <w:t>)</w:t>
      </w:r>
      <w:r w:rsidRPr="00E4028C">
        <w:rPr>
          <w:rFonts w:hint="cs"/>
          <w:rtl/>
        </w:rPr>
        <w:t>.</w:t>
      </w:r>
    </w:p>
    <w:p w14:paraId="0663BF7D" w14:textId="77777777" w:rsidR="003E5983" w:rsidRDefault="00DD6401" w:rsidP="003E5983">
      <w:pPr>
        <w:rPr>
          <w:b/>
          <w:bCs/>
          <w:rtl/>
        </w:rPr>
      </w:pPr>
      <w:r w:rsidRPr="003E5983">
        <w:rPr>
          <w:rFonts w:hint="cs"/>
          <w:b/>
          <w:bCs/>
          <w:rtl/>
        </w:rPr>
        <w:t>من هنا، يمكن تسمية هذه النظرية، بالنظرية الميتافيزيقية، وتتميّز بأربع خصائص</w:t>
      </w:r>
      <w:r w:rsidR="003E5983">
        <w:rPr>
          <w:rFonts w:hint="cs"/>
          <w:b/>
          <w:bCs/>
          <w:rtl/>
        </w:rPr>
        <w:t>:</w:t>
      </w:r>
    </w:p>
    <w:p w14:paraId="3BB5E12C" w14:textId="77777777" w:rsidR="003E5983" w:rsidRDefault="00DD6401" w:rsidP="003E5983">
      <w:pPr>
        <w:rPr>
          <w:b/>
          <w:bCs/>
          <w:rtl/>
        </w:rPr>
      </w:pPr>
      <w:r w:rsidRPr="003E5983">
        <w:rPr>
          <w:rFonts w:hint="cs"/>
          <w:b/>
          <w:bCs/>
          <w:rtl/>
        </w:rPr>
        <w:t>1 ـ الإمام الحسين شخص متعالٍ عن التاريخ والزمكاني</w:t>
      </w:r>
      <w:r w:rsidR="003E5983">
        <w:rPr>
          <w:rFonts w:hint="cs"/>
          <w:b/>
          <w:bCs/>
          <w:rtl/>
        </w:rPr>
        <w:t>ّ</w:t>
      </w:r>
      <w:r w:rsidRPr="003E5983">
        <w:rPr>
          <w:rFonts w:hint="cs"/>
          <w:b/>
          <w:bCs/>
          <w:rtl/>
        </w:rPr>
        <w:t>ة.</w:t>
      </w:r>
    </w:p>
    <w:p w14:paraId="4B8C28C1" w14:textId="77777777" w:rsidR="003E5983" w:rsidRDefault="00DD6401" w:rsidP="003E5983">
      <w:pPr>
        <w:rPr>
          <w:b/>
          <w:bCs/>
          <w:rtl/>
        </w:rPr>
      </w:pPr>
      <w:r w:rsidRPr="003E5983">
        <w:rPr>
          <w:rFonts w:hint="cs"/>
          <w:b/>
          <w:bCs/>
          <w:rtl/>
        </w:rPr>
        <w:t>2 ـ الثورة الحسينية حركة ما فوق تاريخية تأبى التحليل العقلاني.</w:t>
      </w:r>
    </w:p>
    <w:p w14:paraId="5B0450CC" w14:textId="77777777" w:rsidR="003E5983" w:rsidRDefault="00DD6401" w:rsidP="002A735B">
      <w:pPr>
        <w:rPr>
          <w:b/>
          <w:bCs/>
          <w:rtl/>
        </w:rPr>
      </w:pPr>
      <w:r w:rsidRPr="003E5983">
        <w:rPr>
          <w:rFonts w:hint="cs"/>
          <w:b/>
          <w:bCs/>
          <w:rtl/>
        </w:rPr>
        <w:t>3 ـ الموقف من ال</w:t>
      </w:r>
      <w:r w:rsidR="003E5983">
        <w:rPr>
          <w:rFonts w:hint="cs"/>
          <w:b/>
          <w:bCs/>
          <w:rtl/>
        </w:rPr>
        <w:t xml:space="preserve">حركة </w:t>
      </w:r>
      <w:r w:rsidRPr="003E5983">
        <w:rPr>
          <w:rFonts w:hint="cs"/>
          <w:b/>
          <w:bCs/>
          <w:rtl/>
        </w:rPr>
        <w:t>هو موقف تسليمي كامل،</w:t>
      </w:r>
      <w:r w:rsidR="002A735B">
        <w:rPr>
          <w:rFonts w:hint="cs"/>
          <w:b/>
          <w:bCs/>
          <w:rtl/>
        </w:rPr>
        <w:t xml:space="preserve"> و</w:t>
      </w:r>
      <w:r w:rsidRPr="003E5983">
        <w:rPr>
          <w:rFonts w:hint="cs"/>
          <w:b/>
          <w:bCs/>
          <w:rtl/>
        </w:rPr>
        <w:t>لا يمكن أن تكون أنموذجاً للآخرين.</w:t>
      </w:r>
    </w:p>
    <w:p w14:paraId="4F9C9666" w14:textId="77777777" w:rsidR="00DD6401" w:rsidRPr="003E5983" w:rsidRDefault="00DD6401" w:rsidP="003E5983">
      <w:pPr>
        <w:rPr>
          <w:b/>
          <w:bCs/>
          <w:rtl/>
        </w:rPr>
      </w:pPr>
      <w:r w:rsidRPr="003E5983">
        <w:rPr>
          <w:rFonts w:hint="cs"/>
          <w:b/>
          <w:bCs/>
          <w:rtl/>
        </w:rPr>
        <w:lastRenderedPageBreak/>
        <w:t>4 ـ الإمام الحسين كان مأموراً بالشهادة وفق التقدير الإلهي</w:t>
      </w:r>
      <w:r w:rsidRPr="003E5983">
        <w:rPr>
          <w:rFonts w:cs="Taher"/>
          <w:b/>
          <w:bCs/>
          <w:vertAlign w:val="superscript"/>
          <w:rtl/>
        </w:rPr>
        <w:t>(</w:t>
      </w:r>
      <w:r w:rsidRPr="003E5983">
        <w:rPr>
          <w:rFonts w:cs="Taher"/>
          <w:b/>
          <w:bCs/>
          <w:vertAlign w:val="superscript"/>
          <w:rtl/>
        </w:rPr>
        <w:footnoteReference w:id="173"/>
      </w:r>
      <w:r w:rsidRPr="003E5983">
        <w:rPr>
          <w:rFonts w:cs="Taher"/>
          <w:b/>
          <w:bCs/>
          <w:vertAlign w:val="superscript"/>
          <w:rtl/>
        </w:rPr>
        <w:t>)</w:t>
      </w:r>
      <w:r w:rsidRPr="003E5983">
        <w:rPr>
          <w:rFonts w:hint="cs"/>
          <w:b/>
          <w:bCs/>
          <w:rtl/>
        </w:rPr>
        <w:t>.</w:t>
      </w:r>
    </w:p>
    <w:p w14:paraId="45429D4C" w14:textId="77777777" w:rsidR="00DD6401" w:rsidRPr="00E4028C" w:rsidRDefault="00DD6401" w:rsidP="009B7F51">
      <w:pPr>
        <w:pStyle w:val="normal930"/>
        <w:rPr>
          <w:rtl/>
        </w:rPr>
      </w:pPr>
      <w:r w:rsidRPr="00E4028C">
        <w:rPr>
          <w:rFonts w:hint="cs"/>
          <w:rtl/>
        </w:rPr>
        <w:t>ومهما كانت هذه النظري</w:t>
      </w:r>
      <w:r w:rsidR="003E5983">
        <w:rPr>
          <w:rFonts w:hint="cs"/>
          <w:rtl/>
        </w:rPr>
        <w:t>ّ</w:t>
      </w:r>
      <w:r w:rsidRPr="00E4028C">
        <w:rPr>
          <w:rFonts w:hint="cs"/>
          <w:rtl/>
        </w:rPr>
        <w:t>ة، فإن لها تأثيراً هائلاً على الفقيه والفقه الإسلامي، وهو أن</w:t>
      </w:r>
      <w:r w:rsidR="003E5983">
        <w:rPr>
          <w:rFonts w:hint="cs"/>
          <w:rtl/>
        </w:rPr>
        <w:t>ّ</w:t>
      </w:r>
      <w:r w:rsidRPr="00E4028C">
        <w:rPr>
          <w:rFonts w:hint="cs"/>
          <w:rtl/>
        </w:rPr>
        <w:t>ها تجعل هذه ال</w:t>
      </w:r>
      <w:r w:rsidR="003E5983">
        <w:rPr>
          <w:rFonts w:hint="cs"/>
          <w:rtl/>
        </w:rPr>
        <w:t xml:space="preserve">حركة </w:t>
      </w:r>
      <w:r w:rsidRPr="00E4028C">
        <w:rPr>
          <w:rFonts w:hint="cs"/>
          <w:rtl/>
        </w:rPr>
        <w:t>من خصائص الإمام الحسين، فكما أنّ هناك أحكاماً وواجبات وتشريعات خاصة بالنبي| كوجوب صلاة الليل عليه، كذلك كانت ثورة الحسين تكليفاً خاصاً به غير متوجّه إلى غيره</w:t>
      </w:r>
      <w:r w:rsidR="003E5983">
        <w:rPr>
          <w:rFonts w:hint="cs"/>
          <w:rtl/>
        </w:rPr>
        <w:t>.</w:t>
      </w:r>
      <w:r w:rsidRPr="00E4028C">
        <w:rPr>
          <w:rFonts w:hint="cs"/>
          <w:rtl/>
        </w:rPr>
        <w:t xml:space="preserve"> ومن المعلوم أن</w:t>
      </w:r>
      <w:r w:rsidR="003E5983">
        <w:rPr>
          <w:rFonts w:hint="cs"/>
          <w:rtl/>
        </w:rPr>
        <w:t>ّ</w:t>
      </w:r>
      <w:r w:rsidRPr="00E4028C">
        <w:rPr>
          <w:rFonts w:hint="cs"/>
          <w:rtl/>
        </w:rPr>
        <w:t xml:space="preserve"> مثل ذلك يعني تحييد ال</w:t>
      </w:r>
      <w:r w:rsidR="003E5983">
        <w:rPr>
          <w:rFonts w:hint="cs"/>
          <w:rtl/>
        </w:rPr>
        <w:t xml:space="preserve">حركة </w:t>
      </w:r>
      <w:r w:rsidRPr="00D435D0">
        <w:rPr>
          <w:rFonts w:hint="cs"/>
          <w:rtl/>
        </w:rPr>
        <w:t>الحسينية</w:t>
      </w:r>
      <w:r w:rsidRPr="00E4028C">
        <w:rPr>
          <w:rFonts w:hint="cs"/>
          <w:rtl/>
        </w:rPr>
        <w:t xml:space="preserve"> عن أن تكون مستنداً للاستدلال الفقهي، لا في أصل حدوثها ولا ـ ربما ـ في تفاصيلها ووقائعها؛ لأن</w:t>
      </w:r>
      <w:r w:rsidR="003E5983">
        <w:rPr>
          <w:rFonts w:hint="cs"/>
          <w:rtl/>
        </w:rPr>
        <w:t>ّ</w:t>
      </w:r>
      <w:r w:rsidRPr="00E4028C">
        <w:rPr>
          <w:rFonts w:hint="cs"/>
          <w:rtl/>
        </w:rPr>
        <w:t xml:space="preserve"> خصائص المعصوم لا يستدلّ بها على أحكام شرعية في حقّنا، كما تقر</w:t>
      </w:r>
      <w:r w:rsidR="003E5983">
        <w:rPr>
          <w:rFonts w:hint="cs"/>
          <w:rtl/>
        </w:rPr>
        <w:t>ّ</w:t>
      </w:r>
      <w:r w:rsidRPr="00E4028C">
        <w:rPr>
          <w:rFonts w:hint="cs"/>
          <w:rtl/>
        </w:rPr>
        <w:t>ر وقرّرناه في مباحث حجية الفعل من مسألة السنّة الشريفة</w:t>
      </w:r>
      <w:r w:rsidRPr="0090018F">
        <w:rPr>
          <w:rFonts w:cs="Taher"/>
          <w:vertAlign w:val="superscript"/>
          <w:rtl/>
        </w:rPr>
        <w:t>(</w:t>
      </w:r>
      <w:r w:rsidRPr="0090018F">
        <w:rPr>
          <w:rFonts w:cs="Taher"/>
          <w:vertAlign w:val="superscript"/>
          <w:rtl/>
        </w:rPr>
        <w:footnoteReference w:id="174"/>
      </w:r>
      <w:r w:rsidRPr="0090018F">
        <w:rPr>
          <w:rFonts w:cs="Taher"/>
          <w:vertAlign w:val="superscript"/>
          <w:rtl/>
        </w:rPr>
        <w:t>)</w:t>
      </w:r>
      <w:r w:rsidRPr="00E4028C">
        <w:rPr>
          <w:rFonts w:hint="cs"/>
          <w:rtl/>
        </w:rPr>
        <w:t>.</w:t>
      </w:r>
    </w:p>
    <w:p w14:paraId="27994913" w14:textId="77777777" w:rsidR="00DD6401" w:rsidRPr="00E4028C" w:rsidRDefault="00DD6401" w:rsidP="003E5983">
      <w:pPr>
        <w:rPr>
          <w:rtl/>
        </w:rPr>
      </w:pPr>
      <w:r w:rsidRPr="00E4028C">
        <w:rPr>
          <w:rFonts w:hint="cs"/>
          <w:rtl/>
        </w:rPr>
        <w:t>وعليه، لا يصحّ الاستدلال ب</w:t>
      </w:r>
      <w:r w:rsidR="003E5983">
        <w:rPr>
          <w:rFonts w:hint="cs"/>
          <w:rtl/>
        </w:rPr>
        <w:t xml:space="preserve">قيام </w:t>
      </w:r>
      <w:r w:rsidRPr="00E4028C">
        <w:rPr>
          <w:rFonts w:hint="cs"/>
          <w:rtl/>
        </w:rPr>
        <w:t>الحسين× لإثبات جواز الخروج على الأنظمة الفاسدة.</w:t>
      </w:r>
    </w:p>
    <w:p w14:paraId="3E9516EC" w14:textId="77777777" w:rsidR="00DD6401" w:rsidRPr="009125AB" w:rsidRDefault="009125AB" w:rsidP="0096148C">
      <w:pPr>
        <w:pStyle w:val="Heading3"/>
        <w:rPr>
          <w:rtl/>
        </w:rPr>
      </w:pPr>
      <w:bookmarkStart w:id="90" w:name="_Toc307009614"/>
      <w:bookmarkStart w:id="91" w:name="_Toc143804133"/>
      <w:bookmarkStart w:id="92" w:name="_Toc238123258"/>
      <w:r>
        <w:rPr>
          <w:rFonts w:hint="cs"/>
          <w:rtl/>
        </w:rPr>
        <w:t xml:space="preserve">أوّلاً: </w:t>
      </w:r>
      <w:r w:rsidR="00DD6401" w:rsidRPr="009125AB">
        <w:rPr>
          <w:rFonts w:hint="cs"/>
          <w:rtl/>
        </w:rPr>
        <w:t>نظري</w:t>
      </w:r>
      <w:r w:rsidR="003E5983" w:rsidRPr="009125AB">
        <w:rPr>
          <w:rFonts w:hint="cs"/>
          <w:rtl/>
        </w:rPr>
        <w:t>ّ</w:t>
      </w:r>
      <w:r w:rsidR="00DD6401" w:rsidRPr="009125AB">
        <w:rPr>
          <w:rFonts w:hint="cs"/>
          <w:rtl/>
        </w:rPr>
        <w:t>ة اللامعقول الحسيني، الأدلّة والوثائق</w:t>
      </w:r>
      <w:bookmarkEnd w:id="90"/>
      <w:bookmarkEnd w:id="91"/>
      <w:bookmarkEnd w:id="92"/>
    </w:p>
    <w:p w14:paraId="789D3E56" w14:textId="77777777" w:rsidR="00DD6401" w:rsidRPr="008C176E" w:rsidRDefault="00DD6401" w:rsidP="00DD6401">
      <w:pPr>
        <w:rPr>
          <w:b/>
          <w:bCs/>
          <w:rtl/>
        </w:rPr>
      </w:pPr>
      <w:r w:rsidRPr="008C176E">
        <w:rPr>
          <w:rFonts w:hint="cs"/>
          <w:b/>
          <w:bCs/>
          <w:rtl/>
        </w:rPr>
        <w:t>وربما نستشهد ـ لتبرير هذه النظرية ـ ببعض الشواهد والنصوص المتفرّقة، منها:</w:t>
      </w:r>
    </w:p>
    <w:p w14:paraId="436D6AF1" w14:textId="77777777" w:rsidR="00DD6401" w:rsidRPr="00E4028C" w:rsidRDefault="00DD6401" w:rsidP="009B7F51">
      <w:pPr>
        <w:rPr>
          <w:rtl/>
        </w:rPr>
      </w:pPr>
      <w:r w:rsidRPr="008C176E">
        <w:rPr>
          <w:rFonts w:hint="cs"/>
          <w:b/>
          <w:bCs/>
          <w:rtl/>
        </w:rPr>
        <w:t xml:space="preserve">1 ـ </w:t>
      </w:r>
      <w:r w:rsidRPr="00E4028C">
        <w:rPr>
          <w:rFonts w:hint="cs"/>
          <w:rtl/>
        </w:rPr>
        <w:t>ما ورد من طلب الإمام الحسين من والي المدينة ـ عندما طلب منه البيعة ليزيد ـ أن يستمهله فترة، فذهب× إلى مرقد النبي، وهناك غلبه النوم، فرأى النبيَّ في المنام، فطلب منه الحسين أن يأخذه إليه، فأجابه رسول الله</w:t>
      </w:r>
      <w:r w:rsidR="008C176E">
        <w:rPr>
          <w:rFonts w:hint="cs"/>
          <w:rtl/>
        </w:rPr>
        <w:t>‘</w:t>
      </w:r>
      <w:r w:rsidRPr="00E4028C">
        <w:rPr>
          <w:rFonts w:hint="cs"/>
          <w:rtl/>
        </w:rPr>
        <w:t>: إن</w:t>
      </w:r>
      <w:r w:rsidR="008C176E">
        <w:rPr>
          <w:rFonts w:hint="cs"/>
          <w:rtl/>
        </w:rPr>
        <w:t>ّ</w:t>
      </w:r>
      <w:r w:rsidRPr="00E4028C">
        <w:rPr>
          <w:rFonts w:hint="cs"/>
          <w:rtl/>
        </w:rPr>
        <w:t xml:space="preserve"> الله شاء أن يراك قتيلاً</w:t>
      </w:r>
      <w:r w:rsidRPr="00763E4E">
        <w:rPr>
          <w:rFonts w:cs="Taher"/>
          <w:vertAlign w:val="superscript"/>
          <w:rtl/>
        </w:rPr>
        <w:t>(</w:t>
      </w:r>
      <w:r w:rsidRPr="00763E4E">
        <w:rPr>
          <w:rFonts w:cs="Taher"/>
          <w:vertAlign w:val="superscript"/>
          <w:rtl/>
        </w:rPr>
        <w:footnoteReference w:id="175"/>
      </w:r>
      <w:r w:rsidRPr="00763E4E">
        <w:rPr>
          <w:rFonts w:cs="Taher"/>
          <w:vertAlign w:val="superscript"/>
          <w:rtl/>
        </w:rPr>
        <w:t>)</w:t>
      </w:r>
      <w:r w:rsidRPr="00E4028C">
        <w:rPr>
          <w:rtl/>
        </w:rPr>
        <w:t>.</w:t>
      </w:r>
    </w:p>
    <w:p w14:paraId="57AC8993" w14:textId="77777777" w:rsidR="00DD6401" w:rsidRPr="00E4028C" w:rsidRDefault="00DD6401" w:rsidP="009B7F51">
      <w:pPr>
        <w:rPr>
          <w:rtl/>
        </w:rPr>
      </w:pPr>
      <w:r w:rsidRPr="00E4028C">
        <w:rPr>
          <w:rFonts w:hint="cs"/>
          <w:rtl/>
        </w:rPr>
        <w:t>فقد يفهم من هذا النص أن هناك اتصالاً غيبياً ما هو الذي حرّك الحسين لل</w:t>
      </w:r>
      <w:r w:rsidR="008C176E">
        <w:rPr>
          <w:rFonts w:hint="cs"/>
          <w:rtl/>
        </w:rPr>
        <w:t>خروج</w:t>
      </w:r>
      <w:r w:rsidRPr="00E4028C">
        <w:rPr>
          <w:rFonts w:hint="cs"/>
          <w:rtl/>
        </w:rPr>
        <w:t>، لا أنه كان يريد إسقاط الحكم، ولا أن</w:t>
      </w:r>
      <w:r w:rsidR="008C176E">
        <w:rPr>
          <w:rFonts w:hint="cs"/>
          <w:rtl/>
        </w:rPr>
        <w:t>ّ</w:t>
      </w:r>
      <w:r w:rsidRPr="00E4028C">
        <w:rPr>
          <w:rFonts w:hint="cs"/>
          <w:rtl/>
        </w:rPr>
        <w:t>ه أخذ يقدّر الحسابات والأرباح والخسائر، ويقوم بدراسة سياسية ميدانية للموقف.. فهذا ما لا تشير إليه الرواية إطلاقاً، بل الموضوع يغلب عليه الطابع الغيبي غير القابل لإخضاعه لأبعاد عقلاني</w:t>
      </w:r>
      <w:r w:rsidR="008C176E">
        <w:rPr>
          <w:rFonts w:hint="cs"/>
          <w:rtl/>
        </w:rPr>
        <w:t>ّ</w:t>
      </w:r>
      <w:r w:rsidRPr="00E4028C">
        <w:rPr>
          <w:rFonts w:hint="cs"/>
          <w:rtl/>
        </w:rPr>
        <w:t>ة.</w:t>
      </w:r>
    </w:p>
    <w:p w14:paraId="1126A712" w14:textId="77777777" w:rsidR="00DD6401" w:rsidRPr="00E4028C" w:rsidRDefault="00DD6401" w:rsidP="002A735B">
      <w:pPr>
        <w:pStyle w:val="Space2"/>
        <w:rPr>
          <w:rtl/>
        </w:rPr>
      </w:pPr>
      <w:r w:rsidRPr="008C176E">
        <w:rPr>
          <w:rFonts w:hint="cs"/>
          <w:b/>
          <w:bCs/>
          <w:rtl/>
        </w:rPr>
        <w:t xml:space="preserve">2 ـ </w:t>
      </w:r>
      <w:r w:rsidRPr="00E4028C">
        <w:rPr>
          <w:rFonts w:hint="cs"/>
          <w:rtl/>
        </w:rPr>
        <w:t xml:space="preserve">ما جاء في حوار </w:t>
      </w:r>
      <w:r w:rsidR="002A735B">
        <w:rPr>
          <w:rFonts w:hint="cs"/>
          <w:rtl/>
        </w:rPr>
        <w:t xml:space="preserve">الإمام </w:t>
      </w:r>
      <w:r w:rsidRPr="00E4028C">
        <w:rPr>
          <w:rFonts w:hint="cs"/>
          <w:rtl/>
        </w:rPr>
        <w:t xml:space="preserve">الحسين مع أخيه محمد بن الحنفية، حيث اتفق معه على أن يفكّر </w:t>
      </w:r>
      <w:r w:rsidRPr="00E4028C">
        <w:rPr>
          <w:rFonts w:hint="cs"/>
          <w:rtl/>
        </w:rPr>
        <w:lastRenderedPageBreak/>
        <w:t>الحسين بالأمر، ولا يسارع للخروج لأهل الكوفة بعدما علم من غدرهم بأبيه، ولما علم ابن الحنفية بخروج الحسين فيما بعد طالبه بالموضوع، فأجابه بأنه رأى رسول الله وأنه أخبره أنّ الله شاء أن يراه قتيلاً وأنه شاء أن يرى أهله سبايا</w:t>
      </w:r>
      <w:r w:rsidRPr="00763E4E">
        <w:rPr>
          <w:rFonts w:cs="Taher"/>
          <w:vertAlign w:val="superscript"/>
          <w:rtl/>
        </w:rPr>
        <w:t>(</w:t>
      </w:r>
      <w:r w:rsidRPr="00763E4E">
        <w:rPr>
          <w:rFonts w:cs="Taher"/>
          <w:vertAlign w:val="superscript"/>
          <w:rtl/>
        </w:rPr>
        <w:footnoteReference w:id="176"/>
      </w:r>
      <w:r w:rsidRPr="00763E4E">
        <w:rPr>
          <w:rFonts w:cs="Taher"/>
          <w:vertAlign w:val="superscript"/>
          <w:rtl/>
        </w:rPr>
        <w:t>)</w:t>
      </w:r>
      <w:r w:rsidRPr="00E4028C">
        <w:rPr>
          <w:rFonts w:hint="cs"/>
          <w:rtl/>
        </w:rPr>
        <w:t>.</w:t>
      </w:r>
    </w:p>
    <w:p w14:paraId="12E408C7" w14:textId="77777777" w:rsidR="00DD6401" w:rsidRPr="00E4028C" w:rsidRDefault="00DD6401" w:rsidP="009B7F51">
      <w:pPr>
        <w:pStyle w:val="normal930"/>
        <w:rPr>
          <w:rtl/>
        </w:rPr>
      </w:pPr>
      <w:r w:rsidRPr="00E4028C">
        <w:rPr>
          <w:rFonts w:hint="cs"/>
          <w:rtl/>
        </w:rPr>
        <w:t>وهذا النصّ كسابقه أيضاً؛ يدلّ على أنّ ثمّة مشيئة إلهيّة خاصّة تعلّقت بحركة الإمام الحسين، وأنّه ما من تفسير يقف خلف هذا الأمر سوى هذه المشيئة الإلهيّة.</w:t>
      </w:r>
    </w:p>
    <w:p w14:paraId="5131665A" w14:textId="77777777" w:rsidR="00DD6401" w:rsidRPr="00E4028C" w:rsidRDefault="00DD6401" w:rsidP="00AE583F">
      <w:pPr>
        <w:pStyle w:val="Space"/>
        <w:rPr>
          <w:rtl/>
        </w:rPr>
      </w:pPr>
      <w:r w:rsidRPr="008C176E">
        <w:rPr>
          <w:rFonts w:hint="cs"/>
          <w:b/>
          <w:bCs/>
          <w:rtl/>
        </w:rPr>
        <w:t xml:space="preserve">3 ـ </w:t>
      </w:r>
      <w:r w:rsidRPr="00E4028C">
        <w:rPr>
          <w:rFonts w:hint="cs"/>
          <w:rtl/>
        </w:rPr>
        <w:t>ما جاء في بعض رسائل الإمام الحسين لأخيه محمد بن الحنفية، من أنّ من لحق به استشهد، ومن لم يلحق به لم يُدرك الفتح</w:t>
      </w:r>
      <w:r w:rsidRPr="00763E4E">
        <w:rPr>
          <w:rFonts w:cs="Taher"/>
          <w:vertAlign w:val="superscript"/>
          <w:rtl/>
        </w:rPr>
        <w:t>(</w:t>
      </w:r>
      <w:r w:rsidRPr="00763E4E">
        <w:rPr>
          <w:rFonts w:cs="Taher"/>
          <w:vertAlign w:val="superscript"/>
          <w:rtl/>
        </w:rPr>
        <w:footnoteReference w:id="177"/>
      </w:r>
      <w:r w:rsidRPr="00763E4E">
        <w:rPr>
          <w:rFonts w:cs="Taher"/>
          <w:vertAlign w:val="superscript"/>
          <w:rtl/>
        </w:rPr>
        <w:t>)</w:t>
      </w:r>
      <w:r w:rsidRPr="00E4028C">
        <w:rPr>
          <w:rFonts w:hint="cs"/>
          <w:rtl/>
        </w:rPr>
        <w:t>.</w:t>
      </w:r>
    </w:p>
    <w:p w14:paraId="6F305D0A" w14:textId="77777777" w:rsidR="00DD6401" w:rsidRPr="00E4028C" w:rsidRDefault="00DD6401" w:rsidP="009B7F51">
      <w:pPr>
        <w:pStyle w:val="normal930"/>
        <w:rPr>
          <w:rtl/>
        </w:rPr>
      </w:pPr>
      <w:r w:rsidRPr="00E4028C">
        <w:rPr>
          <w:rFonts w:hint="cs"/>
          <w:rtl/>
        </w:rPr>
        <w:t>فهذا النصّ لا يدع مجالاً للارتياب في أنّ الحسين كان عالماً بالهزيمة بمعناها المادي، والذي تعبّر عنه كلمة الشهادة، ولا يعقل أن ينطلق شخص لتغيير واقع قائم وهو على يقين بأنّ الأمر سيؤول إلى الموت والهزيمة وعدم النجاح.</w:t>
      </w:r>
    </w:p>
    <w:p w14:paraId="2D6E3A60" w14:textId="77777777" w:rsidR="00DD6401" w:rsidRPr="00E4028C" w:rsidRDefault="008C176E" w:rsidP="009B7F51">
      <w:pPr>
        <w:pStyle w:val="normal930"/>
        <w:rPr>
          <w:rtl/>
        </w:rPr>
      </w:pPr>
      <w:r w:rsidRPr="008C176E">
        <w:rPr>
          <w:rFonts w:hint="cs"/>
          <w:b/>
          <w:bCs/>
          <w:rtl/>
        </w:rPr>
        <w:t xml:space="preserve">4 ـ </w:t>
      </w:r>
      <w:r w:rsidR="00DD6401" w:rsidRPr="00E4028C">
        <w:rPr>
          <w:rFonts w:hint="cs"/>
          <w:rtl/>
        </w:rPr>
        <w:t>ما جاء في حوار عبد الله بن جعفر أو مكاتباته مع الإمام الحسين، حيث ورد فيها أنّ الإمام أخبره بأنّه رأى رسول الله في المنام، وأنّه أمره بأمرٍ وهو ماضٍ إليه، وقد رفض الحسين إخبار عبد الله بن جعفر بمضمون الرؤيا التي رآها، وذكر له أنّه لن يحدّث بها حتى يلقى الله عز وجل، وفي بعض صيغ القصّة أنّه أخبره بموته</w:t>
      </w:r>
      <w:r w:rsidR="00DD6401" w:rsidRPr="00763E4E">
        <w:rPr>
          <w:rFonts w:cs="Taher"/>
          <w:vertAlign w:val="superscript"/>
          <w:rtl/>
        </w:rPr>
        <w:t>(</w:t>
      </w:r>
      <w:r w:rsidR="00DD6401" w:rsidRPr="00763E4E">
        <w:rPr>
          <w:rFonts w:cs="Taher"/>
          <w:vertAlign w:val="superscript"/>
          <w:rtl/>
        </w:rPr>
        <w:footnoteReference w:id="178"/>
      </w:r>
      <w:r w:rsidR="00DD6401" w:rsidRPr="00763E4E">
        <w:rPr>
          <w:rFonts w:cs="Taher"/>
          <w:vertAlign w:val="superscript"/>
          <w:rtl/>
        </w:rPr>
        <w:t>)</w:t>
      </w:r>
      <w:r w:rsidR="00DD6401" w:rsidRPr="00E4028C">
        <w:rPr>
          <w:rFonts w:hint="cs"/>
          <w:rtl/>
        </w:rPr>
        <w:t>.</w:t>
      </w:r>
    </w:p>
    <w:p w14:paraId="78C24485" w14:textId="77777777" w:rsidR="00DD6401" w:rsidRPr="00E4028C" w:rsidRDefault="00DD6401" w:rsidP="00AE583F">
      <w:pPr>
        <w:rPr>
          <w:rtl/>
        </w:rPr>
      </w:pPr>
      <w:r w:rsidRPr="00E4028C">
        <w:rPr>
          <w:rFonts w:hint="cs"/>
          <w:rtl/>
        </w:rPr>
        <w:t xml:space="preserve">فهذا يدلّ أيضاً على هذا البعد الغيبي الذي يتصل بهذه القضيّة فيما تعطيه مسألة الاتكال على الرؤيا من دلالات، فلو كان هناك مبرّر عقلاني سياسي لذكره بدل الاعتماد على رؤيا </w:t>
      </w:r>
      <w:r w:rsidR="00AE583F">
        <w:rPr>
          <w:rFonts w:hint="cs"/>
          <w:rtl/>
        </w:rPr>
        <w:t>ال</w:t>
      </w:r>
      <w:r w:rsidRPr="00E4028C">
        <w:rPr>
          <w:rFonts w:hint="cs"/>
          <w:rtl/>
        </w:rPr>
        <w:t>رسول.</w:t>
      </w:r>
    </w:p>
    <w:p w14:paraId="4FCBA5BD" w14:textId="77777777" w:rsidR="00DD6401" w:rsidRPr="00E4028C" w:rsidRDefault="00DD6401" w:rsidP="00DD6401">
      <w:pPr>
        <w:pStyle w:val="Space1"/>
        <w:rPr>
          <w:rtl/>
        </w:rPr>
      </w:pPr>
      <w:r w:rsidRPr="008C176E">
        <w:rPr>
          <w:rFonts w:hint="cs"/>
          <w:b/>
          <w:bCs/>
          <w:rtl/>
        </w:rPr>
        <w:lastRenderedPageBreak/>
        <w:t xml:space="preserve">5 ـ </w:t>
      </w:r>
      <w:r w:rsidRPr="00E4028C">
        <w:rPr>
          <w:rFonts w:hint="cs"/>
          <w:rtl/>
        </w:rPr>
        <w:t xml:space="preserve">ما جاء في بعض النصوص والكلمات، </w:t>
      </w:r>
      <w:r w:rsidR="008C176E">
        <w:rPr>
          <w:rFonts w:hint="cs"/>
          <w:rtl/>
        </w:rPr>
        <w:t xml:space="preserve">من </w:t>
      </w:r>
      <w:r w:rsidRPr="00E4028C">
        <w:rPr>
          <w:rFonts w:hint="cs"/>
          <w:rtl/>
        </w:rPr>
        <w:t>أنّ الإمام الحسين كان يردّ بعض الذين كانوا يطالبونه بعدم الخروج بأنّه سيستخير الله تعالى، كما جاء في ردّه على الم</w:t>
      </w:r>
      <w:r w:rsidR="00AE583F">
        <w:rPr>
          <w:rFonts w:hint="cs"/>
          <w:rtl/>
        </w:rPr>
        <w:t>ِ</w:t>
      </w:r>
      <w:r w:rsidRPr="00E4028C">
        <w:rPr>
          <w:rFonts w:hint="cs"/>
          <w:rtl/>
        </w:rPr>
        <w:t>س</w:t>
      </w:r>
      <w:r w:rsidR="00AE583F">
        <w:rPr>
          <w:rFonts w:hint="cs"/>
          <w:rtl/>
        </w:rPr>
        <w:t>ْ</w:t>
      </w:r>
      <w:r w:rsidRPr="00E4028C">
        <w:rPr>
          <w:rFonts w:hint="cs"/>
          <w:rtl/>
        </w:rPr>
        <w:t>و</w:t>
      </w:r>
      <w:r w:rsidR="00AE583F">
        <w:rPr>
          <w:rFonts w:hint="cs"/>
          <w:rtl/>
        </w:rPr>
        <w:t>َ</w:t>
      </w:r>
      <w:r w:rsidRPr="00E4028C">
        <w:rPr>
          <w:rFonts w:hint="cs"/>
          <w:rtl/>
        </w:rPr>
        <w:t>ر بن م</w:t>
      </w:r>
      <w:r w:rsidR="00AE583F">
        <w:rPr>
          <w:rFonts w:hint="cs"/>
          <w:rtl/>
        </w:rPr>
        <w:t>َ</w:t>
      </w:r>
      <w:r w:rsidRPr="00E4028C">
        <w:rPr>
          <w:rFonts w:hint="cs"/>
          <w:rtl/>
        </w:rPr>
        <w:t>خ</w:t>
      </w:r>
      <w:r w:rsidR="00AE583F">
        <w:rPr>
          <w:rFonts w:hint="cs"/>
          <w:rtl/>
        </w:rPr>
        <w:t>ْ</w:t>
      </w:r>
      <w:r w:rsidRPr="00E4028C">
        <w:rPr>
          <w:rFonts w:hint="cs"/>
          <w:rtl/>
        </w:rPr>
        <w:t>ر</w:t>
      </w:r>
      <w:r w:rsidR="00AE583F">
        <w:rPr>
          <w:rFonts w:hint="cs"/>
          <w:rtl/>
        </w:rPr>
        <w:t>َ</w:t>
      </w:r>
      <w:r w:rsidRPr="00E4028C">
        <w:rPr>
          <w:rFonts w:hint="cs"/>
          <w:rtl/>
        </w:rPr>
        <w:t>م</w:t>
      </w:r>
      <w:r w:rsidR="00AE583F">
        <w:rPr>
          <w:rFonts w:hint="cs"/>
          <w:rtl/>
        </w:rPr>
        <w:t>َ</w:t>
      </w:r>
      <w:r w:rsidRPr="00E4028C">
        <w:rPr>
          <w:rFonts w:hint="cs"/>
          <w:rtl/>
        </w:rPr>
        <w:t>ة، وعبد الله بن عباس، وعبد الله بن م</w:t>
      </w:r>
      <w:r w:rsidR="00AE583F">
        <w:rPr>
          <w:rFonts w:hint="cs"/>
          <w:rtl/>
        </w:rPr>
        <w:t>ُ</w:t>
      </w:r>
      <w:r w:rsidRPr="00E4028C">
        <w:rPr>
          <w:rFonts w:hint="cs"/>
          <w:rtl/>
        </w:rPr>
        <w:t>طيع</w:t>
      </w:r>
      <w:r w:rsidRPr="00763E4E">
        <w:rPr>
          <w:rFonts w:cs="Taher"/>
          <w:vertAlign w:val="superscript"/>
          <w:rtl/>
        </w:rPr>
        <w:t>(</w:t>
      </w:r>
      <w:r w:rsidRPr="00763E4E">
        <w:rPr>
          <w:rFonts w:cs="Taher"/>
          <w:vertAlign w:val="superscript"/>
          <w:rtl/>
        </w:rPr>
        <w:footnoteReference w:id="179"/>
      </w:r>
      <w:r w:rsidRPr="00763E4E">
        <w:rPr>
          <w:rFonts w:cs="Taher"/>
          <w:vertAlign w:val="superscript"/>
          <w:rtl/>
        </w:rPr>
        <w:t>)</w:t>
      </w:r>
      <w:r w:rsidRPr="00E4028C">
        <w:rPr>
          <w:rFonts w:hint="cs"/>
          <w:rtl/>
        </w:rPr>
        <w:t>، فلماذا لم يوضح لهم المبرّرات بدل أن يقول لهم: إنّه سوف يدعو الله لما فيه الخير وينظر في الأمر؟! بل لو فسّرت الاستخارة بما صار لها من معنى اليوم بين المتشرّعة لكان البُعد الغيبي أكبر وأوضح، وإن كان هذا المعنى بعيداً هنا</w:t>
      </w:r>
      <w:r w:rsidRPr="00763E4E">
        <w:rPr>
          <w:rFonts w:cs="Taher"/>
          <w:vertAlign w:val="superscript"/>
          <w:rtl/>
        </w:rPr>
        <w:t>(</w:t>
      </w:r>
      <w:r w:rsidRPr="00763E4E">
        <w:rPr>
          <w:rFonts w:cs="Taher"/>
          <w:vertAlign w:val="superscript"/>
          <w:rtl/>
        </w:rPr>
        <w:footnoteReference w:id="180"/>
      </w:r>
      <w:r w:rsidRPr="00763E4E">
        <w:rPr>
          <w:rFonts w:cs="Taher"/>
          <w:vertAlign w:val="superscript"/>
          <w:rtl/>
        </w:rPr>
        <w:t>)</w:t>
      </w:r>
      <w:r w:rsidRPr="00E4028C">
        <w:rPr>
          <w:rFonts w:hint="cs"/>
          <w:rtl/>
        </w:rPr>
        <w:t>.</w:t>
      </w:r>
    </w:p>
    <w:p w14:paraId="52A23494" w14:textId="77777777" w:rsidR="00DD6401" w:rsidRPr="00E4028C" w:rsidRDefault="00DD6401" w:rsidP="009B7F51">
      <w:pPr>
        <w:rPr>
          <w:rtl/>
        </w:rPr>
      </w:pPr>
      <w:r w:rsidRPr="008C176E">
        <w:rPr>
          <w:rFonts w:hint="cs"/>
          <w:b/>
          <w:bCs/>
          <w:rtl/>
        </w:rPr>
        <w:t xml:space="preserve">6 ـ </w:t>
      </w:r>
      <w:r w:rsidRPr="00E4028C">
        <w:rPr>
          <w:rFonts w:hint="cs"/>
          <w:rtl/>
        </w:rPr>
        <w:t>إنّ إقدام الإمام الحسين على تعريض نفسه للموت وهو يعلم بأنّه سوف يستشهد يعدّ ـ من الناحية الشرعية ـ إلقاءً للنفس في التهلكة، فيكون محرّماً، وهذا معناه أنّ هذا التصرّف من الإمام انطلق من خصوصي</w:t>
      </w:r>
      <w:r w:rsidR="00AE583F">
        <w:rPr>
          <w:rFonts w:hint="cs"/>
          <w:rtl/>
        </w:rPr>
        <w:t>ّ</w:t>
      </w:r>
      <w:r w:rsidRPr="00E4028C">
        <w:rPr>
          <w:rFonts w:hint="cs"/>
          <w:rtl/>
        </w:rPr>
        <w:t>ة له، وإلا فلو لم يكن الأمر كذلك للزم الالتزام بارتكابه الحرام وتعريض نفسه للهلاك، وهو التزام غير مقبول إطلاقاً.</w:t>
      </w:r>
    </w:p>
    <w:p w14:paraId="33C7E157" w14:textId="577B9C6E" w:rsidR="00DD6401" w:rsidRPr="00E4028C" w:rsidRDefault="00DD6401" w:rsidP="00CD7625">
      <w:pPr>
        <w:rPr>
          <w:rtl/>
        </w:rPr>
      </w:pPr>
      <w:r w:rsidRPr="00430845">
        <w:rPr>
          <w:rFonts w:hint="cs"/>
          <w:b/>
          <w:bCs/>
          <w:rtl/>
        </w:rPr>
        <w:t xml:space="preserve">7 ـ </w:t>
      </w:r>
      <w:r w:rsidRPr="00E4028C">
        <w:rPr>
          <w:rFonts w:hint="cs"/>
          <w:rtl/>
        </w:rPr>
        <w:t>ما جاء في حوار الإمام مع عمرو بن ل</w:t>
      </w:r>
      <w:r w:rsidR="00AE583F">
        <w:rPr>
          <w:rFonts w:hint="cs"/>
          <w:rtl/>
        </w:rPr>
        <w:t>َ</w:t>
      </w:r>
      <w:r w:rsidRPr="00E4028C">
        <w:rPr>
          <w:rFonts w:hint="cs"/>
          <w:rtl/>
        </w:rPr>
        <w:t>وذ</w:t>
      </w:r>
      <w:r w:rsidR="00AE583F">
        <w:rPr>
          <w:rFonts w:hint="cs"/>
          <w:rtl/>
        </w:rPr>
        <w:t>َ</w:t>
      </w:r>
      <w:r w:rsidRPr="00E4028C">
        <w:rPr>
          <w:rFonts w:hint="cs"/>
          <w:rtl/>
        </w:rPr>
        <w:t xml:space="preserve">ان عندما التقاه بُعيد خروجه من مكّة عند بطن العقبة، فبعد أن ذكر له عدم الذهاب، أجابه الحسين بالقول: </w:t>
      </w:r>
      <w:r w:rsidR="00D537A9" w:rsidRPr="00822CE9">
        <w:rPr>
          <w:rFonts w:hint="cs"/>
          <w:rtl/>
        </w:rPr>
        <w:t>«</w:t>
      </w:r>
      <w:r w:rsidRPr="00E4028C">
        <w:rPr>
          <w:rFonts w:hint="cs"/>
          <w:rtl/>
        </w:rPr>
        <w:t>يا عبد الله</w:t>
      </w:r>
      <w:r w:rsidR="00CD7625">
        <w:rPr>
          <w:rFonts w:hint="cs"/>
          <w:rtl/>
        </w:rPr>
        <w:t>،</w:t>
      </w:r>
      <w:r w:rsidRPr="00E4028C">
        <w:rPr>
          <w:rFonts w:hint="cs"/>
          <w:rtl/>
        </w:rPr>
        <w:t xml:space="preserve"> إنّه ليس يخفى عليّ الرأي ما رأيت</w:t>
      </w:r>
      <w:r w:rsidR="00CD7625">
        <w:rPr>
          <w:rFonts w:hint="cs"/>
          <w:rtl/>
        </w:rPr>
        <w:t>،</w:t>
      </w:r>
      <w:r w:rsidRPr="00E4028C">
        <w:rPr>
          <w:rFonts w:hint="cs"/>
          <w:rtl/>
        </w:rPr>
        <w:t xml:space="preserve"> ولكن الله لا يُغلب على أمره..</w:t>
      </w:r>
      <w:r w:rsidR="00D537A9" w:rsidRPr="00D537A9">
        <w:rPr>
          <w:rFonts w:hint="cs"/>
          <w:rtl/>
        </w:rPr>
        <w:t xml:space="preserve"> </w:t>
      </w:r>
      <w:r w:rsidR="00D537A9" w:rsidRPr="00822CE9">
        <w:rPr>
          <w:rFonts w:hint="cs"/>
          <w:rtl/>
        </w:rPr>
        <w:t>»</w:t>
      </w:r>
      <w:r w:rsidR="00D537A9" w:rsidRPr="00763E4E">
        <w:rPr>
          <w:rFonts w:cs="Taher"/>
          <w:vertAlign w:val="superscript"/>
          <w:rtl/>
        </w:rPr>
        <w:t xml:space="preserve"> </w:t>
      </w:r>
      <w:r w:rsidRPr="00763E4E">
        <w:rPr>
          <w:rFonts w:cs="Taher"/>
          <w:vertAlign w:val="superscript"/>
          <w:rtl/>
        </w:rPr>
        <w:t>(</w:t>
      </w:r>
      <w:r w:rsidRPr="00763E4E">
        <w:rPr>
          <w:rFonts w:cs="Taher"/>
          <w:vertAlign w:val="superscript"/>
          <w:rtl/>
        </w:rPr>
        <w:footnoteReference w:id="181"/>
      </w:r>
      <w:r w:rsidRPr="00763E4E">
        <w:rPr>
          <w:rFonts w:cs="Taher"/>
          <w:vertAlign w:val="superscript"/>
          <w:rtl/>
        </w:rPr>
        <w:t>)</w:t>
      </w:r>
      <w:r w:rsidRPr="00E4028C">
        <w:rPr>
          <w:rFonts w:hint="cs"/>
          <w:rtl/>
        </w:rPr>
        <w:t>؛ فهذا كلام واضح في أنّه يستصوب موقف ابن لوذان، وأنّ ذلك لا يخفى عليه، لكنّه يتحرّك بمشيئة إلهية تكوينية لا تحكمها حسابات البشر في قضايا السياسة والمواجهة.</w:t>
      </w:r>
    </w:p>
    <w:p w14:paraId="161C9CB3" w14:textId="77777777" w:rsidR="00DD6401" w:rsidRPr="00E4028C" w:rsidRDefault="00DD6401" w:rsidP="009B7F51">
      <w:pPr>
        <w:rPr>
          <w:rtl/>
        </w:rPr>
      </w:pPr>
      <w:r w:rsidRPr="00CD7625">
        <w:rPr>
          <w:rFonts w:hint="cs"/>
          <w:b/>
          <w:bCs/>
          <w:rtl/>
        </w:rPr>
        <w:t xml:space="preserve">8 ـ </w:t>
      </w:r>
      <w:r w:rsidRPr="00E4028C">
        <w:rPr>
          <w:rFonts w:hint="cs"/>
          <w:rtl/>
        </w:rPr>
        <w:t xml:space="preserve">حاول بعض العلماء أن يقارن بين </w:t>
      </w:r>
      <w:r w:rsidR="00CD7625">
        <w:rPr>
          <w:rFonts w:hint="cs"/>
          <w:rtl/>
        </w:rPr>
        <w:t xml:space="preserve">حركة </w:t>
      </w:r>
      <w:r w:rsidRPr="00E4028C">
        <w:rPr>
          <w:rFonts w:hint="cs"/>
          <w:rtl/>
        </w:rPr>
        <w:t>الحسين وبين فقه الجهاد في الإسلام؛ فرأى أنّها تمتاز عن الجهاد العام في الشريعة؛ فهي لا تخضع لقانون سقوط وجوب الجهاد بزيادة عدد العدو عن الضّعف، وكذلك يشترط في الجهاد عدم ظنّ الهلاك دونها، والجهاد لا يجب على الشيخ الهرم والصبيّ الصغير مع أنّه شارك فيها هؤلاء، فهذا كلّه شاهد اختصاصها</w:t>
      </w:r>
      <w:r w:rsidRPr="00763E4E">
        <w:rPr>
          <w:rFonts w:cs="Taher"/>
          <w:vertAlign w:val="superscript"/>
          <w:rtl/>
        </w:rPr>
        <w:t>(</w:t>
      </w:r>
      <w:r w:rsidRPr="00763E4E">
        <w:rPr>
          <w:rFonts w:cs="Taher"/>
          <w:vertAlign w:val="superscript"/>
          <w:rtl/>
        </w:rPr>
        <w:footnoteReference w:id="182"/>
      </w:r>
      <w:r w:rsidRPr="00763E4E">
        <w:rPr>
          <w:rFonts w:cs="Taher"/>
          <w:vertAlign w:val="superscript"/>
          <w:rtl/>
        </w:rPr>
        <w:t>)</w:t>
      </w:r>
      <w:r w:rsidRPr="00E4028C">
        <w:rPr>
          <w:rFonts w:hint="cs"/>
          <w:rtl/>
        </w:rPr>
        <w:t>.</w:t>
      </w:r>
    </w:p>
    <w:p w14:paraId="62B44D8D" w14:textId="77777777" w:rsidR="00DD6401" w:rsidRPr="00E4028C" w:rsidRDefault="00DD6401" w:rsidP="00DD6401">
      <w:pPr>
        <w:rPr>
          <w:rtl/>
        </w:rPr>
      </w:pPr>
      <w:r w:rsidRPr="00CD7625">
        <w:rPr>
          <w:rFonts w:hint="cs"/>
          <w:b/>
          <w:bCs/>
          <w:rtl/>
        </w:rPr>
        <w:lastRenderedPageBreak/>
        <w:t xml:space="preserve">9 ـ </w:t>
      </w:r>
      <w:r w:rsidRPr="00E4028C">
        <w:rPr>
          <w:rFonts w:hint="cs"/>
          <w:rtl/>
        </w:rPr>
        <w:t>ما جاء في كلمات الإمام الحسين وهو في الطريق يتحد</w:t>
      </w:r>
      <w:r w:rsidR="00CD7625">
        <w:rPr>
          <w:rFonts w:hint="cs"/>
          <w:rtl/>
        </w:rPr>
        <w:t>ّ</w:t>
      </w:r>
      <w:r w:rsidRPr="00E4028C">
        <w:rPr>
          <w:rFonts w:hint="cs"/>
          <w:rtl/>
        </w:rPr>
        <w:t>ث عن كتابة الموت على ولد آدم مخطّ القلادة في جيد الفتاة، ويتكلّم عن أوصاله المقطّعة بين النواويس وكربلاء، وأنّه لا مفرّ عن يوم خطّ بالقلم</w:t>
      </w:r>
      <w:r w:rsidRPr="00763E4E">
        <w:rPr>
          <w:rFonts w:cs="Taher"/>
          <w:vertAlign w:val="superscript"/>
          <w:rtl/>
        </w:rPr>
        <w:t>(</w:t>
      </w:r>
      <w:r w:rsidRPr="00763E4E">
        <w:rPr>
          <w:rFonts w:cs="Taher"/>
          <w:vertAlign w:val="superscript"/>
          <w:rtl/>
        </w:rPr>
        <w:footnoteReference w:id="183"/>
      </w:r>
      <w:r w:rsidRPr="00763E4E">
        <w:rPr>
          <w:rFonts w:cs="Taher"/>
          <w:vertAlign w:val="superscript"/>
          <w:rtl/>
        </w:rPr>
        <w:t>)</w:t>
      </w:r>
      <w:r w:rsidRPr="00E4028C">
        <w:rPr>
          <w:rFonts w:hint="cs"/>
          <w:rtl/>
        </w:rPr>
        <w:t>؛ فهذا كلّه شاهد أكيد أنّه كان يتجه نحو مصير مأساوي محدّد سلفاً، لا نحو مشروع إسقاط سلطة سياسية فاسدة.</w:t>
      </w:r>
    </w:p>
    <w:p w14:paraId="3A1001D9" w14:textId="77777777" w:rsidR="00DD6401" w:rsidRPr="00E4028C" w:rsidRDefault="00DD6401" w:rsidP="00CD7625">
      <w:pPr>
        <w:rPr>
          <w:rtl/>
        </w:rPr>
      </w:pPr>
      <w:r w:rsidRPr="00E4028C">
        <w:rPr>
          <w:rFonts w:hint="cs"/>
          <w:rtl/>
        </w:rPr>
        <w:t>فهذه الشواهد ـ وغيرها ـ تؤكّد هذا الأمر، وإلا لو كان لديه مخطّط سياسي اجتماعي لبيّنه لأقرب المقرّبين إليه وهو ابن الحنفية، ولم يستعض عنه بقضية الرؤيا التي رآها</w:t>
      </w:r>
      <w:r w:rsidRPr="00763E4E">
        <w:rPr>
          <w:rFonts w:cs="Taher"/>
          <w:vertAlign w:val="superscript"/>
          <w:rtl/>
        </w:rPr>
        <w:t>(</w:t>
      </w:r>
      <w:r w:rsidRPr="00763E4E">
        <w:rPr>
          <w:rFonts w:cs="Taher"/>
          <w:vertAlign w:val="superscript"/>
          <w:rtl/>
        </w:rPr>
        <w:footnoteReference w:id="184"/>
      </w:r>
      <w:r w:rsidRPr="00763E4E">
        <w:rPr>
          <w:rFonts w:cs="Taher"/>
          <w:vertAlign w:val="superscript"/>
          <w:rtl/>
        </w:rPr>
        <w:t>)</w:t>
      </w:r>
      <w:r w:rsidRPr="00E4028C">
        <w:rPr>
          <w:rFonts w:hint="cs"/>
          <w:rtl/>
        </w:rPr>
        <w:t>.</w:t>
      </w:r>
    </w:p>
    <w:p w14:paraId="1323C3B1" w14:textId="77777777" w:rsidR="00DD6401" w:rsidRPr="009125AB" w:rsidRDefault="009125AB" w:rsidP="0096148C">
      <w:pPr>
        <w:pStyle w:val="Heading3"/>
        <w:rPr>
          <w:rtl/>
        </w:rPr>
      </w:pPr>
      <w:bookmarkStart w:id="93" w:name="_Toc307009615"/>
      <w:bookmarkStart w:id="94" w:name="_Toc143804134"/>
      <w:bookmarkStart w:id="95" w:name="_Toc238123259"/>
      <w:r>
        <w:rPr>
          <w:rFonts w:hint="cs"/>
          <w:rtl/>
        </w:rPr>
        <w:t xml:space="preserve">ثانياً: </w:t>
      </w:r>
      <w:r w:rsidR="00DD6401" w:rsidRPr="009125AB">
        <w:rPr>
          <w:rFonts w:hint="cs"/>
          <w:rtl/>
        </w:rPr>
        <w:t>قراءة نقدي</w:t>
      </w:r>
      <w:r w:rsidR="00CD7625" w:rsidRPr="009125AB">
        <w:rPr>
          <w:rFonts w:hint="cs"/>
          <w:rtl/>
        </w:rPr>
        <w:t>ّ</w:t>
      </w:r>
      <w:r w:rsidR="00DD6401" w:rsidRPr="009125AB">
        <w:rPr>
          <w:rFonts w:hint="cs"/>
          <w:rtl/>
        </w:rPr>
        <w:t>ة في نظرية التخصيص واللامعقول الحسيني</w:t>
      </w:r>
      <w:bookmarkEnd w:id="93"/>
      <w:bookmarkEnd w:id="94"/>
      <w:bookmarkEnd w:id="95"/>
    </w:p>
    <w:p w14:paraId="5E171951" w14:textId="77777777" w:rsidR="00DD6401" w:rsidRDefault="00DD6401" w:rsidP="00DD6401">
      <w:pPr>
        <w:rPr>
          <w:b/>
          <w:bCs/>
          <w:rtl/>
        </w:rPr>
      </w:pPr>
      <w:r w:rsidRPr="00CD7625">
        <w:rPr>
          <w:rFonts w:hint="cs"/>
          <w:b/>
          <w:bCs/>
          <w:rtl/>
        </w:rPr>
        <w:t>ويمكن أن تناقش هذه النظرية من جهات:</w:t>
      </w:r>
    </w:p>
    <w:p w14:paraId="37332539" w14:textId="77777777" w:rsidR="00FE61E7" w:rsidRPr="0096148C" w:rsidRDefault="009125AB" w:rsidP="0096148C">
      <w:pPr>
        <w:pStyle w:val="Heading4"/>
        <w:rPr>
          <w:sz w:val="26"/>
          <w:szCs w:val="32"/>
          <w:rtl/>
        </w:rPr>
      </w:pPr>
      <w:bookmarkStart w:id="96" w:name="_Toc143804135"/>
      <w:bookmarkStart w:id="97" w:name="_Toc238123260"/>
      <w:r w:rsidRPr="0096148C">
        <w:rPr>
          <w:rFonts w:hint="cs"/>
          <w:sz w:val="26"/>
          <w:szCs w:val="32"/>
          <w:rtl/>
        </w:rPr>
        <w:t xml:space="preserve">أ ـ </w:t>
      </w:r>
      <w:r w:rsidR="00FE61E7" w:rsidRPr="0096148C">
        <w:rPr>
          <w:rFonts w:hint="cs"/>
          <w:sz w:val="26"/>
          <w:szCs w:val="32"/>
          <w:rtl/>
        </w:rPr>
        <w:t xml:space="preserve">معارضة بعض النصوص التاريخيّة لمعطيات نظريّة التخصيص </w:t>
      </w:r>
      <w:r w:rsidR="00156ED8" w:rsidRPr="0096148C">
        <w:rPr>
          <w:rFonts w:hint="cs"/>
          <w:sz w:val="26"/>
          <w:szCs w:val="32"/>
          <w:rtl/>
        </w:rPr>
        <w:t>(إشكالية الانتقائيّة)</w:t>
      </w:r>
      <w:bookmarkEnd w:id="96"/>
      <w:bookmarkEnd w:id="97"/>
    </w:p>
    <w:p w14:paraId="4027CBA8" w14:textId="77777777" w:rsidR="00DD6401" w:rsidRPr="00E4028C" w:rsidRDefault="00DD6401" w:rsidP="009B7F51">
      <w:pPr>
        <w:pStyle w:val="normal870"/>
        <w:rPr>
          <w:rtl/>
        </w:rPr>
      </w:pPr>
      <w:r w:rsidRPr="00E4028C">
        <w:rPr>
          <w:rFonts w:hint="cs"/>
          <w:rtl/>
        </w:rPr>
        <w:t>إن</w:t>
      </w:r>
      <w:r w:rsidR="00CD7625">
        <w:rPr>
          <w:rFonts w:hint="cs"/>
          <w:rtl/>
        </w:rPr>
        <w:t>ّ</w:t>
      </w:r>
      <w:r w:rsidRPr="00E4028C">
        <w:rPr>
          <w:rFonts w:hint="cs"/>
          <w:rtl/>
        </w:rPr>
        <w:t xml:space="preserve"> هذه النظرية والنصوص التي تع</w:t>
      </w:r>
      <w:r w:rsidR="00CD7625">
        <w:rPr>
          <w:rFonts w:hint="cs"/>
          <w:rtl/>
        </w:rPr>
        <w:t xml:space="preserve">زّزها </w:t>
      </w:r>
      <w:r w:rsidRPr="00E4028C">
        <w:rPr>
          <w:rFonts w:hint="cs"/>
          <w:rtl/>
        </w:rPr>
        <w:t>تعارضها نصوص أخرى، يقدّم لنا الإمام الحسين× فيها تفسيرات عقلانية لثورته، مثل النصوص التي يشير فيها إلى قضيّة الانحراف عن الحقّ، وإلى ترك المعروف، وفعل المنكرات و</w:t>
      </w:r>
      <w:r w:rsidR="00CD7625">
        <w:rPr>
          <w:rFonts w:hint="cs"/>
          <w:rtl/>
        </w:rPr>
        <w:t>نحو ذلك،</w:t>
      </w:r>
      <w:r w:rsidRPr="00E4028C">
        <w:rPr>
          <w:rFonts w:hint="cs"/>
          <w:rtl/>
        </w:rPr>
        <w:t xml:space="preserve"> وجعلها أسباباً ودوافع لحركته، وهذه النصوص الكثيرة المتفرّقة كلّها تعارض هذا التفسير الغيبي المتعالي عن التعقيل والعقلانية</w:t>
      </w:r>
      <w:r w:rsidRPr="00763E4E">
        <w:rPr>
          <w:rFonts w:cs="Taher"/>
          <w:vertAlign w:val="superscript"/>
          <w:rtl/>
        </w:rPr>
        <w:t>(</w:t>
      </w:r>
      <w:r w:rsidRPr="00763E4E">
        <w:rPr>
          <w:rFonts w:cs="Taher"/>
          <w:vertAlign w:val="superscript"/>
          <w:rtl/>
        </w:rPr>
        <w:footnoteReference w:id="185"/>
      </w:r>
      <w:r w:rsidRPr="00763E4E">
        <w:rPr>
          <w:rFonts w:cs="Taher"/>
          <w:vertAlign w:val="superscript"/>
          <w:rtl/>
        </w:rPr>
        <w:t>)</w:t>
      </w:r>
      <w:r w:rsidRPr="00E4028C">
        <w:rPr>
          <w:rFonts w:hint="cs"/>
          <w:rtl/>
        </w:rPr>
        <w:t>.</w:t>
      </w:r>
    </w:p>
    <w:p w14:paraId="51BCBE9A" w14:textId="77777777" w:rsidR="00DD6401" w:rsidRPr="00E4028C" w:rsidRDefault="00DD6401" w:rsidP="00CD7625">
      <w:pPr>
        <w:pStyle w:val="Space2"/>
        <w:rPr>
          <w:rtl/>
        </w:rPr>
      </w:pPr>
      <w:r w:rsidRPr="00E4028C">
        <w:rPr>
          <w:rFonts w:hint="cs"/>
          <w:rtl/>
        </w:rPr>
        <w:t xml:space="preserve">ومن نماذج هذه النصوص ـ عدا ما سيأتي ـ ما ورد في كلماته× التي يفسّر فيها مبرّرات </w:t>
      </w:r>
      <w:r w:rsidR="00CD7625">
        <w:rPr>
          <w:rFonts w:hint="cs"/>
          <w:rtl/>
        </w:rPr>
        <w:t>خروجه</w:t>
      </w:r>
      <w:r w:rsidRPr="00E4028C">
        <w:rPr>
          <w:rFonts w:hint="cs"/>
          <w:rtl/>
        </w:rPr>
        <w:t>، مثل ما رواه أب</w:t>
      </w:r>
      <w:r w:rsidR="00CD7625">
        <w:rPr>
          <w:rFonts w:hint="cs"/>
          <w:rtl/>
        </w:rPr>
        <w:t>و</w:t>
      </w:r>
      <w:r w:rsidRPr="00E4028C">
        <w:rPr>
          <w:rFonts w:hint="cs"/>
          <w:rtl/>
        </w:rPr>
        <w:t xml:space="preserve"> مخنف عن العقبة بن </w:t>
      </w:r>
      <w:r w:rsidR="00FD5DD8">
        <w:rPr>
          <w:rFonts w:hint="cs"/>
          <w:rtl/>
        </w:rPr>
        <w:t xml:space="preserve">أبي </w:t>
      </w:r>
      <w:r w:rsidRPr="00E4028C">
        <w:rPr>
          <w:rFonts w:hint="cs"/>
          <w:rtl/>
        </w:rPr>
        <w:t>العيزار: إن</w:t>
      </w:r>
      <w:r w:rsidR="002E176B">
        <w:rPr>
          <w:rFonts w:hint="cs"/>
          <w:rtl/>
        </w:rPr>
        <w:t>ّ</w:t>
      </w:r>
      <w:r w:rsidRPr="00E4028C">
        <w:rPr>
          <w:rFonts w:hint="cs"/>
          <w:rtl/>
        </w:rPr>
        <w:t xml:space="preserve"> ا</w:t>
      </w:r>
      <w:r w:rsidR="002E176B">
        <w:rPr>
          <w:rFonts w:hint="cs"/>
          <w:rtl/>
        </w:rPr>
        <w:t>لحسين خطب أصحابه..: «أيها الناس،</w:t>
      </w:r>
      <w:r w:rsidRPr="00E4028C">
        <w:rPr>
          <w:rFonts w:hint="cs"/>
          <w:rtl/>
        </w:rPr>
        <w:t xml:space="preserve"> إنّ رسول الله| قال: من رأى سلطاناً جائراً مستحلاً لحرم الله، ناكثاً لعهد الله، مخالفاً لسنّة رسول الله|، يعمل في عباد الله بالإثم والعدوان، فلم يغيّر عليه بفعل ولا قول، كان </w:t>
      </w:r>
      <w:r w:rsidRPr="00E4028C">
        <w:rPr>
          <w:rFonts w:hint="cs"/>
          <w:rtl/>
        </w:rPr>
        <w:lastRenderedPageBreak/>
        <w:t>حقاً على الله أن يدخله مدخله، ألا وإن هؤلاء قد لزموا طاعة الشيطان، وتركوا طاعة الرحمن، وأظهروا الفساد وعطّلوا الحدود، واستأثروا بالفيء، وأحلّوا حرام الله، وحرّموا حلاله وأنا أحقّ من غيري..»</w:t>
      </w:r>
      <w:r w:rsidRPr="00763E4E">
        <w:rPr>
          <w:rFonts w:cs="Taher"/>
          <w:vertAlign w:val="superscript"/>
          <w:rtl/>
        </w:rPr>
        <w:t>(</w:t>
      </w:r>
      <w:r w:rsidRPr="00763E4E">
        <w:rPr>
          <w:rFonts w:cs="Taher"/>
          <w:vertAlign w:val="superscript"/>
          <w:rtl/>
        </w:rPr>
        <w:footnoteReference w:id="186"/>
      </w:r>
      <w:r w:rsidRPr="00763E4E">
        <w:rPr>
          <w:rFonts w:cs="Taher"/>
          <w:vertAlign w:val="superscript"/>
          <w:rtl/>
        </w:rPr>
        <w:t>)</w:t>
      </w:r>
      <w:r w:rsidRPr="00E4028C">
        <w:rPr>
          <w:rFonts w:hint="cs"/>
          <w:rtl/>
        </w:rPr>
        <w:t>.</w:t>
      </w:r>
    </w:p>
    <w:p w14:paraId="50E8FA3A" w14:textId="77777777" w:rsidR="00DD6401" w:rsidRPr="00E4028C" w:rsidRDefault="00DD6401" w:rsidP="009B7F51">
      <w:pPr>
        <w:pStyle w:val="normal84"/>
        <w:rPr>
          <w:rtl/>
        </w:rPr>
      </w:pPr>
      <w:r w:rsidRPr="00E4028C">
        <w:rPr>
          <w:rFonts w:hint="cs"/>
          <w:rtl/>
        </w:rPr>
        <w:t>فهذه الرواية تجعل حركة الحسين في هذا الإطار الذي أسّسه الرسول، مما يمكّننا من الاستناد إليها للترخيص في مواجهة الظالم الذي يتصف بهذه الصفات المذكورة أعلاه، وهو غير خاص</w:t>
      </w:r>
      <w:r w:rsidR="002E176B">
        <w:rPr>
          <w:rFonts w:hint="cs"/>
          <w:rtl/>
        </w:rPr>
        <w:t>ّ</w:t>
      </w:r>
      <w:r w:rsidRPr="00E4028C">
        <w:rPr>
          <w:rFonts w:hint="cs"/>
          <w:rtl/>
        </w:rPr>
        <w:t xml:space="preserve"> بعصر حضور </w:t>
      </w:r>
      <w:r w:rsidR="002E176B">
        <w:rPr>
          <w:rFonts w:hint="cs"/>
          <w:rtl/>
        </w:rPr>
        <w:t>النبي والإمام</w:t>
      </w:r>
      <w:r w:rsidRPr="00E4028C">
        <w:rPr>
          <w:rFonts w:hint="cs"/>
          <w:rtl/>
        </w:rPr>
        <w:t>، بل يوجد بعدهم إلى يوم الدين.</w:t>
      </w:r>
    </w:p>
    <w:p w14:paraId="14D46C93" w14:textId="77777777" w:rsidR="00DD6401" w:rsidRPr="00E4028C" w:rsidRDefault="00DD6401" w:rsidP="009B7F51">
      <w:pPr>
        <w:pStyle w:val="normal870"/>
        <w:rPr>
          <w:rtl/>
        </w:rPr>
      </w:pPr>
      <w:r w:rsidRPr="00E4028C">
        <w:rPr>
          <w:rFonts w:hint="cs"/>
          <w:rtl/>
        </w:rPr>
        <w:t>وفي خطبة له</w:t>
      </w:r>
      <w:r w:rsidR="002E176B">
        <w:rPr>
          <w:rFonts w:hint="cs"/>
          <w:rtl/>
        </w:rPr>
        <w:t>×</w:t>
      </w:r>
      <w:r w:rsidRPr="00E4028C">
        <w:rPr>
          <w:rFonts w:hint="cs"/>
          <w:rtl/>
        </w:rPr>
        <w:t xml:space="preserve"> أن</w:t>
      </w:r>
      <w:r w:rsidR="002E176B">
        <w:rPr>
          <w:rFonts w:hint="cs"/>
          <w:rtl/>
        </w:rPr>
        <w:t>ّ</w:t>
      </w:r>
      <w:r w:rsidRPr="00E4028C">
        <w:rPr>
          <w:rFonts w:hint="cs"/>
          <w:rtl/>
        </w:rPr>
        <w:t>ه قال فيها ـ وقد رويت لنا بالسند المتقد</w:t>
      </w:r>
      <w:r w:rsidR="002E176B">
        <w:rPr>
          <w:rFonts w:hint="cs"/>
          <w:rtl/>
        </w:rPr>
        <w:t>ّ</w:t>
      </w:r>
      <w:r w:rsidRPr="00E4028C">
        <w:rPr>
          <w:rFonts w:hint="cs"/>
          <w:rtl/>
        </w:rPr>
        <w:t>م ـ: «.. ألا ترون أن</w:t>
      </w:r>
      <w:r w:rsidR="002E176B">
        <w:rPr>
          <w:rFonts w:hint="cs"/>
          <w:rtl/>
        </w:rPr>
        <w:t>ّ</w:t>
      </w:r>
      <w:r w:rsidRPr="00E4028C">
        <w:rPr>
          <w:rFonts w:hint="cs"/>
          <w:rtl/>
        </w:rPr>
        <w:t xml:space="preserve"> الحقّ لا ي</w:t>
      </w:r>
      <w:r w:rsidR="002E176B">
        <w:rPr>
          <w:rFonts w:hint="cs"/>
          <w:rtl/>
        </w:rPr>
        <w:t>ُ</w:t>
      </w:r>
      <w:r w:rsidRPr="00E4028C">
        <w:rPr>
          <w:rFonts w:hint="cs"/>
          <w:rtl/>
        </w:rPr>
        <w:t>عمل به وأن</w:t>
      </w:r>
      <w:r w:rsidR="002E176B">
        <w:rPr>
          <w:rFonts w:hint="cs"/>
          <w:rtl/>
        </w:rPr>
        <w:t>ّ</w:t>
      </w:r>
      <w:r w:rsidRPr="00E4028C">
        <w:rPr>
          <w:rFonts w:hint="cs"/>
          <w:rtl/>
        </w:rPr>
        <w:t xml:space="preserve"> الباطل لا ي</w:t>
      </w:r>
      <w:r w:rsidR="002E176B">
        <w:rPr>
          <w:rFonts w:hint="cs"/>
          <w:rtl/>
        </w:rPr>
        <w:t>ُ</w:t>
      </w:r>
      <w:r w:rsidRPr="00E4028C">
        <w:rPr>
          <w:rFonts w:hint="cs"/>
          <w:rtl/>
        </w:rPr>
        <w:t>تناهى عنه؛ ليرغب المؤمن في لقاء الله محق</w:t>
      </w:r>
      <w:r w:rsidR="002E176B">
        <w:rPr>
          <w:rFonts w:hint="cs"/>
          <w:rtl/>
        </w:rPr>
        <w:t>ّ</w:t>
      </w:r>
      <w:r w:rsidRPr="00E4028C">
        <w:rPr>
          <w:rFonts w:hint="cs"/>
          <w:rtl/>
        </w:rPr>
        <w:t>اً، فإني لا أرى الموت</w:t>
      </w:r>
      <w:r w:rsidR="002E176B">
        <w:rPr>
          <w:rFonts w:hint="cs"/>
          <w:rtl/>
        </w:rPr>
        <w:t xml:space="preserve"> إلا </w:t>
      </w:r>
      <w:r w:rsidRPr="00E4028C">
        <w:rPr>
          <w:rFonts w:hint="cs"/>
          <w:rtl/>
        </w:rPr>
        <w:t>شها</w:t>
      </w:r>
      <w:r w:rsidR="002E176B">
        <w:rPr>
          <w:rFonts w:hint="cs"/>
          <w:rtl/>
        </w:rPr>
        <w:t xml:space="preserve">دة، ولا الحياة مع الظالمين إلا </w:t>
      </w:r>
      <w:r w:rsidRPr="00E4028C">
        <w:rPr>
          <w:rFonts w:hint="cs"/>
          <w:rtl/>
        </w:rPr>
        <w:t>برماً..»</w:t>
      </w:r>
      <w:r w:rsidRPr="00763E4E">
        <w:rPr>
          <w:rFonts w:cs="Taher"/>
          <w:vertAlign w:val="superscript"/>
          <w:rtl/>
        </w:rPr>
        <w:t>(</w:t>
      </w:r>
      <w:r w:rsidRPr="00763E4E">
        <w:rPr>
          <w:rFonts w:cs="Taher"/>
          <w:vertAlign w:val="superscript"/>
          <w:rtl/>
        </w:rPr>
        <w:footnoteReference w:id="187"/>
      </w:r>
      <w:r w:rsidRPr="00763E4E">
        <w:rPr>
          <w:rFonts w:cs="Taher"/>
          <w:vertAlign w:val="superscript"/>
          <w:rtl/>
        </w:rPr>
        <w:t>)</w:t>
      </w:r>
      <w:r w:rsidRPr="00E4028C">
        <w:rPr>
          <w:rtl/>
        </w:rPr>
        <w:t xml:space="preserve">، </w:t>
      </w:r>
      <w:r w:rsidRPr="00E4028C">
        <w:rPr>
          <w:rFonts w:hint="cs"/>
          <w:rtl/>
        </w:rPr>
        <w:t>ووردت في مصادر أخرى مع تغيير «إلا سعادة»</w:t>
      </w:r>
      <w:r w:rsidRPr="00763E4E">
        <w:rPr>
          <w:rFonts w:cs="Taher"/>
          <w:vertAlign w:val="superscript"/>
          <w:rtl/>
        </w:rPr>
        <w:t>(</w:t>
      </w:r>
      <w:r w:rsidRPr="00763E4E">
        <w:rPr>
          <w:rFonts w:cs="Taher"/>
          <w:vertAlign w:val="superscript"/>
          <w:rtl/>
        </w:rPr>
        <w:footnoteReference w:id="188"/>
      </w:r>
      <w:r w:rsidRPr="00763E4E">
        <w:rPr>
          <w:rFonts w:cs="Taher"/>
          <w:vertAlign w:val="superscript"/>
          <w:rtl/>
        </w:rPr>
        <w:t>)</w:t>
      </w:r>
      <w:r w:rsidRPr="00E4028C">
        <w:rPr>
          <w:rFonts w:hint="cs"/>
          <w:rtl/>
        </w:rPr>
        <w:t>، وفي بعض المصادر: «..</w:t>
      </w:r>
      <w:r w:rsidR="002E176B">
        <w:rPr>
          <w:rFonts w:hint="cs"/>
          <w:rtl/>
        </w:rPr>
        <w:t xml:space="preserve"> </w:t>
      </w:r>
      <w:r w:rsidRPr="00E4028C">
        <w:rPr>
          <w:rFonts w:hint="cs"/>
          <w:rtl/>
        </w:rPr>
        <w:t>مع الظالمين إلا ندامة»</w:t>
      </w:r>
      <w:r w:rsidRPr="00763E4E">
        <w:rPr>
          <w:rFonts w:cs="Taher"/>
          <w:vertAlign w:val="superscript"/>
          <w:rtl/>
        </w:rPr>
        <w:t>(</w:t>
      </w:r>
      <w:r w:rsidRPr="00763E4E">
        <w:rPr>
          <w:rFonts w:cs="Taher"/>
          <w:vertAlign w:val="superscript"/>
          <w:rtl/>
        </w:rPr>
        <w:footnoteReference w:id="189"/>
      </w:r>
      <w:r w:rsidRPr="00763E4E">
        <w:rPr>
          <w:rFonts w:cs="Taher"/>
          <w:vertAlign w:val="superscript"/>
          <w:rtl/>
        </w:rPr>
        <w:t>)</w:t>
      </w:r>
      <w:r w:rsidRPr="00E4028C">
        <w:rPr>
          <w:rFonts w:hint="cs"/>
          <w:rtl/>
        </w:rPr>
        <w:t>، وفي بعضها: «إلا ندماً»</w:t>
      </w:r>
      <w:r w:rsidRPr="00763E4E">
        <w:rPr>
          <w:rFonts w:cs="Taher"/>
          <w:vertAlign w:val="superscript"/>
          <w:rtl/>
        </w:rPr>
        <w:t>(</w:t>
      </w:r>
      <w:r w:rsidRPr="00763E4E">
        <w:rPr>
          <w:rFonts w:cs="Taher"/>
          <w:vertAlign w:val="superscript"/>
          <w:rtl/>
        </w:rPr>
        <w:footnoteReference w:id="190"/>
      </w:r>
      <w:r w:rsidRPr="00763E4E">
        <w:rPr>
          <w:rFonts w:cs="Taher"/>
          <w:vertAlign w:val="superscript"/>
          <w:rtl/>
        </w:rPr>
        <w:t>)</w:t>
      </w:r>
      <w:r w:rsidRPr="00E4028C">
        <w:rPr>
          <w:rFonts w:hint="cs"/>
          <w:rtl/>
        </w:rPr>
        <w:t>.</w:t>
      </w:r>
    </w:p>
    <w:p w14:paraId="3455ED4A" w14:textId="77777777" w:rsidR="00DD6401" w:rsidRPr="00E4028C" w:rsidRDefault="00DD6401" w:rsidP="009B7F51">
      <w:pPr>
        <w:pStyle w:val="normal930"/>
        <w:rPr>
          <w:rtl/>
        </w:rPr>
      </w:pPr>
      <w:r w:rsidRPr="002E176B">
        <w:rPr>
          <w:rFonts w:hint="cs"/>
          <w:b/>
          <w:bCs/>
          <w:rtl/>
        </w:rPr>
        <w:t>فالمعيار في هذه ا</w:t>
      </w:r>
      <w:r w:rsidR="002E176B" w:rsidRPr="002E176B">
        <w:rPr>
          <w:rFonts w:hint="cs"/>
          <w:b/>
          <w:bCs/>
          <w:rtl/>
        </w:rPr>
        <w:t>لحركة</w:t>
      </w:r>
      <w:r w:rsidRPr="002E176B">
        <w:rPr>
          <w:rFonts w:hint="cs"/>
          <w:b/>
          <w:bCs/>
          <w:rtl/>
        </w:rPr>
        <w:t xml:space="preserve"> هو عدم القيام بالحقّ بل عمل السلطة بالباطل، وهو معيار كلّي عقلاني ومفهوم،</w:t>
      </w:r>
      <w:r w:rsidRPr="00E4028C">
        <w:rPr>
          <w:rFonts w:hint="cs"/>
          <w:rtl/>
        </w:rPr>
        <w:t xml:space="preserve"> يجعلنا قادرين على الاستفادة من هذه ال</w:t>
      </w:r>
      <w:r w:rsidR="002E176B">
        <w:rPr>
          <w:rFonts w:hint="cs"/>
          <w:rtl/>
        </w:rPr>
        <w:t>حركة</w:t>
      </w:r>
      <w:r w:rsidRPr="00E4028C">
        <w:rPr>
          <w:rFonts w:hint="cs"/>
          <w:rtl/>
        </w:rPr>
        <w:t xml:space="preserve"> لتأسيس مبدأ في شرعي</w:t>
      </w:r>
      <w:r w:rsidR="002E176B">
        <w:rPr>
          <w:rFonts w:hint="cs"/>
          <w:rtl/>
        </w:rPr>
        <w:t>ّ</w:t>
      </w:r>
      <w:r w:rsidRPr="00E4028C">
        <w:rPr>
          <w:rFonts w:hint="cs"/>
          <w:rtl/>
        </w:rPr>
        <w:t>ة الثورات العسكرية المسلّحة أو الدمويّة ضد الأنظمة الفاسدة.</w:t>
      </w:r>
    </w:p>
    <w:p w14:paraId="5F7CF7F6" w14:textId="77777777" w:rsidR="00DD6401" w:rsidRDefault="00FE61E7" w:rsidP="00FE61E7">
      <w:pPr>
        <w:rPr>
          <w:rtl/>
        </w:rPr>
      </w:pPr>
      <w:r>
        <w:rPr>
          <w:rFonts w:hint="cs"/>
          <w:b/>
          <w:bCs/>
          <w:rtl/>
        </w:rPr>
        <w:t xml:space="preserve">يضاف إلى ذلك </w:t>
      </w:r>
      <w:r>
        <w:rPr>
          <w:rFonts w:hint="cs"/>
          <w:rtl/>
        </w:rPr>
        <w:t>أ</w:t>
      </w:r>
      <w:r w:rsidR="00DD6401" w:rsidRPr="00E4028C">
        <w:rPr>
          <w:rFonts w:hint="cs"/>
          <w:rtl/>
        </w:rPr>
        <w:t>نّ بعض النصوص المروي</w:t>
      </w:r>
      <w:r w:rsidR="002E176B">
        <w:rPr>
          <w:rFonts w:hint="cs"/>
          <w:rtl/>
        </w:rPr>
        <w:t>ّ</w:t>
      </w:r>
      <w:r w:rsidR="00DD6401" w:rsidRPr="00E4028C">
        <w:rPr>
          <w:rFonts w:hint="cs"/>
          <w:rtl/>
        </w:rPr>
        <w:t>ة عن الإمام الحسين مثل ما تقدّم، تفيد أن</w:t>
      </w:r>
      <w:r w:rsidR="002E176B">
        <w:rPr>
          <w:rFonts w:hint="cs"/>
          <w:rtl/>
        </w:rPr>
        <w:t>ّ</w:t>
      </w:r>
      <w:r w:rsidR="00DD6401" w:rsidRPr="00E4028C">
        <w:rPr>
          <w:rFonts w:hint="cs"/>
          <w:rtl/>
        </w:rPr>
        <w:t xml:space="preserve">ه كان </w:t>
      </w:r>
      <w:r w:rsidR="00DD6401" w:rsidRPr="00E4028C">
        <w:rPr>
          <w:rFonts w:hint="cs"/>
          <w:rtl/>
        </w:rPr>
        <w:lastRenderedPageBreak/>
        <w:t>يجعل نفسه مصداقاً لقولٍ عام صدر عن رسول الله|، فعندما يستشهد الحسين بقول جدّه في ضرورة مواجهة انحراف الظالم، فهذا معناه أن</w:t>
      </w:r>
      <w:r w:rsidR="002E176B">
        <w:rPr>
          <w:rFonts w:hint="cs"/>
          <w:rtl/>
        </w:rPr>
        <w:t>ّ</w:t>
      </w:r>
      <w:r w:rsidR="00DD6401" w:rsidRPr="00E4028C">
        <w:rPr>
          <w:rFonts w:hint="cs"/>
          <w:rtl/>
        </w:rPr>
        <w:t>ه يعتبر نفسه مصداقاً لعنوان كلّي وتكليف عام، وهو ما يبعّد احتمال الخصوصية</w:t>
      </w:r>
      <w:r w:rsidR="00DD6401" w:rsidRPr="00763E4E">
        <w:rPr>
          <w:rFonts w:cs="Taher"/>
          <w:vertAlign w:val="superscript"/>
          <w:rtl/>
        </w:rPr>
        <w:t>(</w:t>
      </w:r>
      <w:r w:rsidR="00DD6401" w:rsidRPr="00763E4E">
        <w:rPr>
          <w:rFonts w:cs="Taher"/>
          <w:vertAlign w:val="superscript"/>
          <w:rtl/>
        </w:rPr>
        <w:footnoteReference w:id="191"/>
      </w:r>
      <w:r w:rsidR="00DD6401" w:rsidRPr="00763E4E">
        <w:rPr>
          <w:rFonts w:cs="Taher"/>
          <w:vertAlign w:val="superscript"/>
          <w:rtl/>
        </w:rPr>
        <w:t>)</w:t>
      </w:r>
      <w:r w:rsidR="00DD6401" w:rsidRPr="00E4028C">
        <w:rPr>
          <w:rFonts w:hint="cs"/>
          <w:rtl/>
        </w:rPr>
        <w:t>.</w:t>
      </w:r>
    </w:p>
    <w:p w14:paraId="58418E87" w14:textId="77777777" w:rsidR="00FE61E7" w:rsidRPr="00FE61E7" w:rsidRDefault="009125AB" w:rsidP="0096148C">
      <w:pPr>
        <w:pStyle w:val="Heading4"/>
        <w:rPr>
          <w:rtl/>
        </w:rPr>
      </w:pPr>
      <w:bookmarkStart w:id="98" w:name="_Toc143804136"/>
      <w:bookmarkStart w:id="99" w:name="_Toc238123261"/>
      <w:r>
        <w:rPr>
          <w:rFonts w:hint="cs"/>
          <w:rtl/>
        </w:rPr>
        <w:t xml:space="preserve">ب ـ </w:t>
      </w:r>
      <w:r w:rsidR="00FE61E7" w:rsidRPr="00FE61E7">
        <w:rPr>
          <w:rFonts w:hint="cs"/>
          <w:rtl/>
        </w:rPr>
        <w:t>فقدا</w:t>
      </w:r>
      <w:r w:rsidR="00FE61E7">
        <w:rPr>
          <w:rFonts w:hint="cs"/>
          <w:rtl/>
        </w:rPr>
        <w:t>ن</w:t>
      </w:r>
      <w:r w:rsidR="00FE61E7" w:rsidRPr="00FE61E7">
        <w:rPr>
          <w:rFonts w:hint="cs"/>
          <w:rtl/>
        </w:rPr>
        <w:t xml:space="preserve"> التجسير </w:t>
      </w:r>
      <w:r w:rsidR="00FE61E7">
        <w:rPr>
          <w:rFonts w:hint="cs"/>
          <w:rtl/>
        </w:rPr>
        <w:t xml:space="preserve">الصحيح </w:t>
      </w:r>
      <w:r w:rsidR="00FE61E7" w:rsidRPr="00FE61E7">
        <w:rPr>
          <w:rFonts w:hint="cs"/>
          <w:rtl/>
        </w:rPr>
        <w:t>بين الشهادة ولامعقولي</w:t>
      </w:r>
      <w:r w:rsidR="00FE61E7">
        <w:rPr>
          <w:rFonts w:hint="cs"/>
          <w:rtl/>
        </w:rPr>
        <w:t>ّ</w:t>
      </w:r>
      <w:r w:rsidR="00FE61E7" w:rsidRPr="00FE61E7">
        <w:rPr>
          <w:rFonts w:hint="cs"/>
          <w:rtl/>
        </w:rPr>
        <w:t>ة الحركة الحسينيّة</w:t>
      </w:r>
      <w:bookmarkEnd w:id="98"/>
      <w:bookmarkEnd w:id="99"/>
    </w:p>
    <w:p w14:paraId="6605BC0A" w14:textId="77777777" w:rsidR="00DD6401" w:rsidRPr="00E4028C" w:rsidRDefault="00DD6401" w:rsidP="009B7F51">
      <w:pPr>
        <w:rPr>
          <w:rtl/>
        </w:rPr>
      </w:pPr>
      <w:r w:rsidRPr="00E4028C">
        <w:rPr>
          <w:rFonts w:hint="cs"/>
          <w:rtl/>
        </w:rPr>
        <w:t>إن</w:t>
      </w:r>
      <w:r w:rsidR="002E176B">
        <w:rPr>
          <w:rFonts w:hint="cs"/>
          <w:rtl/>
        </w:rPr>
        <w:t>ّ</w:t>
      </w:r>
      <w:r w:rsidRPr="00E4028C">
        <w:rPr>
          <w:rFonts w:hint="cs"/>
          <w:rtl/>
        </w:rPr>
        <w:t xml:space="preserve"> النصوص المستدلّ بها هنا حتى لو ثبتت لا تدل على المطلوب؛ إذ لا ملازمة بين أن يعرف الإنسان أن</w:t>
      </w:r>
      <w:r w:rsidR="002E176B">
        <w:rPr>
          <w:rFonts w:hint="cs"/>
          <w:rtl/>
        </w:rPr>
        <w:t>ّ</w:t>
      </w:r>
      <w:r w:rsidRPr="00E4028C">
        <w:rPr>
          <w:rFonts w:hint="cs"/>
          <w:rtl/>
        </w:rPr>
        <w:t>ه سوف يستشهد في ثورته وبين أن تكون هذه الثورة غير عقلانية وخاصّة به، فقد يقدّر مصلحةً للأمة في شهادته، فلا ملازمة بين الأمرين حتى عند الثوار الماديين فضلاً عن الديني</w:t>
      </w:r>
      <w:r w:rsidR="002E176B">
        <w:rPr>
          <w:rFonts w:hint="cs"/>
          <w:rtl/>
        </w:rPr>
        <w:t>ّ</w:t>
      </w:r>
      <w:r w:rsidRPr="00E4028C">
        <w:rPr>
          <w:rFonts w:hint="cs"/>
          <w:rtl/>
        </w:rPr>
        <w:t>ين، فعلم الإنسان بشهادته لا يعني عبثية حركته دائماً، بل يمكن تقديم تفاسير عقلانية لذلك</w:t>
      </w:r>
      <w:r w:rsidRPr="00763E4E">
        <w:rPr>
          <w:rFonts w:cs="Taher"/>
          <w:vertAlign w:val="superscript"/>
          <w:rtl/>
        </w:rPr>
        <w:t>(</w:t>
      </w:r>
      <w:r w:rsidRPr="00763E4E">
        <w:rPr>
          <w:rFonts w:cs="Taher"/>
          <w:vertAlign w:val="superscript"/>
          <w:rtl/>
        </w:rPr>
        <w:footnoteReference w:id="192"/>
      </w:r>
      <w:r w:rsidRPr="00763E4E">
        <w:rPr>
          <w:rFonts w:cs="Taher"/>
          <w:vertAlign w:val="superscript"/>
          <w:rtl/>
        </w:rPr>
        <w:t>)</w:t>
      </w:r>
      <w:r w:rsidRPr="00E4028C">
        <w:rPr>
          <w:rFonts w:hint="cs"/>
          <w:rtl/>
        </w:rPr>
        <w:t>، وسوف نرى في النظرية ال</w:t>
      </w:r>
      <w:r w:rsidR="002E176B">
        <w:rPr>
          <w:rFonts w:hint="cs"/>
          <w:rtl/>
        </w:rPr>
        <w:t>رابعة</w:t>
      </w:r>
      <w:r w:rsidRPr="00E4028C">
        <w:rPr>
          <w:rFonts w:hint="cs"/>
          <w:rtl/>
        </w:rPr>
        <w:t xml:space="preserve"> القادمة تفسيراً يجمع بشكل منطقي وعقلاني بين هذه الأمور كلّها.</w:t>
      </w:r>
    </w:p>
    <w:p w14:paraId="050BB429" w14:textId="77777777" w:rsidR="00DD6401" w:rsidRPr="00E4028C" w:rsidRDefault="00FE61E7" w:rsidP="009B7F51">
      <w:pPr>
        <w:pStyle w:val="normal870"/>
        <w:rPr>
          <w:rtl/>
        </w:rPr>
      </w:pPr>
      <w:r>
        <w:rPr>
          <w:rFonts w:hint="cs"/>
          <w:b/>
          <w:bCs/>
          <w:rtl/>
        </w:rPr>
        <w:t xml:space="preserve">يضاف إلى ذلك </w:t>
      </w:r>
      <w:r>
        <w:rPr>
          <w:rFonts w:hint="cs"/>
          <w:rtl/>
        </w:rPr>
        <w:t>أ</w:t>
      </w:r>
      <w:r w:rsidR="00DD6401" w:rsidRPr="00E4028C">
        <w:rPr>
          <w:rFonts w:hint="cs"/>
          <w:rtl/>
        </w:rPr>
        <w:t>نّ غاية ما تدلّ عليه جملة النصوص المتقدّمة أو أغلبها، أنّ الإرادة الإلهية قد تعلّقت بشهادة الحسين، وهذا لا يعني أنّ هذه الشهادة غدت خاصّة به؛ بل هذا المدلول أعمّ من الاختصاص وعدمه، وإلا فنحن نعلم أنّ الإرادة الإلهية والمشيئة العليا الربانية قد اقتضت وقوع صلح الإمام الحسن، ومن المؤكّد أنّ الإمام الحسن بن علي قد علم بإلهامٍ من الله ـ بحكم إمامته وعصمته وفق المعتقد ال</w:t>
      </w:r>
      <w:r w:rsidR="002E176B">
        <w:rPr>
          <w:rFonts w:hint="cs"/>
          <w:rtl/>
        </w:rPr>
        <w:t>إمامي</w:t>
      </w:r>
      <w:r w:rsidR="00DD6401" w:rsidRPr="00E4028C">
        <w:rPr>
          <w:rFonts w:hint="cs"/>
          <w:rtl/>
        </w:rPr>
        <w:t xml:space="preserve"> ـ أنّ التكليف الشرعي يستدعي منه أن يوقع الصلح مع معاوية، لكنّ هذا لا يعني أنّ هذا الصلح ـ وأيّ صلحٍ مع البغاة ـ خاص بالمعصوم، ومجرّد أنّ النص بيّن لنا تعلّق المشيئة بشهادة الحسين وسبي نسائه لا يعني الدلالة الحصرية على أنّ أمراً من هذا النوع لا يمكن أن يتعلّق بغيره، وهذه نقطة بالغة الأهمية، ولا يوجد عندنا أصل اسمه أصالة الاختصاص بفعل الأئمة، وإلا فلو شككنا في أنّ فعلهم كان خاصّاً بهم أو تطبيقاً لحكم إسلامي عام للزم عند عدم إحراز الخصوصية أن لا نستدلّ بفعلهم، وهذا ما لن يقف عند الإمام </w:t>
      </w:r>
      <w:r w:rsidR="002E176B">
        <w:rPr>
          <w:rFonts w:hint="cs"/>
          <w:rtl/>
        </w:rPr>
        <w:t>الحسين،</w:t>
      </w:r>
      <w:r w:rsidR="00DD6401" w:rsidRPr="00E4028C">
        <w:rPr>
          <w:rFonts w:hint="cs"/>
          <w:rtl/>
        </w:rPr>
        <w:t xml:space="preserve"> بل سيطال مجمل أفعال المعصومين إلا ما حصل يقين من الخارج بأنّ هذا الفعل ليس فيه أي </w:t>
      </w:r>
      <w:r w:rsidR="00DD6401" w:rsidRPr="00E4028C">
        <w:rPr>
          <w:rFonts w:hint="cs"/>
          <w:rtl/>
        </w:rPr>
        <w:lastRenderedPageBreak/>
        <w:t>خصوصيّة، ومعه لن يصبح فعل المعصوم حجّةً إلا في موارد قليلة، ولا نظنّ أنّ هذا مما يلتزم به صاحب هذه النظرية نفسه.</w:t>
      </w:r>
    </w:p>
    <w:p w14:paraId="2D0B4B48" w14:textId="77777777" w:rsidR="00DD6401" w:rsidRDefault="00DD6401" w:rsidP="009B7F51">
      <w:pPr>
        <w:pStyle w:val="normal930"/>
        <w:rPr>
          <w:rtl/>
        </w:rPr>
      </w:pPr>
      <w:r w:rsidRPr="00E4028C">
        <w:rPr>
          <w:rFonts w:hint="cs"/>
          <w:rtl/>
        </w:rPr>
        <w:t>واستتباعاً لما تقدّم، فإنّ تعلّق المشيئة الإلهية قد يكون لأجل النهوض بالأمة وإحداث تغيير فيها عبر الشهادة نفسها؛ وهذا معناه ـ إذا أردنا استخدام التعبير الأصولي ـ محكومية هذه الأدلّة التي تدعم هذه النظرية لأيّ دليل آخر أو فرضية معقولة يمكن أن يقيمها الطرف الآخر؛ لأنّ هذه الأدلّة هنا تفيد تعلّق المشيئة بالشهادة، فإذا استطعنا أن نتعقل وجهاً منطقيّاً لإرادة الشهادة نفسها بحيث تكون الشهادة ذات دور في إحياء الأمة، فإنّ هذه الأدلّة لن تعارض تلك التفسيرات المعقولة، كما هو واضح؛ لأنّها سوف تفسر تعلّق المشيئة ولا تنفيه إطلاقاً.</w:t>
      </w:r>
    </w:p>
    <w:p w14:paraId="2553E073" w14:textId="77777777" w:rsidR="00FE61E7" w:rsidRPr="00FE61E7" w:rsidRDefault="009125AB" w:rsidP="0096148C">
      <w:pPr>
        <w:pStyle w:val="Heading4"/>
        <w:rPr>
          <w:rtl/>
        </w:rPr>
      </w:pPr>
      <w:bookmarkStart w:id="100" w:name="_Toc143804137"/>
      <w:bookmarkStart w:id="101" w:name="_Toc238123262"/>
      <w:r>
        <w:rPr>
          <w:rFonts w:hint="cs"/>
          <w:rtl/>
        </w:rPr>
        <w:t xml:space="preserve">ج ـ </w:t>
      </w:r>
      <w:r w:rsidR="00FE61E7" w:rsidRPr="00FE61E7">
        <w:rPr>
          <w:rFonts w:hint="cs"/>
          <w:rtl/>
        </w:rPr>
        <w:t>غياب الت</w:t>
      </w:r>
      <w:r w:rsidR="00FE61E7">
        <w:rPr>
          <w:rFonts w:hint="cs"/>
          <w:rtl/>
        </w:rPr>
        <w:t xml:space="preserve">برير </w:t>
      </w:r>
      <w:r w:rsidR="00FE61E7" w:rsidRPr="00FE61E7">
        <w:rPr>
          <w:rFonts w:hint="cs"/>
          <w:rtl/>
        </w:rPr>
        <w:t xml:space="preserve">الأصولي </w:t>
      </w:r>
      <w:r w:rsidR="00FE61E7">
        <w:rPr>
          <w:rFonts w:hint="cs"/>
          <w:rtl/>
        </w:rPr>
        <w:t xml:space="preserve">(أصول الفقه) </w:t>
      </w:r>
      <w:r w:rsidR="00FE61E7" w:rsidRPr="00FE61E7">
        <w:rPr>
          <w:rFonts w:hint="cs"/>
          <w:rtl/>
        </w:rPr>
        <w:t>لنظريّ</w:t>
      </w:r>
      <w:r w:rsidR="00FE61E7">
        <w:rPr>
          <w:rFonts w:hint="cs"/>
          <w:rtl/>
        </w:rPr>
        <w:t>ة</w:t>
      </w:r>
      <w:r w:rsidR="00FE61E7" w:rsidRPr="00FE61E7">
        <w:rPr>
          <w:rFonts w:hint="cs"/>
          <w:rtl/>
        </w:rPr>
        <w:t xml:space="preserve"> الاختصاص المدّعاة</w:t>
      </w:r>
      <w:bookmarkEnd w:id="100"/>
      <w:bookmarkEnd w:id="101"/>
    </w:p>
    <w:p w14:paraId="1DD666B5" w14:textId="77777777" w:rsidR="00DD6401" w:rsidRPr="00E4028C" w:rsidRDefault="00FE61E7" w:rsidP="009B7F51">
      <w:pPr>
        <w:pStyle w:val="normal930"/>
        <w:rPr>
          <w:rtl/>
        </w:rPr>
      </w:pPr>
      <w:r>
        <w:rPr>
          <w:rFonts w:hint="cs"/>
          <w:rtl/>
        </w:rPr>
        <w:t>لق</w:t>
      </w:r>
      <w:r w:rsidR="00DD6401" w:rsidRPr="00E4028C">
        <w:rPr>
          <w:rFonts w:hint="cs"/>
          <w:rtl/>
        </w:rPr>
        <w:t>د بحثنا في حجي</w:t>
      </w:r>
      <w:r w:rsidR="00FD303C">
        <w:rPr>
          <w:rFonts w:hint="cs"/>
          <w:rtl/>
        </w:rPr>
        <w:t>ّ</w:t>
      </w:r>
      <w:r w:rsidR="00DD6401" w:rsidRPr="00E4028C">
        <w:rPr>
          <w:rFonts w:hint="cs"/>
          <w:rtl/>
        </w:rPr>
        <w:t>ة الفعل النبوي</w:t>
      </w:r>
      <w:r w:rsidR="00DD6401" w:rsidRPr="00763E4E">
        <w:rPr>
          <w:rFonts w:cs="Taher"/>
          <w:vertAlign w:val="superscript"/>
          <w:rtl/>
        </w:rPr>
        <w:t>(</w:t>
      </w:r>
      <w:r w:rsidR="00DD6401" w:rsidRPr="00763E4E">
        <w:rPr>
          <w:rFonts w:cs="Taher"/>
          <w:vertAlign w:val="superscript"/>
          <w:rtl/>
        </w:rPr>
        <w:footnoteReference w:id="193"/>
      </w:r>
      <w:r w:rsidR="00DD6401" w:rsidRPr="00763E4E">
        <w:rPr>
          <w:rFonts w:cs="Taher"/>
          <w:vertAlign w:val="superscript"/>
          <w:rtl/>
        </w:rPr>
        <w:t>)</w:t>
      </w:r>
      <w:r w:rsidR="00DD6401" w:rsidRPr="00E4028C">
        <w:rPr>
          <w:rFonts w:hint="cs"/>
          <w:rtl/>
        </w:rPr>
        <w:t xml:space="preserve"> </w:t>
      </w:r>
      <w:r w:rsidR="002E176B">
        <w:rPr>
          <w:rFonts w:hint="cs"/>
          <w:rtl/>
        </w:rPr>
        <w:t>و</w:t>
      </w:r>
      <w:r w:rsidR="00DD6401" w:rsidRPr="00E4028C">
        <w:rPr>
          <w:rFonts w:hint="cs"/>
          <w:rtl/>
        </w:rPr>
        <w:t>توصّلنا إلى أنّ المرجع عند الشك في اختصاص النبي بفعل وعدمه أن نحمله على عدم الاختصاص إلا في بعض الحالات القليلة التي فصّلنا الكلام فيها هناك؛ فإذا كان الشكّ في الاختصاص موجباً لعدم الاختصاص ـ إن صحّ التعبير ـ في الأفعال النبوية، فهو كذلك ـ بطريق أولى ـ في أفعال أهل البيت؛ لندرة الفعل الخصوصي عندهم نسبةً لما عند رسول الله، كما يظهر بمراجعة الأبحاث الفقهية والأصولية عند الشيعة والسنّة في هذا الموضوع.</w:t>
      </w:r>
    </w:p>
    <w:p w14:paraId="452EF9CE" w14:textId="77777777" w:rsidR="00DD6401" w:rsidRPr="00E4028C" w:rsidRDefault="00DD6401" w:rsidP="009B7F51">
      <w:pPr>
        <w:pStyle w:val="normal870"/>
        <w:rPr>
          <w:rtl/>
        </w:rPr>
      </w:pPr>
      <w:r w:rsidRPr="00E4028C">
        <w:rPr>
          <w:rFonts w:hint="cs"/>
          <w:rtl/>
        </w:rPr>
        <w:t>والجدير ذكره أنّ مسألة الأفعال المختصّة بالمعصوم والتي لا يمكن الاستناد إليها في الاجتهاد الفقهي مسألة طرحت في حقّ النبي</w:t>
      </w:r>
      <w:r w:rsidR="002E176B">
        <w:rPr>
          <w:rFonts w:hint="cs"/>
          <w:rtl/>
        </w:rPr>
        <w:t>ّ‘</w:t>
      </w:r>
      <w:r w:rsidRPr="00E4028C">
        <w:rPr>
          <w:rFonts w:hint="cs"/>
          <w:rtl/>
        </w:rPr>
        <w:t>، وقد لا تجري في حقّ أهل البيت؛ لعدم وجود خصائص معتدّ بها لهم، كما يصرّح بذلك بعض علماء الإمامية</w:t>
      </w:r>
      <w:r w:rsidRPr="00763E4E">
        <w:rPr>
          <w:rFonts w:cs="Taher"/>
          <w:vertAlign w:val="superscript"/>
          <w:rtl/>
        </w:rPr>
        <w:t>(</w:t>
      </w:r>
      <w:r w:rsidRPr="00763E4E">
        <w:rPr>
          <w:rFonts w:cs="Taher"/>
          <w:vertAlign w:val="superscript"/>
          <w:rtl/>
        </w:rPr>
        <w:footnoteReference w:id="194"/>
      </w:r>
      <w:r w:rsidRPr="00763E4E">
        <w:rPr>
          <w:rFonts w:cs="Taher"/>
          <w:vertAlign w:val="superscript"/>
          <w:rtl/>
        </w:rPr>
        <w:t>)</w:t>
      </w:r>
      <w:r w:rsidRPr="00E4028C">
        <w:rPr>
          <w:rtl/>
        </w:rPr>
        <w:t>،</w:t>
      </w:r>
      <w:r w:rsidRPr="00E4028C">
        <w:rPr>
          <w:rFonts w:hint="cs"/>
          <w:rtl/>
        </w:rPr>
        <w:t xml:space="preserve"> إلا ما قيل من بعض الأمور، </w:t>
      </w:r>
      <w:r w:rsidRPr="00E4028C">
        <w:rPr>
          <w:rFonts w:hint="cs"/>
          <w:rtl/>
        </w:rPr>
        <w:lastRenderedPageBreak/>
        <w:t>مثل جواز الجنابة لعلي</w:t>
      </w:r>
      <w:r w:rsidR="002E176B">
        <w:rPr>
          <w:rFonts w:hint="cs"/>
          <w:rtl/>
        </w:rPr>
        <w:t>×</w:t>
      </w:r>
      <w:r w:rsidRPr="00E4028C">
        <w:rPr>
          <w:rFonts w:hint="cs"/>
          <w:rtl/>
        </w:rPr>
        <w:t xml:space="preserve"> و.. في المسجد وما شاكل ذلك</w:t>
      </w:r>
      <w:r w:rsidRPr="00763E4E">
        <w:rPr>
          <w:rFonts w:cs="Taher"/>
          <w:vertAlign w:val="superscript"/>
          <w:rtl/>
        </w:rPr>
        <w:t>(</w:t>
      </w:r>
      <w:r w:rsidRPr="00763E4E">
        <w:rPr>
          <w:rFonts w:cs="Taher"/>
          <w:vertAlign w:val="superscript"/>
          <w:rtl/>
        </w:rPr>
        <w:footnoteReference w:id="195"/>
      </w:r>
      <w:r w:rsidRPr="00763E4E">
        <w:rPr>
          <w:rFonts w:cs="Taher"/>
          <w:vertAlign w:val="superscript"/>
          <w:rtl/>
        </w:rPr>
        <w:t>)</w:t>
      </w:r>
      <w:r w:rsidRPr="00E4028C">
        <w:rPr>
          <w:rFonts w:hint="cs"/>
          <w:rtl/>
        </w:rPr>
        <w:t>، إلا أنّ مراجعة خصائص النبي</w:t>
      </w:r>
      <w:r w:rsidR="002E176B">
        <w:rPr>
          <w:rFonts w:hint="cs"/>
          <w:rtl/>
        </w:rPr>
        <w:t xml:space="preserve">ّ‘ </w:t>
      </w:r>
      <w:r w:rsidRPr="00E4028C">
        <w:rPr>
          <w:rFonts w:hint="cs"/>
          <w:rtl/>
        </w:rPr>
        <w:t>في باب النكاح من مصنّفات الفقه الإمامي تؤكّد لنا أنّ السائد بين الإمامية عدم وجود خصائص شرعية لهم، إلا خصائص في مقام الإمامة والولاية، وهذا بحثٌ آخر، وأمّا بعض الكتب المسمّاة بخصائص الأئمة، مثل كتاب خصائص الأئمة للشريف الرضي، فهي تحتوي على درر كلماتهم وروائع مقالاتهم</w:t>
      </w:r>
      <w:r w:rsidRPr="00763E4E">
        <w:rPr>
          <w:rFonts w:cs="Taher"/>
          <w:vertAlign w:val="superscript"/>
          <w:rtl/>
        </w:rPr>
        <w:t>(</w:t>
      </w:r>
      <w:r w:rsidRPr="00763E4E">
        <w:rPr>
          <w:rFonts w:cs="Taher"/>
          <w:vertAlign w:val="superscript"/>
          <w:rtl/>
        </w:rPr>
        <w:footnoteReference w:id="196"/>
      </w:r>
      <w:r w:rsidRPr="00763E4E">
        <w:rPr>
          <w:rFonts w:cs="Taher"/>
          <w:vertAlign w:val="superscript"/>
          <w:rtl/>
        </w:rPr>
        <w:t>)</w:t>
      </w:r>
      <w:r w:rsidRPr="00E4028C">
        <w:rPr>
          <w:rFonts w:hint="cs"/>
          <w:rtl/>
        </w:rPr>
        <w:t xml:space="preserve">، لا أنّها تذكر الخصائص بالمعنى الفقهي والأصولي الذي نقصده هنا، نعم الخصائص التكوينية كالعصمة والعلم والكرامات و.. كلّها خارجة عن إطار بحثنا؛ لدخولها في مجال الخصائص الخارجية </w:t>
      </w:r>
      <w:r w:rsidR="002E176B">
        <w:rPr>
          <w:rFonts w:hint="cs"/>
          <w:rtl/>
        </w:rPr>
        <w:t>دون</w:t>
      </w:r>
      <w:r w:rsidRPr="00E4028C">
        <w:rPr>
          <w:rFonts w:hint="cs"/>
          <w:rtl/>
        </w:rPr>
        <w:t xml:space="preserve"> التشريعي</w:t>
      </w:r>
      <w:r w:rsidR="002E176B">
        <w:rPr>
          <w:rFonts w:hint="cs"/>
          <w:rtl/>
        </w:rPr>
        <w:t>ّ</w:t>
      </w:r>
      <w:r w:rsidRPr="00E4028C">
        <w:rPr>
          <w:rFonts w:hint="cs"/>
          <w:rtl/>
        </w:rPr>
        <w:t>ة.</w:t>
      </w:r>
    </w:p>
    <w:p w14:paraId="36323BB0" w14:textId="38641EFC" w:rsidR="00DD6401" w:rsidRPr="00E4028C" w:rsidRDefault="00DD6401" w:rsidP="009B7F51">
      <w:pPr>
        <w:rPr>
          <w:rtl/>
        </w:rPr>
      </w:pPr>
      <w:r w:rsidRPr="00CA3179">
        <w:rPr>
          <w:rFonts w:hint="cs"/>
          <w:b/>
          <w:bCs/>
          <w:rtl/>
        </w:rPr>
        <w:t>وقد يستند للتعميم هنا ورفع الخصوصي</w:t>
      </w:r>
      <w:r w:rsidR="002E176B" w:rsidRPr="00CA3179">
        <w:rPr>
          <w:rFonts w:hint="cs"/>
          <w:b/>
          <w:bCs/>
          <w:rtl/>
        </w:rPr>
        <w:t>ّ</w:t>
      </w:r>
      <w:r w:rsidRPr="00CA3179">
        <w:rPr>
          <w:rFonts w:hint="cs"/>
          <w:b/>
          <w:bCs/>
          <w:rtl/>
        </w:rPr>
        <w:t>ة بما دلّ من النصوص على أنّ الحسين قدوة ومصباح يقتدى به ويستضاء بنوره؛</w:t>
      </w:r>
      <w:r w:rsidRPr="00E4028C">
        <w:rPr>
          <w:rFonts w:hint="cs"/>
          <w:rtl/>
        </w:rPr>
        <w:t xml:space="preserve"> كقول رسول الله</w:t>
      </w:r>
      <w:r w:rsidR="002E176B">
        <w:rPr>
          <w:rFonts w:hint="cs"/>
          <w:rtl/>
        </w:rPr>
        <w:t>‘</w:t>
      </w:r>
      <w:r w:rsidRPr="00E4028C">
        <w:rPr>
          <w:rFonts w:hint="cs"/>
          <w:rtl/>
        </w:rPr>
        <w:t xml:space="preserve">: </w:t>
      </w:r>
      <w:r w:rsidR="00D537A9" w:rsidRPr="00822CE9">
        <w:rPr>
          <w:rFonts w:hint="cs"/>
          <w:rtl/>
        </w:rPr>
        <w:t>«</w:t>
      </w:r>
      <w:r w:rsidRPr="00E4028C">
        <w:rPr>
          <w:rFonts w:hint="cs"/>
          <w:rtl/>
        </w:rPr>
        <w:t>الحسين مصباح الهدى وسفينة النجاة</w:t>
      </w:r>
      <w:r w:rsidR="00D537A9" w:rsidRPr="00822CE9">
        <w:rPr>
          <w:rFonts w:hint="cs"/>
          <w:rtl/>
        </w:rPr>
        <w:t>»</w:t>
      </w:r>
      <w:r w:rsidR="00D537A9" w:rsidRPr="00763E4E">
        <w:rPr>
          <w:rFonts w:cs="Taher"/>
          <w:vertAlign w:val="superscript"/>
          <w:rtl/>
        </w:rPr>
        <w:t xml:space="preserve"> </w:t>
      </w:r>
      <w:r w:rsidRPr="00763E4E">
        <w:rPr>
          <w:rFonts w:cs="Taher"/>
          <w:vertAlign w:val="superscript"/>
          <w:rtl/>
        </w:rPr>
        <w:t>(</w:t>
      </w:r>
      <w:r w:rsidRPr="00763E4E">
        <w:rPr>
          <w:rFonts w:cs="Taher"/>
          <w:vertAlign w:val="superscript"/>
          <w:rtl/>
        </w:rPr>
        <w:footnoteReference w:id="197"/>
      </w:r>
      <w:r w:rsidRPr="00763E4E">
        <w:rPr>
          <w:rFonts w:cs="Taher"/>
          <w:vertAlign w:val="superscript"/>
          <w:rtl/>
        </w:rPr>
        <w:t>)</w:t>
      </w:r>
      <w:r w:rsidRPr="00E4028C">
        <w:rPr>
          <w:rFonts w:hint="cs"/>
          <w:rtl/>
        </w:rPr>
        <w:t>، فإنّ هذه النصوص ـ كما يقول السيد محمد باقر الحكيم ـ تريد أن تعرّف الحسين سلوكاً قابلاً للاقتداء، وهي من ثم ترفع الخصوصية المفترضة في أعماله</w:t>
      </w:r>
      <w:r w:rsidRPr="00763E4E">
        <w:rPr>
          <w:rFonts w:cs="Taher"/>
          <w:vertAlign w:val="superscript"/>
          <w:rtl/>
        </w:rPr>
        <w:t>(</w:t>
      </w:r>
      <w:r w:rsidRPr="00763E4E">
        <w:rPr>
          <w:rFonts w:cs="Taher"/>
          <w:vertAlign w:val="superscript"/>
          <w:rtl/>
        </w:rPr>
        <w:footnoteReference w:id="198"/>
      </w:r>
      <w:r w:rsidRPr="00763E4E">
        <w:rPr>
          <w:rFonts w:cs="Taher"/>
          <w:vertAlign w:val="superscript"/>
          <w:rtl/>
        </w:rPr>
        <w:t>)</w:t>
      </w:r>
      <w:r w:rsidRPr="00E4028C">
        <w:rPr>
          <w:rFonts w:hint="cs"/>
          <w:rtl/>
        </w:rPr>
        <w:t>.</w:t>
      </w:r>
    </w:p>
    <w:p w14:paraId="40289F56" w14:textId="77777777" w:rsidR="00DD6401" w:rsidRDefault="00DD6401" w:rsidP="009B7F51">
      <w:pPr>
        <w:pStyle w:val="normal870"/>
        <w:rPr>
          <w:rtl/>
        </w:rPr>
      </w:pPr>
      <w:r w:rsidRPr="002E176B">
        <w:rPr>
          <w:rFonts w:hint="cs"/>
          <w:b/>
          <w:bCs/>
          <w:rtl/>
        </w:rPr>
        <w:t>لكنّ الصحيح أنّه إذا قامت الشواهد على الخصوصية في هذا الفعل أو ذاك لم يعد يمكن لمثل هذه النصوص أن تقف في وجهها،</w:t>
      </w:r>
      <w:r w:rsidRPr="00E4028C">
        <w:rPr>
          <w:rFonts w:hint="cs"/>
          <w:rtl/>
        </w:rPr>
        <w:t xml:space="preserve"> فرسول الله| ورد القرآن فيه بأنّه أسوة (الأحزاب: 21)، لكن مع ذلك كانت له خصائص تشريعية لا تشمل غيره، كما اتفق عليه المسلمون تقريباً، وأمّا إذا لم تقم الشواهد على الخصوصية هنا أو هناك، رجعنا إلى دليل حجية فعل المعصوم، وكان </w:t>
      </w:r>
      <w:r w:rsidRPr="00E4028C">
        <w:rPr>
          <w:rFonts w:hint="cs"/>
          <w:rtl/>
        </w:rPr>
        <w:lastRenderedPageBreak/>
        <w:t>كافياً في المقام، وقد كنّا أشكلنا على الاستناد لمثل هذه الروايات ـ بشكل عام ـ في مسألة حجية فعل المعصوم، وقلنا: إنّها مفيدة لكن بقدر، فليراجع.</w:t>
      </w:r>
    </w:p>
    <w:p w14:paraId="71757C42" w14:textId="77777777" w:rsidR="00FE61E7" w:rsidRPr="00FE61E7" w:rsidRDefault="009125AB" w:rsidP="0096148C">
      <w:pPr>
        <w:pStyle w:val="Heading4"/>
        <w:rPr>
          <w:rtl/>
        </w:rPr>
      </w:pPr>
      <w:bookmarkStart w:id="102" w:name="_Toc143804138"/>
      <w:bookmarkStart w:id="103" w:name="_Toc238123263"/>
      <w:r>
        <w:rPr>
          <w:rFonts w:hint="cs"/>
          <w:rtl/>
        </w:rPr>
        <w:t xml:space="preserve">د ـ </w:t>
      </w:r>
      <w:r w:rsidR="00FE61E7" w:rsidRPr="00FE61E7">
        <w:rPr>
          <w:rFonts w:hint="cs"/>
          <w:rtl/>
        </w:rPr>
        <w:t>عجز نصوص الاس</w:t>
      </w:r>
      <w:r w:rsidR="00FE61E7">
        <w:rPr>
          <w:rFonts w:hint="cs"/>
          <w:rtl/>
        </w:rPr>
        <w:t>ت</w:t>
      </w:r>
      <w:r w:rsidR="00FE61E7" w:rsidRPr="00FE61E7">
        <w:rPr>
          <w:rFonts w:hint="cs"/>
          <w:rtl/>
        </w:rPr>
        <w:t>خارة الحسيني</w:t>
      </w:r>
      <w:r w:rsidR="00FE61E7">
        <w:rPr>
          <w:rFonts w:hint="cs"/>
          <w:rtl/>
        </w:rPr>
        <w:t>ّ</w:t>
      </w:r>
      <w:r w:rsidR="00FE61E7" w:rsidRPr="00FE61E7">
        <w:rPr>
          <w:rFonts w:hint="cs"/>
          <w:rtl/>
        </w:rPr>
        <w:t>ة عن تأكيد نظري</w:t>
      </w:r>
      <w:r w:rsidR="00FE61E7">
        <w:rPr>
          <w:rFonts w:hint="cs"/>
          <w:rtl/>
        </w:rPr>
        <w:t>ّ</w:t>
      </w:r>
      <w:r w:rsidR="00FE61E7" w:rsidRPr="00FE61E7">
        <w:rPr>
          <w:rFonts w:hint="cs"/>
          <w:rtl/>
        </w:rPr>
        <w:t>ة الاختصاص</w:t>
      </w:r>
      <w:bookmarkEnd w:id="102"/>
      <w:bookmarkEnd w:id="103"/>
    </w:p>
    <w:p w14:paraId="432CDDE6" w14:textId="10D6726D" w:rsidR="00DD6401" w:rsidRPr="00E4028C" w:rsidRDefault="00DD6401" w:rsidP="002E176B">
      <w:pPr>
        <w:rPr>
          <w:rtl/>
        </w:rPr>
      </w:pPr>
      <w:r w:rsidRPr="00E4028C">
        <w:rPr>
          <w:rFonts w:hint="cs"/>
          <w:rtl/>
        </w:rPr>
        <w:t>إنّ الروايات التي تشير إلى استخارة الإمام الحسين لا تنفع هنا؛ لأن</w:t>
      </w:r>
      <w:r w:rsidR="002E176B">
        <w:rPr>
          <w:rFonts w:hint="cs"/>
          <w:rtl/>
        </w:rPr>
        <w:t>ّ</w:t>
      </w:r>
      <w:r w:rsidRPr="00E4028C">
        <w:rPr>
          <w:rFonts w:hint="cs"/>
          <w:rtl/>
        </w:rPr>
        <w:t xml:space="preserve"> الاستخارة ه</w:t>
      </w:r>
      <w:r w:rsidR="002E176B">
        <w:rPr>
          <w:rFonts w:hint="cs"/>
          <w:rtl/>
        </w:rPr>
        <w:t>و</w:t>
      </w:r>
      <w:r w:rsidRPr="00E4028C">
        <w:rPr>
          <w:rFonts w:hint="cs"/>
          <w:rtl/>
        </w:rPr>
        <w:t xml:space="preserve"> طلب الخير، فكأن</w:t>
      </w:r>
      <w:r w:rsidR="002E176B">
        <w:rPr>
          <w:rFonts w:hint="cs"/>
          <w:rtl/>
        </w:rPr>
        <w:t>ّ</w:t>
      </w:r>
      <w:r w:rsidRPr="00E4028C">
        <w:rPr>
          <w:rFonts w:hint="cs"/>
          <w:rtl/>
        </w:rPr>
        <w:t>ه قال: سوف أسأل الله أن يكتب لي ما فيه الخير، وهذا ليس إغراقاً في الغيبية التي تنفي التفسير المعقول لهذه الحركة، فضلاً عن اختصاصها بالمعصوم</w:t>
      </w:r>
      <w:r w:rsidR="002E176B">
        <w:rPr>
          <w:rFonts w:hint="cs"/>
          <w:rtl/>
        </w:rPr>
        <w:t>.</w:t>
      </w:r>
      <w:r w:rsidRPr="00E4028C">
        <w:rPr>
          <w:rFonts w:hint="cs"/>
          <w:rtl/>
        </w:rPr>
        <w:t xml:space="preserve"> ويعز</w:t>
      </w:r>
      <w:r w:rsidR="002E176B">
        <w:rPr>
          <w:rFonts w:hint="cs"/>
          <w:rtl/>
        </w:rPr>
        <w:t>ّ</w:t>
      </w:r>
      <w:r w:rsidRPr="00E4028C">
        <w:rPr>
          <w:rFonts w:hint="cs"/>
          <w:rtl/>
        </w:rPr>
        <w:t xml:space="preserve">ز هذا الكلام أنّه× ذكر في بعض هذه الروايات ـ كما في خطابه لابن عباس ـ: </w:t>
      </w:r>
      <w:r w:rsidR="00D537A9" w:rsidRPr="00822CE9">
        <w:rPr>
          <w:rFonts w:hint="cs"/>
          <w:rtl/>
        </w:rPr>
        <w:t>«</w:t>
      </w:r>
      <w:r w:rsidRPr="00E4028C">
        <w:rPr>
          <w:rFonts w:hint="cs"/>
          <w:rtl/>
        </w:rPr>
        <w:t>أستخير الله، وأنظر ماذا يكون</w:t>
      </w:r>
      <w:r w:rsidR="00D537A9" w:rsidRPr="00822CE9">
        <w:rPr>
          <w:rFonts w:hint="cs"/>
          <w:rtl/>
        </w:rPr>
        <w:t>»</w:t>
      </w:r>
      <w:r w:rsidRPr="00E4028C">
        <w:rPr>
          <w:rFonts w:hint="cs"/>
          <w:rtl/>
        </w:rPr>
        <w:t>، فهذا معناه أنّه كان يريد التأم</w:t>
      </w:r>
      <w:r w:rsidR="002E176B">
        <w:rPr>
          <w:rFonts w:hint="cs"/>
          <w:rtl/>
        </w:rPr>
        <w:t>ّ</w:t>
      </w:r>
      <w:r w:rsidRPr="00E4028C">
        <w:rPr>
          <w:rFonts w:hint="cs"/>
          <w:rtl/>
        </w:rPr>
        <w:t>ل في هذا الموضوع، والتأمّل يقرّب الصورة من المشهد العقلاني، كما أنّ في بعض الروايات أنّه في النص نفسه الذي تحدّث فيه عن الاستخارة بيّن مبررات ذهابه إلى الكوفة، وأنّ إرسال الكتب إليه والرسائل تدعوه للتوجّه ناحيتها هو الدافع والمرجّح لذلك، كما جاء في مثل خبر الفصول المهمة لابن الصباغ المالكي</w:t>
      </w:r>
      <w:r w:rsidRPr="00763E4E">
        <w:rPr>
          <w:rFonts w:cs="Taher"/>
          <w:vertAlign w:val="superscript"/>
          <w:rtl/>
        </w:rPr>
        <w:t>(</w:t>
      </w:r>
      <w:r w:rsidRPr="00763E4E">
        <w:rPr>
          <w:rFonts w:cs="Taher"/>
          <w:vertAlign w:val="superscript"/>
          <w:rtl/>
        </w:rPr>
        <w:footnoteReference w:id="199"/>
      </w:r>
      <w:r w:rsidRPr="00763E4E">
        <w:rPr>
          <w:rFonts w:cs="Taher"/>
          <w:vertAlign w:val="superscript"/>
          <w:rtl/>
        </w:rPr>
        <w:t>)</w:t>
      </w:r>
      <w:r w:rsidRPr="00E4028C">
        <w:rPr>
          <w:rFonts w:hint="cs"/>
          <w:rtl/>
        </w:rPr>
        <w:t>.</w:t>
      </w:r>
    </w:p>
    <w:p w14:paraId="2B498604" w14:textId="77777777" w:rsidR="00DD6401" w:rsidRDefault="00DD6401" w:rsidP="009B7F51">
      <w:pPr>
        <w:pStyle w:val="normal870"/>
        <w:rPr>
          <w:rtl/>
        </w:rPr>
      </w:pPr>
      <w:r w:rsidRPr="00E4028C">
        <w:rPr>
          <w:rFonts w:hint="cs"/>
          <w:rtl/>
        </w:rPr>
        <w:t xml:space="preserve">وهناك احتمال يرد في بعض النصوص ـ </w:t>
      </w:r>
      <w:r w:rsidR="002E176B">
        <w:rPr>
          <w:rFonts w:hint="cs"/>
          <w:rtl/>
        </w:rPr>
        <w:t>دون</w:t>
      </w:r>
      <w:r w:rsidRPr="00E4028C">
        <w:rPr>
          <w:rFonts w:hint="cs"/>
          <w:rtl/>
        </w:rPr>
        <w:t xml:space="preserve"> جميعها ـ التي نجد الإمام الحسين× يأبى فيها الجواب عن سبب خر</w:t>
      </w:r>
      <w:r w:rsidR="002E176B">
        <w:rPr>
          <w:rFonts w:hint="cs"/>
          <w:rtl/>
        </w:rPr>
        <w:t>و</w:t>
      </w:r>
      <w:r w:rsidRPr="00E4028C">
        <w:rPr>
          <w:rFonts w:hint="cs"/>
          <w:rtl/>
        </w:rPr>
        <w:t>جه أو يحاول التهرّب من الجواب بطريقة أو بأخرى، وهو أنّه قد لا يريد البوح لأيّ إنسان بمخطّطاته، وهذا عمل منطقي ومعقول يحافظ فيه على بعض السرية أحياناً في مشروعه.</w:t>
      </w:r>
    </w:p>
    <w:p w14:paraId="3EA7098A" w14:textId="77777777" w:rsidR="00FE61E7" w:rsidRPr="00FE61E7" w:rsidRDefault="009125AB" w:rsidP="0096148C">
      <w:pPr>
        <w:pStyle w:val="Heading4"/>
        <w:rPr>
          <w:rtl/>
        </w:rPr>
      </w:pPr>
      <w:bookmarkStart w:id="104" w:name="_Toc143804139"/>
      <w:bookmarkStart w:id="105" w:name="_Toc238123264"/>
      <w:r>
        <w:rPr>
          <w:rFonts w:hint="cs"/>
          <w:rtl/>
        </w:rPr>
        <w:t xml:space="preserve">هـ ـ </w:t>
      </w:r>
      <w:r w:rsidR="00FE61E7" w:rsidRPr="00FE61E7">
        <w:rPr>
          <w:rFonts w:hint="cs"/>
          <w:rtl/>
        </w:rPr>
        <w:t>مشكلة تواجه ت</w:t>
      </w:r>
      <w:r w:rsidR="00FE61E7">
        <w:rPr>
          <w:rFonts w:hint="cs"/>
          <w:rtl/>
        </w:rPr>
        <w:t>و</w:t>
      </w:r>
      <w:r w:rsidR="00FE61E7" w:rsidRPr="00FE61E7">
        <w:rPr>
          <w:rFonts w:hint="cs"/>
          <w:rtl/>
        </w:rPr>
        <w:t xml:space="preserve">ظيف </w:t>
      </w:r>
      <w:r w:rsidR="00FE61E7">
        <w:rPr>
          <w:rFonts w:hint="cs"/>
          <w:rtl/>
        </w:rPr>
        <w:t>"إ</w:t>
      </w:r>
      <w:r w:rsidR="00FE61E7" w:rsidRPr="00FE61E7">
        <w:rPr>
          <w:rFonts w:hint="cs"/>
          <w:rtl/>
        </w:rPr>
        <w:t>لقاء النفس في التهلكة</w:t>
      </w:r>
      <w:r w:rsidR="00FE61E7">
        <w:rPr>
          <w:rFonts w:hint="cs"/>
          <w:rtl/>
        </w:rPr>
        <w:t>"</w:t>
      </w:r>
      <w:r w:rsidR="00FE61E7" w:rsidRPr="00FE61E7">
        <w:rPr>
          <w:rFonts w:hint="cs"/>
          <w:rtl/>
        </w:rPr>
        <w:t xml:space="preserve"> في تكريس نظري</w:t>
      </w:r>
      <w:r w:rsidR="00FE61E7">
        <w:rPr>
          <w:rFonts w:hint="cs"/>
          <w:rtl/>
        </w:rPr>
        <w:t>ّ</w:t>
      </w:r>
      <w:r w:rsidR="00FE61E7" w:rsidRPr="00FE61E7">
        <w:rPr>
          <w:rFonts w:hint="cs"/>
          <w:rtl/>
        </w:rPr>
        <w:t>ة الاختصاص</w:t>
      </w:r>
      <w:bookmarkEnd w:id="104"/>
      <w:bookmarkEnd w:id="105"/>
    </w:p>
    <w:p w14:paraId="2925D4EA" w14:textId="77777777" w:rsidR="00DD6401" w:rsidRDefault="00DD6401" w:rsidP="009B7F51">
      <w:pPr>
        <w:pStyle w:val="normal870"/>
        <w:rPr>
          <w:rtl/>
        </w:rPr>
      </w:pPr>
      <w:r w:rsidRPr="00E4028C">
        <w:rPr>
          <w:rFonts w:hint="cs"/>
          <w:rtl/>
        </w:rPr>
        <w:t>إنّ الحديث عن مسألة إلقاء النفس في التهلكة يمكن الجواب عنه بما ذكره بعض العلماء الباحثين من أنّ فعل الإمام ذلك يمكن أن يعدّ دليلاً على جواز العملية الاستشهادي</w:t>
      </w:r>
      <w:r w:rsidR="002E176B">
        <w:rPr>
          <w:rFonts w:hint="cs"/>
          <w:rtl/>
        </w:rPr>
        <w:t>ّ</w:t>
      </w:r>
      <w:r w:rsidRPr="00E4028C">
        <w:rPr>
          <w:rFonts w:hint="cs"/>
          <w:rtl/>
        </w:rPr>
        <w:t>ة هذه؛ كونه يخصّص الإطلاقات الموجودة في نصوص تحريم تعريض النفس للتهلكة، فبدل أن يكون هذا الحكم موجباً لجعل الثورة خاص</w:t>
      </w:r>
      <w:r w:rsidR="00CA3179">
        <w:rPr>
          <w:rFonts w:hint="cs"/>
          <w:rtl/>
        </w:rPr>
        <w:t>ّ</w:t>
      </w:r>
      <w:r w:rsidRPr="00E4028C">
        <w:rPr>
          <w:rFonts w:hint="cs"/>
          <w:rtl/>
        </w:rPr>
        <w:t xml:space="preserve">ة بالحسين يمكن أن يكون موجباً لتخصيص دليل حرمة تعريض النفس للتهلكة فيما لو كانت هناك مصالح إسلامية عليا. علماً أنّه لو كانت الثورة خاصّة </w:t>
      </w:r>
      <w:r w:rsidRPr="00E4028C">
        <w:rPr>
          <w:rFonts w:hint="cs"/>
          <w:rtl/>
        </w:rPr>
        <w:lastRenderedPageBreak/>
        <w:t>بالحسين بوصفه معصوماً فما معنى مشاركة أهل بيته وأصحابه فيها؟!</w:t>
      </w:r>
      <w:r w:rsidRPr="00763E4E">
        <w:rPr>
          <w:rFonts w:cs="Taher"/>
          <w:vertAlign w:val="superscript"/>
          <w:rtl/>
        </w:rPr>
        <w:t>(</w:t>
      </w:r>
      <w:r w:rsidRPr="00763E4E">
        <w:rPr>
          <w:rFonts w:cs="Taher"/>
          <w:vertAlign w:val="superscript"/>
          <w:rtl/>
        </w:rPr>
        <w:footnoteReference w:id="200"/>
      </w:r>
      <w:r w:rsidRPr="00763E4E">
        <w:rPr>
          <w:rFonts w:cs="Taher"/>
          <w:vertAlign w:val="superscript"/>
          <w:rtl/>
        </w:rPr>
        <w:t>)</w:t>
      </w:r>
      <w:r w:rsidRPr="00E4028C">
        <w:rPr>
          <w:rFonts w:hint="cs"/>
          <w:rtl/>
        </w:rPr>
        <w:t>، إلا إذا قيل: إنّ الخصوصية تستوعب ـ أيضاً ـ هذا العدد من المحيطين بالمعصوم.</w:t>
      </w:r>
    </w:p>
    <w:p w14:paraId="2B65F06C" w14:textId="77777777" w:rsidR="00CA3179" w:rsidRDefault="00CA3179" w:rsidP="00CA3179">
      <w:pPr>
        <w:pStyle w:val="Space2"/>
        <w:rPr>
          <w:rtl/>
        </w:rPr>
      </w:pPr>
      <w:r>
        <w:rPr>
          <w:rFonts w:hint="cs"/>
          <w:rtl/>
        </w:rPr>
        <w:t>هذا، وسوف يأتي الحديث عن العمليّات الاستشهاديّة، وسنتوقف هناك عند الاستدلال بحركة الإمام الحسين على شرعيّتها، ومدى صحّة ذلك.</w:t>
      </w:r>
    </w:p>
    <w:p w14:paraId="00C529CB" w14:textId="77777777" w:rsidR="00FE61E7" w:rsidRPr="00FE61E7" w:rsidRDefault="009125AB" w:rsidP="0096148C">
      <w:pPr>
        <w:pStyle w:val="Heading4"/>
        <w:rPr>
          <w:rtl/>
        </w:rPr>
      </w:pPr>
      <w:bookmarkStart w:id="106" w:name="_Toc143804140"/>
      <w:bookmarkStart w:id="107" w:name="_Toc238123265"/>
      <w:r>
        <w:rPr>
          <w:rFonts w:hint="cs"/>
          <w:rtl/>
        </w:rPr>
        <w:t xml:space="preserve">و ـ </w:t>
      </w:r>
      <w:r w:rsidR="00FE61E7" w:rsidRPr="00FE61E7">
        <w:rPr>
          <w:rFonts w:hint="cs"/>
          <w:rtl/>
        </w:rPr>
        <w:t>عدم دلالة تمايز الأحكام على تمايز الحركة الحس</w:t>
      </w:r>
      <w:r w:rsidR="00FE61E7">
        <w:rPr>
          <w:rFonts w:hint="cs"/>
          <w:rtl/>
        </w:rPr>
        <w:t>ي</w:t>
      </w:r>
      <w:r w:rsidR="00FE61E7" w:rsidRPr="00FE61E7">
        <w:rPr>
          <w:rFonts w:hint="cs"/>
          <w:rtl/>
        </w:rPr>
        <w:t>ني</w:t>
      </w:r>
      <w:r w:rsidR="00FE61E7">
        <w:rPr>
          <w:rFonts w:hint="cs"/>
          <w:rtl/>
        </w:rPr>
        <w:t>ّ</w:t>
      </w:r>
      <w:r w:rsidR="00FE61E7" w:rsidRPr="00FE61E7">
        <w:rPr>
          <w:rFonts w:hint="cs"/>
          <w:rtl/>
        </w:rPr>
        <w:t>ة عن فقه الجهاد</w:t>
      </w:r>
      <w:bookmarkEnd w:id="106"/>
      <w:bookmarkEnd w:id="107"/>
    </w:p>
    <w:p w14:paraId="26E0F9F5" w14:textId="77777777" w:rsidR="00DD6401" w:rsidRPr="00E4028C" w:rsidRDefault="00DD6401" w:rsidP="00F218B2">
      <w:pPr>
        <w:pStyle w:val="Space2"/>
        <w:rPr>
          <w:rtl/>
        </w:rPr>
      </w:pPr>
      <w:r w:rsidRPr="00E4028C">
        <w:rPr>
          <w:rFonts w:hint="cs"/>
          <w:rtl/>
        </w:rPr>
        <w:t>لنفرض أن</w:t>
      </w:r>
      <w:r w:rsidR="00CA3179">
        <w:rPr>
          <w:rFonts w:hint="cs"/>
          <w:rtl/>
        </w:rPr>
        <w:t>ّ</w:t>
      </w:r>
      <w:r w:rsidRPr="00E4028C">
        <w:rPr>
          <w:rFonts w:hint="cs"/>
          <w:rtl/>
        </w:rPr>
        <w:t xml:space="preserve"> بعض الأحكام التفصيلية لم تتوافق فيها </w:t>
      </w:r>
      <w:r w:rsidR="00F218B2">
        <w:rPr>
          <w:rFonts w:hint="cs"/>
          <w:rtl/>
        </w:rPr>
        <w:t xml:space="preserve">حركة </w:t>
      </w:r>
      <w:r w:rsidRPr="00E4028C">
        <w:rPr>
          <w:rFonts w:hint="cs"/>
          <w:rtl/>
        </w:rPr>
        <w:t>الحسين مع القواعد العامّة في فقه الجهاد في الإسلام؛ فهذا لا يعني صيرور</w:t>
      </w:r>
      <w:r w:rsidR="00F218B2">
        <w:rPr>
          <w:rFonts w:hint="cs"/>
          <w:rtl/>
        </w:rPr>
        <w:t>تها</w:t>
      </w:r>
      <w:r w:rsidRPr="00E4028C">
        <w:rPr>
          <w:rFonts w:hint="cs"/>
          <w:rtl/>
        </w:rPr>
        <w:t xml:space="preserve"> خاصّة بالحسين، بل هذا يعطيها خصوصية في موردها من حيث طبيعة الاستثنائية التي كانت تحيط بها، فهذا مثل بعض العناوين الثانوية التي قد تسقط الكثير من العناوين الأولية في موردها، فأيّ تلازم بين هذا الأمر وبين </w:t>
      </w:r>
      <w:r w:rsidR="00F218B2">
        <w:rPr>
          <w:rFonts w:hint="cs"/>
          <w:rtl/>
        </w:rPr>
        <w:t>ال</w:t>
      </w:r>
      <w:r w:rsidRPr="00E4028C">
        <w:rPr>
          <w:rFonts w:hint="cs"/>
          <w:rtl/>
        </w:rPr>
        <w:t>خصوصي</w:t>
      </w:r>
      <w:r w:rsidR="00F218B2">
        <w:rPr>
          <w:rFonts w:hint="cs"/>
          <w:rtl/>
        </w:rPr>
        <w:t>ّ</w:t>
      </w:r>
      <w:r w:rsidRPr="00E4028C">
        <w:rPr>
          <w:rFonts w:hint="cs"/>
          <w:rtl/>
        </w:rPr>
        <w:t xml:space="preserve">ة أو </w:t>
      </w:r>
      <w:r w:rsidR="00F218B2">
        <w:rPr>
          <w:rFonts w:hint="cs"/>
          <w:rtl/>
        </w:rPr>
        <w:t>عدم ال</w:t>
      </w:r>
      <w:r w:rsidRPr="00E4028C">
        <w:rPr>
          <w:rFonts w:hint="cs"/>
          <w:rtl/>
        </w:rPr>
        <w:t>معقوليّ</w:t>
      </w:r>
      <w:r w:rsidR="00F218B2">
        <w:rPr>
          <w:rFonts w:hint="cs"/>
          <w:rtl/>
        </w:rPr>
        <w:t>ة؟!</w:t>
      </w:r>
    </w:p>
    <w:p w14:paraId="1FE2021A" w14:textId="77777777" w:rsidR="00DD6401" w:rsidRPr="00E4028C" w:rsidRDefault="00DD6401" w:rsidP="00F218B2">
      <w:pPr>
        <w:pStyle w:val="Space2"/>
        <w:rPr>
          <w:rtl/>
        </w:rPr>
      </w:pPr>
      <w:r w:rsidRPr="00E4028C">
        <w:rPr>
          <w:rFonts w:hint="cs"/>
          <w:rtl/>
        </w:rPr>
        <w:t xml:space="preserve">يضاف إلى ذلك، أنّ ما ذكر من خصوصيات لا نحرز كونه خصوصية على تمام النظريات الفقهية، فالجهاد ليس واجباً على الأطفال لكنّه ليس محرّماً لو رضي أهلهم بذلك، وأرادوا هم ذلك، وكانت فيه المصلحة </w:t>
      </w:r>
      <w:r w:rsidR="009938F9">
        <w:rPr>
          <w:rFonts w:hint="cs"/>
          <w:rtl/>
        </w:rPr>
        <w:t xml:space="preserve">القاهرة </w:t>
      </w:r>
      <w:r w:rsidRPr="00E4028C">
        <w:rPr>
          <w:rFonts w:hint="cs"/>
          <w:rtl/>
        </w:rPr>
        <w:t>للمسلمين، كما أنّ عدم ظنّ الهلاك إن قصد به الظنّ الذي هو دون اليقين فهذا ليس بشرط في الجهاد قطعاً، وإلا فكلّ جهاد أو أغلب أشكاله فيه ظنّ الهلاك كما هو واضح، وإن قصد به اليقين بالهلاك فهذا ما يسمّى في عصرنا بالعمليات الاستشهادية، و</w:t>
      </w:r>
      <w:r w:rsidR="00F218B2">
        <w:rPr>
          <w:rFonts w:hint="cs"/>
          <w:rtl/>
        </w:rPr>
        <w:t xml:space="preserve">سوف يأتي </w:t>
      </w:r>
      <w:r w:rsidRPr="00E4028C">
        <w:rPr>
          <w:rFonts w:hint="cs"/>
          <w:rtl/>
        </w:rPr>
        <w:t>بحثناها مفصّلاً في موضعها، و</w:t>
      </w:r>
      <w:r w:rsidR="00F218B2">
        <w:rPr>
          <w:rFonts w:hint="cs"/>
          <w:rtl/>
        </w:rPr>
        <w:t>سنرى هناك</w:t>
      </w:r>
      <w:r w:rsidRPr="00E4028C">
        <w:rPr>
          <w:rFonts w:hint="cs"/>
          <w:rtl/>
        </w:rPr>
        <w:t xml:space="preserve"> كيف أنّ هناك نظريات فقهية تجيزها طبقاً لقواعد الصناعة الفقهية، وأنّ ثورة الحسين نفسها شكّلت أحد الأدلّة التي طرحت أو يمكن أن تطرح هناك.</w:t>
      </w:r>
    </w:p>
    <w:p w14:paraId="3C77531C" w14:textId="77777777" w:rsidR="00DD6401" w:rsidRDefault="00DD6401" w:rsidP="00DD6401">
      <w:pPr>
        <w:rPr>
          <w:rtl/>
        </w:rPr>
      </w:pPr>
      <w:r w:rsidRPr="00E4028C">
        <w:rPr>
          <w:rFonts w:hint="cs"/>
          <w:rtl/>
        </w:rPr>
        <w:t xml:space="preserve">وأمّا مسألة اشتراط الضعف لا أزيد في الجهاد، فقد حقّقناه بالتفصيل، وقلنا: إنّه شرط </w:t>
      </w:r>
      <w:r w:rsidRPr="00E4028C">
        <w:rPr>
          <w:rFonts w:hint="cs"/>
          <w:rtl/>
        </w:rPr>
        <w:lastRenderedPageBreak/>
        <w:t>الوجوب، لكنّه ليس شرط الجواز، فقد يكون جائزاً حتى من دونه.</w:t>
      </w:r>
    </w:p>
    <w:p w14:paraId="48BC2915" w14:textId="77777777" w:rsidR="00FE61E7" w:rsidRPr="00FE61E7" w:rsidRDefault="009125AB" w:rsidP="0096148C">
      <w:pPr>
        <w:pStyle w:val="Heading4"/>
        <w:rPr>
          <w:rtl/>
        </w:rPr>
      </w:pPr>
      <w:bookmarkStart w:id="108" w:name="_Toc143804141"/>
      <w:bookmarkStart w:id="109" w:name="_Toc238123266"/>
      <w:r>
        <w:rPr>
          <w:rFonts w:hint="cs"/>
          <w:rtl/>
        </w:rPr>
        <w:t xml:space="preserve">ز ـ </w:t>
      </w:r>
      <w:r w:rsidR="00FE61E7" w:rsidRPr="00FE61E7">
        <w:rPr>
          <w:rFonts w:hint="cs"/>
          <w:rtl/>
        </w:rPr>
        <w:t xml:space="preserve">نقد </w:t>
      </w:r>
      <w:r w:rsidR="00FE61E7">
        <w:rPr>
          <w:rFonts w:hint="cs"/>
          <w:rtl/>
        </w:rPr>
        <w:t>صدوري ل</w:t>
      </w:r>
      <w:r w:rsidR="00FE61E7" w:rsidRPr="00FE61E7">
        <w:rPr>
          <w:rFonts w:hint="cs"/>
          <w:rtl/>
        </w:rPr>
        <w:t xml:space="preserve">بعض الشواهد </w:t>
      </w:r>
      <w:r w:rsidR="00FE61E7">
        <w:rPr>
          <w:rFonts w:hint="cs"/>
          <w:rtl/>
        </w:rPr>
        <w:t xml:space="preserve">التاريخيّة </w:t>
      </w:r>
      <w:r w:rsidR="00FE61E7" w:rsidRPr="00FE61E7">
        <w:rPr>
          <w:rFonts w:hint="cs"/>
          <w:rtl/>
        </w:rPr>
        <w:t>الجزئيّة</w:t>
      </w:r>
      <w:bookmarkEnd w:id="108"/>
      <w:bookmarkEnd w:id="109"/>
    </w:p>
    <w:p w14:paraId="7580ECEF" w14:textId="77777777" w:rsidR="00DD6401" w:rsidRPr="00E4028C" w:rsidRDefault="00DD6401" w:rsidP="009B7F51">
      <w:pPr>
        <w:rPr>
          <w:rtl/>
        </w:rPr>
      </w:pPr>
      <w:r w:rsidRPr="00E4028C">
        <w:rPr>
          <w:rFonts w:hint="cs"/>
          <w:rtl/>
        </w:rPr>
        <w:t>إنّ الشاهد الثاني هنا ـ وهو خبر حواره</w:t>
      </w:r>
      <w:r w:rsidR="00F218B2">
        <w:rPr>
          <w:rFonts w:hint="cs"/>
          <w:rtl/>
        </w:rPr>
        <w:t>×</w:t>
      </w:r>
      <w:r w:rsidRPr="00E4028C">
        <w:rPr>
          <w:rFonts w:hint="cs"/>
          <w:rtl/>
        </w:rPr>
        <w:t xml:space="preserve"> مع محمد بن الحنفية واحتجاجه بالرؤيا</w:t>
      </w:r>
      <w:r w:rsidR="00C96AAF" w:rsidRPr="00763E4E">
        <w:rPr>
          <w:rFonts w:cs="Taher"/>
          <w:vertAlign w:val="superscript"/>
          <w:rtl/>
        </w:rPr>
        <w:t>(</w:t>
      </w:r>
      <w:r w:rsidR="00C96AAF" w:rsidRPr="00763E4E">
        <w:rPr>
          <w:rFonts w:cs="Taher"/>
          <w:vertAlign w:val="superscript"/>
          <w:rtl/>
        </w:rPr>
        <w:footnoteReference w:id="201"/>
      </w:r>
      <w:r w:rsidR="00C96AAF" w:rsidRPr="00763E4E">
        <w:rPr>
          <w:rFonts w:cs="Taher"/>
          <w:vertAlign w:val="superscript"/>
          <w:rtl/>
        </w:rPr>
        <w:t>)</w:t>
      </w:r>
      <w:r w:rsidRPr="00E4028C">
        <w:rPr>
          <w:rFonts w:hint="cs"/>
          <w:rtl/>
        </w:rPr>
        <w:t xml:space="preserve"> التي رآها</w:t>
      </w:r>
      <w:r w:rsidR="00F75B29">
        <w:rPr>
          <w:rFonts w:hint="cs"/>
          <w:rtl/>
        </w:rPr>
        <w:t xml:space="preserve"> </w:t>
      </w:r>
      <w:r w:rsidRPr="00E4028C">
        <w:rPr>
          <w:rFonts w:hint="cs"/>
          <w:rtl/>
        </w:rPr>
        <w:t>ـ يرجع مصدره الرئيس إلى كتاب اللهوف لابن طاووس (664هـ)، وقد نقل البقية عنه، ولم أعثر على هذه القصّة في مصدر أسبق من هذا المصدر، وسند السيد ابن طاووس إلى الأصل الذي نقل عنه غير معلوم، فالاحتجاج بهذه الحادثة مشكل. نعم ورد خبر المنام في أمالي الصدوق</w:t>
      </w:r>
      <w:r w:rsidRPr="00763E4E">
        <w:rPr>
          <w:rFonts w:cs="Taher"/>
          <w:vertAlign w:val="superscript"/>
          <w:rtl/>
        </w:rPr>
        <w:t>(</w:t>
      </w:r>
      <w:r w:rsidRPr="00763E4E">
        <w:rPr>
          <w:rFonts w:cs="Taher"/>
          <w:vertAlign w:val="superscript"/>
          <w:rtl/>
        </w:rPr>
        <w:footnoteReference w:id="202"/>
      </w:r>
      <w:r w:rsidRPr="00763E4E">
        <w:rPr>
          <w:rFonts w:cs="Taher"/>
          <w:vertAlign w:val="superscript"/>
          <w:rtl/>
        </w:rPr>
        <w:t>)</w:t>
      </w:r>
      <w:r w:rsidRPr="00E4028C">
        <w:rPr>
          <w:rFonts w:hint="cs"/>
          <w:rtl/>
        </w:rPr>
        <w:t>، لكن بسند ضعيف بجهالة بهجة بنت الحارث بن عبد الله التغلبي المهملة جداً في مصادر الرجال الشيعية والسنيّة، وكذلك إهمال كل من صفية بنت يونس بن أبي إسحاق الهمدانية ومريسة بنت موسى بن يونس، اللتين لا ذكر لهما عندهم</w:t>
      </w:r>
      <w:r w:rsidRPr="00763E4E">
        <w:rPr>
          <w:rFonts w:cs="Taher"/>
          <w:vertAlign w:val="superscript"/>
          <w:rtl/>
        </w:rPr>
        <w:t>(</w:t>
      </w:r>
      <w:r w:rsidRPr="00763E4E">
        <w:rPr>
          <w:rFonts w:cs="Taher"/>
          <w:vertAlign w:val="superscript"/>
          <w:rtl/>
        </w:rPr>
        <w:footnoteReference w:id="203"/>
      </w:r>
      <w:r w:rsidRPr="00763E4E">
        <w:rPr>
          <w:rFonts w:cs="Taher"/>
          <w:vertAlign w:val="superscript"/>
          <w:rtl/>
        </w:rPr>
        <w:t>)</w:t>
      </w:r>
      <w:r w:rsidRPr="00E4028C">
        <w:rPr>
          <w:rFonts w:hint="cs"/>
          <w:rtl/>
        </w:rPr>
        <w:t>، فالسند مشكل جداً.</w:t>
      </w:r>
    </w:p>
    <w:p w14:paraId="6E0E72A6" w14:textId="77777777" w:rsidR="00DD6401" w:rsidRDefault="00DD6401" w:rsidP="001A2738">
      <w:pPr>
        <w:pStyle w:val="Space2"/>
        <w:rPr>
          <w:rtl/>
        </w:rPr>
      </w:pPr>
      <w:r w:rsidRPr="00E4028C">
        <w:rPr>
          <w:rFonts w:hint="cs"/>
          <w:rtl/>
        </w:rPr>
        <w:t>أمّا خبر عمرو بن لوذان</w:t>
      </w:r>
      <w:r w:rsidR="00F75B29">
        <w:rPr>
          <w:rFonts w:hint="cs"/>
          <w:rtl/>
        </w:rPr>
        <w:t>،</w:t>
      </w:r>
      <w:r w:rsidRPr="00E4028C">
        <w:rPr>
          <w:rFonts w:hint="cs"/>
          <w:rtl/>
        </w:rPr>
        <w:t xml:space="preserve"> فلا يستند إليه أيضاً؛ لأنّه بهذه الصيغة ورد تارةً مرسلاً كما في إرشاد المفيد، وأخرى بسند فيه لوذان أحد بني عكرمة، وهو رجل مجهول جداً لا ذكر له في مصادر الرجال الشيعية والسنيّة؛ فالاستناد إلى مثل هذه الأخبار ـ مع قلّة ناقليها ومصادرها التاريخية والحديثية ـ مشكل. </w:t>
      </w:r>
      <w:r w:rsidRPr="00F218B2">
        <w:rPr>
          <w:rFonts w:hint="cs"/>
          <w:b/>
          <w:bCs/>
          <w:rtl/>
        </w:rPr>
        <w:t>كما أن</w:t>
      </w:r>
      <w:r w:rsidR="00F218B2" w:rsidRPr="00F218B2">
        <w:rPr>
          <w:rFonts w:hint="cs"/>
          <w:b/>
          <w:bCs/>
          <w:rtl/>
        </w:rPr>
        <w:t>ّ</w:t>
      </w:r>
      <w:r w:rsidRPr="00F218B2">
        <w:rPr>
          <w:rFonts w:hint="cs"/>
          <w:b/>
          <w:bCs/>
          <w:rtl/>
        </w:rPr>
        <w:t xml:space="preserve"> خطبة الإمام الحسين التي يعلن فيها شهادته، ويتحدّث عن أوصاله المقطّعة بين النواويس وكربلاء، لم ترد في مصادر التاريخ الأولى،</w:t>
      </w:r>
      <w:r w:rsidRPr="00E4028C">
        <w:rPr>
          <w:rFonts w:hint="cs"/>
          <w:rtl/>
        </w:rPr>
        <w:t xml:space="preserve"> وإنّما جاءت في مصادر متأخرة بلا سند، والأغلب أَخَذَها من كشف الغمة واللهوف؛ فيصعب الاستناد إليها أيضاً</w:t>
      </w:r>
      <w:r w:rsidR="006A776D" w:rsidRPr="00763E4E">
        <w:rPr>
          <w:rFonts w:cs="Taher"/>
          <w:vertAlign w:val="superscript"/>
          <w:rtl/>
        </w:rPr>
        <w:t>(</w:t>
      </w:r>
      <w:r w:rsidR="006A776D" w:rsidRPr="00763E4E">
        <w:rPr>
          <w:rFonts w:cs="Taher"/>
          <w:vertAlign w:val="superscript"/>
          <w:rtl/>
        </w:rPr>
        <w:footnoteReference w:id="204"/>
      </w:r>
      <w:r w:rsidR="006A776D" w:rsidRPr="00763E4E">
        <w:rPr>
          <w:rFonts w:cs="Taher"/>
          <w:vertAlign w:val="superscript"/>
          <w:rtl/>
        </w:rPr>
        <w:t>)</w:t>
      </w:r>
      <w:r w:rsidRPr="00E4028C">
        <w:rPr>
          <w:rFonts w:hint="cs"/>
          <w:rtl/>
        </w:rPr>
        <w:t>.</w:t>
      </w:r>
      <w:r w:rsidR="001A2738">
        <w:rPr>
          <w:rFonts w:hint="cs"/>
          <w:rtl/>
        </w:rPr>
        <w:t xml:space="preserve"> هذا، وثمّة من ذهب</w:t>
      </w:r>
      <w:r w:rsidR="001A2738" w:rsidRPr="00763E4E">
        <w:rPr>
          <w:rFonts w:cs="Taher"/>
          <w:vertAlign w:val="superscript"/>
          <w:rtl/>
        </w:rPr>
        <w:t>(</w:t>
      </w:r>
      <w:r w:rsidR="001A2738" w:rsidRPr="00763E4E">
        <w:rPr>
          <w:rFonts w:cs="Taher"/>
          <w:vertAlign w:val="superscript"/>
          <w:rtl/>
        </w:rPr>
        <w:footnoteReference w:id="205"/>
      </w:r>
      <w:r w:rsidR="001A2738" w:rsidRPr="00763E4E">
        <w:rPr>
          <w:rFonts w:cs="Taher"/>
          <w:vertAlign w:val="superscript"/>
          <w:rtl/>
        </w:rPr>
        <w:t>)</w:t>
      </w:r>
      <w:r w:rsidR="001A2738">
        <w:rPr>
          <w:rFonts w:hint="cs"/>
          <w:rtl/>
        </w:rPr>
        <w:t xml:space="preserve"> إلى أنّها مأخوذة ـ بتصرّف ـ من كتاب المصابيح لأبي العباس الزيدي </w:t>
      </w:r>
      <w:r w:rsidR="001A2738">
        <w:rPr>
          <w:rFonts w:hint="cs"/>
          <w:rtl/>
        </w:rPr>
        <w:lastRenderedPageBreak/>
        <w:t>(353هـ).</w:t>
      </w:r>
    </w:p>
    <w:p w14:paraId="3B5144D0" w14:textId="77777777" w:rsidR="00BD3EC8" w:rsidRPr="00E4028C" w:rsidRDefault="00BD3EC8" w:rsidP="009B7F51">
      <w:pPr>
        <w:pStyle w:val="normal930"/>
        <w:rPr>
          <w:rtl/>
        </w:rPr>
      </w:pPr>
      <w:r>
        <w:rPr>
          <w:rFonts w:hint="cs"/>
          <w:rtl/>
        </w:rPr>
        <w:t>هذا كلّه، مضافاً إلى التأييد بأنّ قضيّة الحسين لو كانت مسألة غيبية خاصّة به، لرأينا انعكاس ذلك في نصوص أهل البيت لاحقاً عندما كانوا يُطالَبون من قبل الزيدية والحسنيّين وغيرهم بالخروج، وتكون قضيّة الحسين حاضرة، فلو كانت لها خصوصيّةٌ ما لذُكرت هناك؛ إذ من المناسب جدّاً ذكرها لتبرير التمايز بينهم وبين الحسين.</w:t>
      </w:r>
    </w:p>
    <w:p w14:paraId="37C9B8CE" w14:textId="77777777" w:rsidR="00DD6401" w:rsidRPr="00F218B2" w:rsidRDefault="00DD6401" w:rsidP="00F218B2">
      <w:pPr>
        <w:pStyle w:val="Space2"/>
        <w:rPr>
          <w:b/>
          <w:bCs/>
          <w:rtl/>
        </w:rPr>
      </w:pPr>
      <w:r w:rsidRPr="00F218B2">
        <w:rPr>
          <w:rFonts w:hint="cs"/>
          <w:b/>
          <w:bCs/>
          <w:rtl/>
        </w:rPr>
        <w:t>من هنا، نستنتج أنّ الثورة الحسينية ليست من خصائص الإمام الحسين حتى نخرجها عن دائرة الاستناد الفقهي هنا، فضلاً عن أنّ العديد من الروايات التي تعدّ شاهداً لهذه النظرية يصعب إثباته تاريخياً وحديثياً، كما ألمحنا إلى بعضه آنفاً.</w:t>
      </w:r>
    </w:p>
    <w:p w14:paraId="50C37720" w14:textId="77777777" w:rsidR="00DD6401" w:rsidRPr="00236AA7" w:rsidRDefault="009125AB" w:rsidP="0096148C">
      <w:pPr>
        <w:pStyle w:val="Heading2"/>
        <w:rPr>
          <w:rtl/>
        </w:rPr>
      </w:pPr>
      <w:bookmarkStart w:id="110" w:name="_Toc307009616"/>
      <w:bookmarkStart w:id="111" w:name="_Toc143804142"/>
      <w:bookmarkStart w:id="112" w:name="_Toc238123267"/>
      <w:r>
        <w:rPr>
          <w:rFonts w:hint="cs"/>
          <w:rtl/>
        </w:rPr>
        <w:t>النظريّة الثانية: ن</w:t>
      </w:r>
      <w:r w:rsidR="00DD6401" w:rsidRPr="00236AA7">
        <w:rPr>
          <w:rFonts w:hint="cs"/>
          <w:rtl/>
        </w:rPr>
        <w:t>ظري</w:t>
      </w:r>
      <w:r w:rsidR="00F75B29">
        <w:rPr>
          <w:rFonts w:hint="cs"/>
          <w:rtl/>
        </w:rPr>
        <w:t>ّ</w:t>
      </w:r>
      <w:r w:rsidR="00DD6401" w:rsidRPr="00236AA7">
        <w:rPr>
          <w:rFonts w:hint="cs"/>
          <w:rtl/>
        </w:rPr>
        <w:t xml:space="preserve">ة </w:t>
      </w:r>
      <w:r w:rsidR="00F75B29">
        <w:rPr>
          <w:rFonts w:hint="cs"/>
          <w:rtl/>
        </w:rPr>
        <w:t xml:space="preserve">تجنّب البيعة المفضي إلى </w:t>
      </w:r>
      <w:r w:rsidR="00DD6401" w:rsidRPr="00236AA7">
        <w:rPr>
          <w:rFonts w:hint="cs"/>
          <w:rtl/>
        </w:rPr>
        <w:t>المواجهة المفروضة</w:t>
      </w:r>
      <w:bookmarkEnd w:id="110"/>
      <w:bookmarkEnd w:id="111"/>
      <w:bookmarkEnd w:id="112"/>
    </w:p>
    <w:p w14:paraId="75BDDA9E" w14:textId="77777777" w:rsidR="00DD6401" w:rsidRDefault="00DD6401" w:rsidP="00513112">
      <w:pPr>
        <w:pStyle w:val="Space2"/>
        <w:rPr>
          <w:rtl/>
        </w:rPr>
      </w:pPr>
      <w:r w:rsidRPr="00E4028C">
        <w:rPr>
          <w:rFonts w:hint="cs"/>
          <w:rtl/>
        </w:rPr>
        <w:t>تذهب هذه النظرية إلى أن</w:t>
      </w:r>
      <w:r w:rsidR="00F218B2">
        <w:rPr>
          <w:rFonts w:hint="cs"/>
          <w:rtl/>
        </w:rPr>
        <w:t>ّ</w:t>
      </w:r>
      <w:r w:rsidRPr="00E4028C">
        <w:rPr>
          <w:rFonts w:hint="cs"/>
          <w:rtl/>
        </w:rPr>
        <w:t xml:space="preserve"> </w:t>
      </w:r>
      <w:r w:rsidR="00F218B2">
        <w:rPr>
          <w:rFonts w:hint="cs"/>
          <w:rtl/>
        </w:rPr>
        <w:t xml:space="preserve">حركة </w:t>
      </w:r>
      <w:r w:rsidRPr="00E4028C">
        <w:rPr>
          <w:rFonts w:hint="cs"/>
          <w:rtl/>
        </w:rPr>
        <w:t>الحسين× لم تهدف لا إسقاط نظام فاسد، ولا إحياء ضمير الأمة و</w:t>
      </w:r>
      <w:r w:rsidR="00F218B2">
        <w:rPr>
          <w:rFonts w:hint="cs"/>
          <w:rtl/>
        </w:rPr>
        <w:t>لا ما شابه ذلك،</w:t>
      </w:r>
      <w:r w:rsidRPr="00E4028C">
        <w:rPr>
          <w:rFonts w:hint="cs"/>
          <w:rtl/>
        </w:rPr>
        <w:t xml:space="preserve"> وإن</w:t>
      </w:r>
      <w:r w:rsidR="00F218B2">
        <w:rPr>
          <w:rFonts w:hint="cs"/>
          <w:rtl/>
        </w:rPr>
        <w:t>ّ</w:t>
      </w:r>
      <w:r w:rsidRPr="00E4028C">
        <w:rPr>
          <w:rFonts w:hint="cs"/>
          <w:rtl/>
        </w:rPr>
        <w:t>ما كانت تريد الفرار من بيعة يزيد بن معاوية، فلو لم يحاول بنو أمية الضغط على الحسين كي يبايع يزيداً لظلّ في المدينة معتزلاً الأمر، لكن حيث فرضوا ذلك عليه، وأصرّ على موقف الرفض، لم يجد بُداً من المواجهة، فالمواجهة لم تكن مشروعاً بقدر ما كانت فراراً</w:t>
      </w:r>
      <w:r w:rsidR="00513112">
        <w:rPr>
          <w:rFonts w:hint="cs"/>
          <w:rtl/>
        </w:rPr>
        <w:t xml:space="preserve"> أوّلاً ثمّ ا</w:t>
      </w:r>
      <w:r w:rsidRPr="00E4028C">
        <w:rPr>
          <w:rFonts w:hint="cs"/>
          <w:rtl/>
        </w:rPr>
        <w:t xml:space="preserve">ضطراراً </w:t>
      </w:r>
      <w:r w:rsidR="00513112">
        <w:rPr>
          <w:rFonts w:hint="cs"/>
          <w:rtl/>
        </w:rPr>
        <w:t xml:space="preserve">ثانياً </w:t>
      </w:r>
      <w:r w:rsidRPr="00E4028C">
        <w:rPr>
          <w:rFonts w:hint="cs"/>
          <w:rtl/>
        </w:rPr>
        <w:t>فرض على الحسين ولو تمكّن من رفعه لفعل</w:t>
      </w:r>
      <w:r w:rsidRPr="00763E4E">
        <w:rPr>
          <w:rFonts w:cs="Taher"/>
          <w:vertAlign w:val="superscript"/>
          <w:rtl/>
        </w:rPr>
        <w:t>(</w:t>
      </w:r>
      <w:r w:rsidRPr="00763E4E">
        <w:rPr>
          <w:rFonts w:cs="Taher"/>
          <w:vertAlign w:val="superscript"/>
          <w:rtl/>
        </w:rPr>
        <w:footnoteReference w:id="206"/>
      </w:r>
      <w:r w:rsidRPr="00763E4E">
        <w:rPr>
          <w:rFonts w:cs="Taher"/>
          <w:vertAlign w:val="superscript"/>
          <w:rtl/>
        </w:rPr>
        <w:t>)</w:t>
      </w:r>
      <w:r w:rsidRPr="00E4028C">
        <w:rPr>
          <w:rFonts w:hint="cs"/>
          <w:rtl/>
        </w:rPr>
        <w:t>، ولولا أنّه كان مهدّداً بالاغتيال لما خرج</w:t>
      </w:r>
      <w:r w:rsidRPr="00763E4E">
        <w:rPr>
          <w:rFonts w:cs="Taher"/>
          <w:vertAlign w:val="superscript"/>
          <w:rtl/>
        </w:rPr>
        <w:t>(</w:t>
      </w:r>
      <w:r w:rsidRPr="00763E4E">
        <w:rPr>
          <w:rFonts w:cs="Taher"/>
          <w:vertAlign w:val="superscript"/>
          <w:rtl/>
        </w:rPr>
        <w:footnoteReference w:id="207"/>
      </w:r>
      <w:r w:rsidRPr="00763E4E">
        <w:rPr>
          <w:rFonts w:cs="Taher"/>
          <w:vertAlign w:val="superscript"/>
          <w:rtl/>
        </w:rPr>
        <w:t>)</w:t>
      </w:r>
      <w:r w:rsidRPr="00E4028C">
        <w:rPr>
          <w:rFonts w:hint="cs"/>
          <w:rtl/>
        </w:rPr>
        <w:t>، من هنا كانت حربه حرباً دفاعي</w:t>
      </w:r>
      <w:r w:rsidR="00F218B2">
        <w:rPr>
          <w:rFonts w:hint="cs"/>
          <w:rtl/>
        </w:rPr>
        <w:t>ّ</w:t>
      </w:r>
      <w:r w:rsidRPr="00E4028C">
        <w:rPr>
          <w:rFonts w:hint="cs"/>
          <w:rtl/>
        </w:rPr>
        <w:t>ة</w:t>
      </w:r>
      <w:r w:rsidRPr="00763E4E">
        <w:rPr>
          <w:rFonts w:cs="Taher"/>
          <w:vertAlign w:val="superscript"/>
          <w:rtl/>
        </w:rPr>
        <w:t>(</w:t>
      </w:r>
      <w:r w:rsidRPr="00763E4E">
        <w:rPr>
          <w:rFonts w:cs="Taher"/>
          <w:vertAlign w:val="superscript"/>
          <w:rtl/>
        </w:rPr>
        <w:footnoteReference w:id="208"/>
      </w:r>
      <w:r w:rsidRPr="00763E4E">
        <w:rPr>
          <w:rFonts w:cs="Taher"/>
          <w:vertAlign w:val="superscript"/>
          <w:rtl/>
        </w:rPr>
        <w:t>)</w:t>
      </w:r>
      <w:r w:rsidRPr="00E4028C">
        <w:rPr>
          <w:rFonts w:hint="cs"/>
          <w:rtl/>
        </w:rPr>
        <w:t>.</w:t>
      </w:r>
    </w:p>
    <w:p w14:paraId="0F78D0FE" w14:textId="77777777" w:rsidR="00513112" w:rsidRDefault="00513112" w:rsidP="00EF6888">
      <w:pPr>
        <w:pStyle w:val="Space2"/>
        <w:rPr>
          <w:rtl/>
        </w:rPr>
      </w:pPr>
      <w:r>
        <w:rPr>
          <w:rFonts w:hint="cs"/>
          <w:rtl/>
        </w:rPr>
        <w:t>فالفرق بين هذه النظريّ</w:t>
      </w:r>
      <w:r w:rsidR="00EF6888">
        <w:rPr>
          <w:rFonts w:hint="cs"/>
          <w:rtl/>
        </w:rPr>
        <w:t>ة</w:t>
      </w:r>
      <w:r>
        <w:rPr>
          <w:rFonts w:hint="cs"/>
          <w:rtl/>
        </w:rPr>
        <w:t xml:space="preserve"> والنظريّ</w:t>
      </w:r>
      <w:r w:rsidR="00EF6888">
        <w:rPr>
          <w:rFonts w:hint="cs"/>
          <w:rtl/>
        </w:rPr>
        <w:t>ة</w:t>
      </w:r>
      <w:r>
        <w:rPr>
          <w:rFonts w:hint="cs"/>
          <w:rtl/>
        </w:rPr>
        <w:t xml:space="preserve"> السياسيّة </w:t>
      </w:r>
      <w:r w:rsidR="003108DC">
        <w:rPr>
          <w:rFonts w:hint="cs"/>
          <w:rtl/>
        </w:rPr>
        <w:t xml:space="preserve">كاملة الأوصاف (النظريّة الثالثة) </w:t>
      </w:r>
      <w:r>
        <w:rPr>
          <w:rFonts w:hint="cs"/>
          <w:rtl/>
        </w:rPr>
        <w:t>أنّ النظري</w:t>
      </w:r>
      <w:r w:rsidR="00EF6888">
        <w:rPr>
          <w:rFonts w:hint="cs"/>
          <w:rtl/>
        </w:rPr>
        <w:t>ّ</w:t>
      </w:r>
      <w:r>
        <w:rPr>
          <w:rFonts w:hint="cs"/>
          <w:rtl/>
        </w:rPr>
        <w:t>ة السياسيّ</w:t>
      </w:r>
      <w:r w:rsidR="00EF6888">
        <w:rPr>
          <w:rFonts w:hint="cs"/>
          <w:rtl/>
        </w:rPr>
        <w:t>ة</w:t>
      </w:r>
      <w:r>
        <w:rPr>
          <w:rFonts w:hint="cs"/>
          <w:rtl/>
        </w:rPr>
        <w:t xml:space="preserve"> تحاول اعتبار خروج الحسين مشروعاً تغيير</w:t>
      </w:r>
      <w:r w:rsidR="00EF6888">
        <w:rPr>
          <w:rFonts w:hint="cs"/>
          <w:rtl/>
        </w:rPr>
        <w:t>يّ</w:t>
      </w:r>
      <w:r>
        <w:rPr>
          <w:rFonts w:hint="cs"/>
          <w:rtl/>
        </w:rPr>
        <w:t>اً في الحياة السياسية والاجتماعي</w:t>
      </w:r>
      <w:r w:rsidR="00EF6888">
        <w:rPr>
          <w:rFonts w:hint="cs"/>
          <w:rtl/>
        </w:rPr>
        <w:t>ّ</w:t>
      </w:r>
      <w:r>
        <w:rPr>
          <w:rFonts w:hint="cs"/>
          <w:rtl/>
        </w:rPr>
        <w:t>ة للمسلمين في عصره، بينما هذه النظريّ</w:t>
      </w:r>
      <w:r w:rsidR="00EF6888">
        <w:rPr>
          <w:rFonts w:hint="cs"/>
          <w:rtl/>
        </w:rPr>
        <w:t>ة</w:t>
      </w:r>
      <w:r>
        <w:rPr>
          <w:rFonts w:hint="cs"/>
          <w:rtl/>
        </w:rPr>
        <w:t xml:space="preserve"> تختزل الحركة الحسيني</w:t>
      </w:r>
      <w:r w:rsidR="00EF6888">
        <w:rPr>
          <w:rFonts w:hint="cs"/>
          <w:rtl/>
        </w:rPr>
        <w:t>ّ</w:t>
      </w:r>
      <w:r>
        <w:rPr>
          <w:rFonts w:hint="cs"/>
          <w:rtl/>
        </w:rPr>
        <w:t>ة في أنّها تعبير عن رفض البيعة</w:t>
      </w:r>
      <w:r w:rsidR="00EF6888">
        <w:rPr>
          <w:rFonts w:hint="cs"/>
          <w:rtl/>
        </w:rPr>
        <w:t>،</w:t>
      </w:r>
      <w:r>
        <w:rPr>
          <w:rFonts w:hint="cs"/>
          <w:rtl/>
        </w:rPr>
        <w:t xml:space="preserve"> وأنّ</w:t>
      </w:r>
      <w:r w:rsidR="00EF6888">
        <w:rPr>
          <w:rFonts w:hint="cs"/>
          <w:rtl/>
        </w:rPr>
        <w:t xml:space="preserve">ها لما لم يكن </w:t>
      </w:r>
      <w:r w:rsidR="00EF6888">
        <w:rPr>
          <w:rFonts w:hint="cs"/>
          <w:rtl/>
        </w:rPr>
        <w:lastRenderedPageBreak/>
        <w:t>أ</w:t>
      </w:r>
      <w:r>
        <w:rPr>
          <w:rFonts w:hint="cs"/>
          <w:rtl/>
        </w:rPr>
        <w:t>مامه من خيار إلا البيعة أو الموت قدّ</w:t>
      </w:r>
      <w:r w:rsidR="00EF6888">
        <w:rPr>
          <w:rFonts w:hint="cs"/>
          <w:rtl/>
        </w:rPr>
        <w:t>م</w:t>
      </w:r>
      <w:r>
        <w:rPr>
          <w:rFonts w:hint="cs"/>
          <w:rtl/>
        </w:rPr>
        <w:t xml:space="preserve"> الموت على بيعة يزيد، فالجانب السياسي من هذه النظري</w:t>
      </w:r>
      <w:r w:rsidR="00EF6888">
        <w:rPr>
          <w:rFonts w:hint="cs"/>
          <w:rtl/>
        </w:rPr>
        <w:t>ّ</w:t>
      </w:r>
      <w:r>
        <w:rPr>
          <w:rFonts w:hint="cs"/>
          <w:rtl/>
        </w:rPr>
        <w:t>ة هو الا</w:t>
      </w:r>
      <w:r w:rsidR="00EF6888">
        <w:rPr>
          <w:rFonts w:hint="cs"/>
          <w:rtl/>
        </w:rPr>
        <w:t xml:space="preserve">متناع </w:t>
      </w:r>
      <w:r>
        <w:rPr>
          <w:rFonts w:hint="cs"/>
          <w:rtl/>
        </w:rPr>
        <w:t xml:space="preserve">عن بيعة </w:t>
      </w:r>
      <w:r w:rsidR="00EF6888">
        <w:rPr>
          <w:rFonts w:hint="cs"/>
          <w:rtl/>
        </w:rPr>
        <w:t>ي</w:t>
      </w:r>
      <w:r>
        <w:rPr>
          <w:rFonts w:hint="cs"/>
          <w:rtl/>
        </w:rPr>
        <w:t>زيد امتناعاً مفضياً للموت والشهادة، وهذا يتضمّ</w:t>
      </w:r>
      <w:r w:rsidR="00EF6888">
        <w:rPr>
          <w:rFonts w:hint="cs"/>
          <w:rtl/>
        </w:rPr>
        <w:t>ن</w:t>
      </w:r>
      <w:r>
        <w:rPr>
          <w:rFonts w:hint="cs"/>
          <w:rtl/>
        </w:rPr>
        <w:t xml:space="preserve"> رسالة خاصّة</w:t>
      </w:r>
      <w:r w:rsidR="00EF6888">
        <w:rPr>
          <w:rFonts w:hint="cs"/>
          <w:rtl/>
        </w:rPr>
        <w:t xml:space="preserve"> ذات بعد ديني وسياسي واجتماعي</w:t>
      </w:r>
      <w:r>
        <w:rPr>
          <w:rFonts w:hint="cs"/>
          <w:rtl/>
        </w:rPr>
        <w:t xml:space="preserve">، دون وجود مشروع تصحيحي </w:t>
      </w:r>
      <w:r w:rsidR="00EF6888">
        <w:rPr>
          <w:rFonts w:hint="cs"/>
          <w:rtl/>
        </w:rPr>
        <w:t>أ</w:t>
      </w:r>
      <w:r>
        <w:rPr>
          <w:rFonts w:hint="cs"/>
          <w:rtl/>
        </w:rPr>
        <w:t>بعد من ذلك.</w:t>
      </w:r>
      <w:r w:rsidR="00EF6888">
        <w:rPr>
          <w:rFonts w:hint="cs"/>
          <w:rtl/>
        </w:rPr>
        <w:t xml:space="preserve"> وبهذا يتضح الفرق بين هذه النظريّة والنظريّة الأولى.</w:t>
      </w:r>
    </w:p>
    <w:p w14:paraId="28F661D6" w14:textId="77777777" w:rsidR="003108DC" w:rsidRPr="00E4028C" w:rsidRDefault="003108DC" w:rsidP="003108DC">
      <w:pPr>
        <w:pStyle w:val="Space2"/>
        <w:rPr>
          <w:rtl/>
        </w:rPr>
      </w:pPr>
      <w:r>
        <w:rPr>
          <w:rFonts w:hint="cs"/>
          <w:rtl/>
        </w:rPr>
        <w:t>ويمكننا اعتبار النظريّة الثانية والثالثة والرابعة معارضةً للنظريّة الأولى هنا، وتحمل جميعها منطقاً ثوريّاً على درجات واختلافات فيما بينها في ذلك.</w:t>
      </w:r>
    </w:p>
    <w:p w14:paraId="0F14261D" w14:textId="77777777" w:rsidR="00DD6401" w:rsidRPr="00E4028C" w:rsidRDefault="00DD6401" w:rsidP="00F218B2">
      <w:pPr>
        <w:rPr>
          <w:rtl/>
        </w:rPr>
      </w:pPr>
      <w:r w:rsidRPr="00F218B2">
        <w:rPr>
          <w:rFonts w:hint="cs"/>
          <w:b/>
          <w:bCs/>
          <w:rtl/>
        </w:rPr>
        <w:t>ويبدو من بعض الباحثين الكبار هنا أنّهم يرون صواب هذه النظرية ولو في المرحلة الأولى، أي مرحلة الخروج من المدينة إلى حين وصول الكتب وتواتر الرسائل الى الإمام الحسين وهو في مكة، ويظهر هذا الرأي من هبة الدين الحسيني الشهرستاني</w:t>
      </w:r>
      <w:r w:rsidRPr="00F218B2">
        <w:rPr>
          <w:rFonts w:cs="Taher"/>
          <w:b/>
          <w:bCs/>
          <w:vertAlign w:val="superscript"/>
          <w:rtl/>
        </w:rPr>
        <w:t>(</w:t>
      </w:r>
      <w:r w:rsidRPr="00F218B2">
        <w:rPr>
          <w:rFonts w:cs="Taher"/>
          <w:b/>
          <w:bCs/>
          <w:vertAlign w:val="superscript"/>
          <w:rtl/>
        </w:rPr>
        <w:footnoteReference w:id="209"/>
      </w:r>
      <w:r w:rsidRPr="00F218B2">
        <w:rPr>
          <w:rFonts w:cs="Taher"/>
          <w:b/>
          <w:bCs/>
          <w:vertAlign w:val="superscript"/>
          <w:rtl/>
        </w:rPr>
        <w:t>)</w:t>
      </w:r>
      <w:r w:rsidR="00F218B2" w:rsidRPr="00F218B2">
        <w:rPr>
          <w:rFonts w:hint="cs"/>
          <w:b/>
          <w:bCs/>
          <w:rtl/>
        </w:rPr>
        <w:t>،</w:t>
      </w:r>
      <w:r w:rsidR="00F218B2">
        <w:rPr>
          <w:rFonts w:hint="cs"/>
          <w:rtl/>
        </w:rPr>
        <w:t xml:space="preserve"> </w:t>
      </w:r>
      <w:r w:rsidRPr="00E4028C">
        <w:rPr>
          <w:rFonts w:hint="cs"/>
          <w:rtl/>
        </w:rPr>
        <w:t>وسيأتي ما يتعلّق برأي الشي</w:t>
      </w:r>
      <w:r w:rsidR="00F218B2">
        <w:rPr>
          <w:rFonts w:hint="cs"/>
          <w:rtl/>
        </w:rPr>
        <w:t>خ</w:t>
      </w:r>
      <w:r w:rsidRPr="00E4028C">
        <w:rPr>
          <w:rFonts w:hint="cs"/>
          <w:rtl/>
        </w:rPr>
        <w:t xml:space="preserve"> مطهري، إن شاء الله تعالى.</w:t>
      </w:r>
    </w:p>
    <w:p w14:paraId="1306D212" w14:textId="77777777" w:rsidR="00DD6401" w:rsidRPr="00236AA7" w:rsidRDefault="009125AB" w:rsidP="0096148C">
      <w:pPr>
        <w:pStyle w:val="Heading3"/>
        <w:rPr>
          <w:rtl/>
        </w:rPr>
      </w:pPr>
      <w:bookmarkStart w:id="113" w:name="_Toc307009617"/>
      <w:bookmarkStart w:id="114" w:name="_Toc143804143"/>
      <w:bookmarkStart w:id="115" w:name="_Toc238123268"/>
      <w:r>
        <w:rPr>
          <w:rFonts w:hint="cs"/>
          <w:rtl/>
        </w:rPr>
        <w:t xml:space="preserve">أوّلاً: </w:t>
      </w:r>
      <w:r w:rsidR="00DD6401" w:rsidRPr="00236AA7">
        <w:rPr>
          <w:rFonts w:hint="cs"/>
          <w:rtl/>
        </w:rPr>
        <w:t>نظرية المواجهة المفروضة، الشواهد والمستندات</w:t>
      </w:r>
      <w:bookmarkEnd w:id="113"/>
      <w:bookmarkEnd w:id="114"/>
      <w:bookmarkEnd w:id="115"/>
    </w:p>
    <w:p w14:paraId="07B5C479" w14:textId="77777777" w:rsidR="00DD6401" w:rsidRPr="00F218B2" w:rsidRDefault="00DD6401" w:rsidP="00DD6401">
      <w:pPr>
        <w:rPr>
          <w:b/>
          <w:bCs/>
          <w:rtl/>
        </w:rPr>
      </w:pPr>
      <w:r w:rsidRPr="00F218B2">
        <w:rPr>
          <w:rFonts w:hint="cs"/>
          <w:b/>
          <w:bCs/>
          <w:rtl/>
        </w:rPr>
        <w:t>وقد نعزّز هذه النظري</w:t>
      </w:r>
      <w:r w:rsidR="00F218B2">
        <w:rPr>
          <w:rFonts w:hint="cs"/>
          <w:b/>
          <w:bCs/>
          <w:rtl/>
        </w:rPr>
        <w:t>ّ</w:t>
      </w:r>
      <w:r w:rsidRPr="00F218B2">
        <w:rPr>
          <w:rFonts w:hint="cs"/>
          <w:b/>
          <w:bCs/>
          <w:rtl/>
        </w:rPr>
        <w:t>ة بجملة شواهد، أبرزها:</w:t>
      </w:r>
    </w:p>
    <w:p w14:paraId="633F17D1" w14:textId="77777777" w:rsidR="00DD6401" w:rsidRPr="00E4028C" w:rsidRDefault="00DD6401" w:rsidP="009B7F51">
      <w:pPr>
        <w:rPr>
          <w:rtl/>
        </w:rPr>
      </w:pPr>
      <w:r w:rsidRPr="00F218B2">
        <w:rPr>
          <w:rFonts w:hint="cs"/>
          <w:b/>
          <w:bCs/>
          <w:rtl/>
        </w:rPr>
        <w:t xml:space="preserve">1 ـ </w:t>
      </w:r>
      <w:r w:rsidRPr="00E4028C">
        <w:rPr>
          <w:rFonts w:hint="cs"/>
          <w:rtl/>
        </w:rPr>
        <w:t>لما خرج الحسين من المدينة لم تكن قد وصلته أيّ رسائل، وما قيل عن وصول رسائل إليه من مكّة غير دقيق ولا حتى واضح، لا</w:t>
      </w:r>
      <w:r w:rsidR="00F218B2">
        <w:rPr>
          <w:rFonts w:hint="cs"/>
          <w:rtl/>
        </w:rPr>
        <w:t xml:space="preserve"> </w:t>
      </w:r>
      <w:r w:rsidRPr="00E4028C">
        <w:rPr>
          <w:rFonts w:hint="cs"/>
          <w:rtl/>
        </w:rPr>
        <w:t>سيما بعدما سيأتي من أنّه لم يدم وجوده في المدينة أكثر من ثلاث ليالٍ عقب وصول خبر وفاة معاوية إلى بلاد الحجاز</w:t>
      </w:r>
      <w:r w:rsidRPr="00763E4E">
        <w:rPr>
          <w:rFonts w:cs="Taher"/>
          <w:vertAlign w:val="superscript"/>
          <w:rtl/>
        </w:rPr>
        <w:t>(</w:t>
      </w:r>
      <w:r w:rsidRPr="00763E4E">
        <w:rPr>
          <w:rFonts w:cs="Taher"/>
          <w:vertAlign w:val="superscript"/>
          <w:rtl/>
        </w:rPr>
        <w:footnoteReference w:id="210"/>
      </w:r>
      <w:r w:rsidRPr="00763E4E">
        <w:rPr>
          <w:rFonts w:cs="Taher"/>
          <w:vertAlign w:val="superscript"/>
          <w:rtl/>
        </w:rPr>
        <w:t>)</w:t>
      </w:r>
      <w:r w:rsidRPr="00E4028C">
        <w:rPr>
          <w:rFonts w:hint="cs"/>
          <w:rtl/>
        </w:rPr>
        <w:t>؛ فلا مؤشر في المدينة على حركة نحو منطقة يعتزم إجراء ثورة فيها.</w:t>
      </w:r>
    </w:p>
    <w:p w14:paraId="0681A02B" w14:textId="5EEE1561" w:rsidR="00DD6401" w:rsidRPr="00E4028C" w:rsidRDefault="00DD6401" w:rsidP="009B7F51">
      <w:pPr>
        <w:pStyle w:val="normal870"/>
        <w:rPr>
          <w:rtl/>
        </w:rPr>
      </w:pPr>
      <w:r w:rsidRPr="00E4028C">
        <w:rPr>
          <w:rFonts w:hint="cs"/>
          <w:rtl/>
        </w:rPr>
        <w:t>أمّا مكّة، فثمّة نصوص تتحدّث عن أنّ الإمام الحسين كان يريد الخروج من مكّة حمايةً لحرمة هذه المدينة؛ لأنّه بلغه أنّ يزيد بن معاوية أ</w:t>
      </w:r>
      <w:r w:rsidR="00F218B2">
        <w:rPr>
          <w:rFonts w:hint="cs"/>
          <w:rtl/>
        </w:rPr>
        <w:t>رسل من يغتاله ولو فيها، ولم يحب</w:t>
      </w:r>
      <w:r w:rsidRPr="00E4028C">
        <w:rPr>
          <w:rFonts w:hint="cs"/>
          <w:rtl/>
        </w:rPr>
        <w:t xml:space="preserve"> الإمام أن يكون سبباً في هتك حرمة الحرم؛ لهذا كان مضطراً للخروج ناحية منطقة أخرى؛ ففي حواره مع أخيه محمد بن الحنفية يصرّح الإمام بخوفه من أن يغتاله يزيد في الحرم، فيكون ممّن تستباح به حرمة </w:t>
      </w:r>
      <w:r w:rsidRPr="00E4028C">
        <w:rPr>
          <w:rFonts w:hint="cs"/>
          <w:rtl/>
        </w:rPr>
        <w:lastRenderedPageBreak/>
        <w:t>البيت، وفي حواره مع عبد الله بن الزبير ـ أو ابن عباس ـ يذكر شيئاً من ذلك أيضاً</w:t>
      </w:r>
      <w:r w:rsidRPr="00763E4E">
        <w:rPr>
          <w:rFonts w:cs="Taher"/>
          <w:vertAlign w:val="superscript"/>
          <w:rtl/>
        </w:rPr>
        <w:t>(</w:t>
      </w:r>
      <w:r w:rsidRPr="00763E4E">
        <w:rPr>
          <w:rFonts w:cs="Taher"/>
          <w:vertAlign w:val="superscript"/>
          <w:rtl/>
        </w:rPr>
        <w:footnoteReference w:id="211"/>
      </w:r>
      <w:r w:rsidRPr="00763E4E">
        <w:rPr>
          <w:rFonts w:cs="Taher"/>
          <w:vertAlign w:val="superscript"/>
          <w:rtl/>
        </w:rPr>
        <w:t>)</w:t>
      </w:r>
      <w:r w:rsidRPr="00E4028C">
        <w:rPr>
          <w:rFonts w:hint="cs"/>
          <w:rtl/>
        </w:rPr>
        <w:t xml:space="preserve">؛ وقد نسب العلامة المجلسي إلى ما وصفه: </w:t>
      </w:r>
      <w:r w:rsidR="00D537A9" w:rsidRPr="00822CE9">
        <w:rPr>
          <w:rFonts w:hint="cs"/>
          <w:rtl/>
        </w:rPr>
        <w:t>«</w:t>
      </w:r>
      <w:r w:rsidRPr="00E4028C">
        <w:rPr>
          <w:rFonts w:hint="cs"/>
          <w:rtl/>
        </w:rPr>
        <w:t>بعض الكتب المعتبرة</w:t>
      </w:r>
      <w:r w:rsidR="00D537A9" w:rsidRPr="00822CE9">
        <w:rPr>
          <w:rFonts w:hint="cs"/>
          <w:rtl/>
        </w:rPr>
        <w:t>»</w:t>
      </w:r>
      <w:r w:rsidRPr="00E4028C">
        <w:rPr>
          <w:rFonts w:hint="cs"/>
          <w:rtl/>
        </w:rPr>
        <w:t xml:space="preserve"> أنّ يزيد بن معاوية أنفذ عمرو بن سعد بن العاص في عسكر عظيم وأمّره على الحاجّ، وأوصاه بقتل الحسين، وأنّه دسّ بين الحجيج ثلاثين رجلاً لفعل ذلك؛ فلما علم الحسين بالأمر حلّ من إحرامه وجعلها عمرة مفردة</w:t>
      </w:r>
      <w:r w:rsidRPr="00763E4E">
        <w:rPr>
          <w:rFonts w:cs="Taher"/>
          <w:vertAlign w:val="superscript"/>
          <w:rtl/>
        </w:rPr>
        <w:t>(</w:t>
      </w:r>
      <w:r w:rsidRPr="00763E4E">
        <w:rPr>
          <w:rFonts w:cs="Taher"/>
          <w:vertAlign w:val="superscript"/>
          <w:rtl/>
        </w:rPr>
        <w:footnoteReference w:id="212"/>
      </w:r>
      <w:r w:rsidRPr="00763E4E">
        <w:rPr>
          <w:rFonts w:cs="Taher"/>
          <w:vertAlign w:val="superscript"/>
          <w:rtl/>
        </w:rPr>
        <w:t>)</w:t>
      </w:r>
      <w:r w:rsidRPr="00E4028C">
        <w:rPr>
          <w:rFonts w:hint="cs"/>
          <w:rtl/>
        </w:rPr>
        <w:t>؛ وهذا معناه أنّ الخروج كان اضطراريّاً؛ لا لمشروع يستقبله في العراق.</w:t>
      </w:r>
    </w:p>
    <w:p w14:paraId="35EA5309" w14:textId="3A5798C1" w:rsidR="00DD6401" w:rsidRPr="00E4028C" w:rsidRDefault="00DD6401" w:rsidP="009B7F51">
      <w:pPr>
        <w:pStyle w:val="normal84"/>
        <w:rPr>
          <w:rtl/>
        </w:rPr>
      </w:pPr>
      <w:r w:rsidRPr="0015484F">
        <w:rPr>
          <w:rFonts w:hint="cs"/>
          <w:b/>
          <w:bCs/>
          <w:rtl/>
        </w:rPr>
        <w:t xml:space="preserve">2 ـ </w:t>
      </w:r>
      <w:r w:rsidRPr="00E4028C">
        <w:rPr>
          <w:rFonts w:hint="cs"/>
          <w:rtl/>
        </w:rPr>
        <w:t xml:space="preserve">ما ورد عن الإمام الحسين في حواره مع ـ ابن الحنفية أو ابن عباس أو عبد الله بن جعفر الطيار ـ من قوله: </w:t>
      </w:r>
      <w:r w:rsidR="00D537A9" w:rsidRPr="00822CE9">
        <w:rPr>
          <w:rFonts w:hint="cs"/>
          <w:rtl/>
        </w:rPr>
        <w:t>«</w:t>
      </w:r>
      <w:r w:rsidRPr="00E4028C">
        <w:rPr>
          <w:rFonts w:hint="cs"/>
          <w:rtl/>
        </w:rPr>
        <w:t>لو كنت في جحر هامة من هوام الأرض، لاستخرجوني حتى يقتلوني</w:t>
      </w:r>
      <w:r w:rsidR="00D537A9" w:rsidRPr="00822CE9">
        <w:rPr>
          <w:rFonts w:hint="cs"/>
          <w:rtl/>
        </w:rPr>
        <w:t>»</w:t>
      </w:r>
      <w:r w:rsidR="00D537A9" w:rsidRPr="00763E4E">
        <w:rPr>
          <w:rFonts w:cs="Taher"/>
          <w:vertAlign w:val="superscript"/>
          <w:rtl/>
        </w:rPr>
        <w:t xml:space="preserve"> </w:t>
      </w:r>
      <w:r w:rsidRPr="00763E4E">
        <w:rPr>
          <w:rFonts w:cs="Taher"/>
          <w:vertAlign w:val="superscript"/>
          <w:rtl/>
        </w:rPr>
        <w:t>(</w:t>
      </w:r>
      <w:r w:rsidRPr="00763E4E">
        <w:rPr>
          <w:rFonts w:cs="Taher"/>
          <w:vertAlign w:val="superscript"/>
          <w:rtl/>
        </w:rPr>
        <w:footnoteReference w:id="213"/>
      </w:r>
      <w:r w:rsidRPr="00763E4E">
        <w:rPr>
          <w:rFonts w:cs="Taher"/>
          <w:vertAlign w:val="superscript"/>
          <w:rtl/>
        </w:rPr>
        <w:t>)</w:t>
      </w:r>
      <w:r w:rsidRPr="00E4028C">
        <w:rPr>
          <w:rFonts w:hint="cs"/>
          <w:rtl/>
        </w:rPr>
        <w:t xml:space="preserve">؛ فهذا النصّ واضح في أنّه يعلم بخطّتهم وأنّه لا مجال أمامه ـ إذا لم يرد البيعة ـ سوى الخروج من مكة والمدينة، وليس من مكان أفضل من العراق. ومثله قوله×: </w:t>
      </w:r>
      <w:r w:rsidR="00D537A9" w:rsidRPr="00822CE9">
        <w:rPr>
          <w:rFonts w:hint="cs"/>
          <w:rtl/>
        </w:rPr>
        <w:t>«</w:t>
      </w:r>
      <w:r w:rsidRPr="00E4028C">
        <w:rPr>
          <w:rFonts w:hint="cs"/>
          <w:rtl/>
        </w:rPr>
        <w:t>والله لا يدعوني حتى يستخرجوا هذه العلقة من جوفي</w:t>
      </w:r>
      <w:r w:rsidR="00D537A9" w:rsidRPr="00822CE9">
        <w:rPr>
          <w:rFonts w:hint="cs"/>
          <w:rtl/>
        </w:rPr>
        <w:t>»</w:t>
      </w:r>
      <w:r w:rsidR="00D537A9" w:rsidRPr="00763E4E">
        <w:rPr>
          <w:rFonts w:cs="Taher"/>
          <w:vertAlign w:val="superscript"/>
          <w:rtl/>
        </w:rPr>
        <w:t xml:space="preserve"> </w:t>
      </w:r>
      <w:r w:rsidRPr="00763E4E">
        <w:rPr>
          <w:rFonts w:cs="Taher"/>
          <w:vertAlign w:val="superscript"/>
          <w:rtl/>
        </w:rPr>
        <w:t>(</w:t>
      </w:r>
      <w:r w:rsidRPr="00763E4E">
        <w:rPr>
          <w:rFonts w:cs="Taher"/>
          <w:vertAlign w:val="superscript"/>
          <w:rtl/>
        </w:rPr>
        <w:footnoteReference w:id="214"/>
      </w:r>
      <w:r w:rsidRPr="00763E4E">
        <w:rPr>
          <w:rFonts w:cs="Taher"/>
          <w:vertAlign w:val="superscript"/>
          <w:rtl/>
        </w:rPr>
        <w:t>)</w:t>
      </w:r>
      <w:r w:rsidRPr="00E4028C">
        <w:rPr>
          <w:rFonts w:hint="cs"/>
          <w:rtl/>
        </w:rPr>
        <w:t>.</w:t>
      </w:r>
    </w:p>
    <w:p w14:paraId="798049B2" w14:textId="77777777" w:rsidR="00DD6401" w:rsidRPr="00E4028C" w:rsidRDefault="00DD6401" w:rsidP="009B7F51">
      <w:pPr>
        <w:pStyle w:val="normal84"/>
        <w:rPr>
          <w:rtl/>
        </w:rPr>
      </w:pPr>
      <w:r w:rsidRPr="0048039B">
        <w:rPr>
          <w:rFonts w:hint="cs"/>
          <w:b/>
          <w:bCs/>
          <w:rtl/>
        </w:rPr>
        <w:t xml:space="preserve">3 ـ </w:t>
      </w:r>
      <w:r w:rsidRPr="00E4028C">
        <w:rPr>
          <w:rFonts w:hint="cs"/>
          <w:rtl/>
        </w:rPr>
        <w:t>إنّ الإمام الحسين لم يقبل بأمانهم ووعودهم</w:t>
      </w:r>
      <w:r w:rsidR="0048039B">
        <w:rPr>
          <w:rFonts w:hint="cs"/>
          <w:rtl/>
        </w:rPr>
        <w:t>؛</w:t>
      </w:r>
      <w:r w:rsidRPr="00E4028C">
        <w:rPr>
          <w:rFonts w:hint="cs"/>
          <w:rtl/>
        </w:rPr>
        <w:t xml:space="preserve"> لعلمه بغدرهم، يشهد لذلك قتلهم لمسلم بن عقيل بعد إعطائه الأمان، وقول مروان لوالي المدينة بأخذ البيعة من الحسين ثم يرون فيه رأيهم، وهذا معناه أنّهم يريدون ـ بعد أخذ البيعة منه ـ أن يغدروا به</w:t>
      </w:r>
      <w:r w:rsidRPr="00763E4E">
        <w:rPr>
          <w:rFonts w:cs="Taher"/>
          <w:vertAlign w:val="superscript"/>
          <w:rtl/>
        </w:rPr>
        <w:t>(</w:t>
      </w:r>
      <w:r w:rsidRPr="00763E4E">
        <w:rPr>
          <w:rFonts w:cs="Taher"/>
          <w:vertAlign w:val="superscript"/>
          <w:rtl/>
        </w:rPr>
        <w:footnoteReference w:id="215"/>
      </w:r>
      <w:r w:rsidRPr="00763E4E">
        <w:rPr>
          <w:rFonts w:cs="Taher"/>
          <w:vertAlign w:val="superscript"/>
          <w:rtl/>
        </w:rPr>
        <w:t>)</w:t>
      </w:r>
      <w:r w:rsidRPr="00E4028C">
        <w:rPr>
          <w:rFonts w:hint="cs"/>
          <w:rtl/>
        </w:rPr>
        <w:t xml:space="preserve">، فهو ـ على حدّ تعبير </w:t>
      </w:r>
      <w:r w:rsidRPr="00E4028C">
        <w:rPr>
          <w:rFonts w:hint="cs"/>
          <w:rtl/>
        </w:rPr>
        <w:lastRenderedPageBreak/>
        <w:t>الشهرستاني ـ مقتول بايع أم لم يبايع</w:t>
      </w:r>
      <w:r w:rsidRPr="00763E4E">
        <w:rPr>
          <w:rFonts w:cs="Taher"/>
          <w:vertAlign w:val="superscript"/>
          <w:rtl/>
        </w:rPr>
        <w:t>(</w:t>
      </w:r>
      <w:r w:rsidRPr="00763E4E">
        <w:rPr>
          <w:rFonts w:cs="Taher"/>
          <w:vertAlign w:val="superscript"/>
          <w:rtl/>
        </w:rPr>
        <w:footnoteReference w:id="216"/>
      </w:r>
      <w:r w:rsidRPr="00763E4E">
        <w:rPr>
          <w:rFonts w:cs="Taher"/>
          <w:vertAlign w:val="superscript"/>
          <w:rtl/>
        </w:rPr>
        <w:t>)</w:t>
      </w:r>
      <w:r w:rsidRPr="00E4028C">
        <w:rPr>
          <w:rFonts w:hint="cs"/>
          <w:rtl/>
        </w:rPr>
        <w:t>.</w:t>
      </w:r>
    </w:p>
    <w:p w14:paraId="4998322A" w14:textId="6DFFE7D2" w:rsidR="00DD6401" w:rsidRPr="00E4028C" w:rsidRDefault="00DD6401" w:rsidP="009B7F51">
      <w:pPr>
        <w:pStyle w:val="normal870"/>
        <w:rPr>
          <w:rtl/>
        </w:rPr>
      </w:pPr>
      <w:r w:rsidRPr="0048039B">
        <w:rPr>
          <w:rFonts w:hint="cs"/>
          <w:b/>
          <w:bCs/>
          <w:rtl/>
        </w:rPr>
        <w:t xml:space="preserve">4 ـ </w:t>
      </w:r>
      <w:r w:rsidRPr="00E4028C">
        <w:rPr>
          <w:rFonts w:hint="cs"/>
          <w:rtl/>
        </w:rPr>
        <w:t xml:space="preserve">ما جاء في كتاب يزيد بن معاوية إلى الوليد بن عتبة والي المدينة، من أخذ البيعة من أهل المدينة: </w:t>
      </w:r>
      <w:r w:rsidR="00D537A9" w:rsidRPr="00822CE9">
        <w:rPr>
          <w:rFonts w:hint="cs"/>
          <w:rtl/>
        </w:rPr>
        <w:t>«</w:t>
      </w:r>
      <w:r w:rsidRPr="00E4028C">
        <w:rPr>
          <w:rFonts w:hint="cs"/>
          <w:rtl/>
        </w:rPr>
        <w:t>.. وليكن مع جوابك إليّ رأس الحسين بن علي..</w:t>
      </w:r>
      <w:r w:rsidR="00D537A9" w:rsidRPr="00D537A9">
        <w:rPr>
          <w:rFonts w:hint="cs"/>
          <w:rtl/>
        </w:rPr>
        <w:t xml:space="preserve"> </w:t>
      </w:r>
      <w:r w:rsidR="00D537A9" w:rsidRPr="00822CE9">
        <w:rPr>
          <w:rFonts w:hint="cs"/>
          <w:rtl/>
        </w:rPr>
        <w:t>»</w:t>
      </w:r>
      <w:r w:rsidRPr="00E4028C">
        <w:rPr>
          <w:rFonts w:hint="cs"/>
          <w:rtl/>
        </w:rPr>
        <w:t>، وأنّ الوليد استثقل ذلك جداً، وطلب الحسين ليأتيه، فخرج الحسين من ليلته تلك نحو مك</w:t>
      </w:r>
      <w:r w:rsidR="003E66FB">
        <w:rPr>
          <w:rFonts w:hint="cs"/>
          <w:rtl/>
        </w:rPr>
        <w:t>ّ</w:t>
      </w:r>
      <w:r w:rsidRPr="00E4028C">
        <w:rPr>
          <w:rFonts w:hint="cs"/>
          <w:rtl/>
        </w:rPr>
        <w:t xml:space="preserve">ة وهو يقول: </w:t>
      </w:r>
      <w:r w:rsidR="00D537A9" w:rsidRPr="00822CE9">
        <w:rPr>
          <w:rFonts w:hint="cs"/>
          <w:rtl/>
        </w:rPr>
        <w:t>«</w:t>
      </w:r>
      <w:r w:rsidRPr="00E4028C">
        <w:rPr>
          <w:rFonts w:hint="cs"/>
          <w:rtl/>
        </w:rPr>
        <w:t>فخرج منها خائفاً يترقب قال رب نجني من القوم الظالمين</w:t>
      </w:r>
      <w:r w:rsidR="00D537A9" w:rsidRPr="00822CE9">
        <w:rPr>
          <w:rFonts w:hint="cs"/>
          <w:rtl/>
        </w:rPr>
        <w:t>»</w:t>
      </w:r>
      <w:r w:rsidRPr="00E4028C">
        <w:rPr>
          <w:rFonts w:hint="cs"/>
          <w:rtl/>
        </w:rPr>
        <w:t>، وقصّة استدعاء الإمام الحسين إلى والي المدينة فيها الكثير من الإشارات للرغبة في قتله على تقدير عدم البيعة</w:t>
      </w:r>
      <w:r w:rsidRPr="00763E4E">
        <w:rPr>
          <w:rFonts w:cs="Taher"/>
          <w:vertAlign w:val="superscript"/>
          <w:rtl/>
        </w:rPr>
        <w:t>(</w:t>
      </w:r>
      <w:r w:rsidRPr="00763E4E">
        <w:rPr>
          <w:rFonts w:cs="Taher"/>
          <w:vertAlign w:val="superscript"/>
          <w:rtl/>
        </w:rPr>
        <w:footnoteReference w:id="217"/>
      </w:r>
      <w:r w:rsidRPr="00763E4E">
        <w:rPr>
          <w:rFonts w:cs="Taher"/>
          <w:vertAlign w:val="superscript"/>
          <w:rtl/>
        </w:rPr>
        <w:t>)</w:t>
      </w:r>
      <w:r w:rsidRPr="00E4028C">
        <w:rPr>
          <w:rFonts w:hint="cs"/>
          <w:rtl/>
        </w:rPr>
        <w:t>؛ وربما لهذا ورد في المصادر التاريخية أنّه× لما است</w:t>
      </w:r>
      <w:r w:rsidR="003E66FB">
        <w:rPr>
          <w:rFonts w:hint="cs"/>
          <w:rtl/>
        </w:rPr>
        <w:t>ُ</w:t>
      </w:r>
      <w:r w:rsidRPr="00E4028C">
        <w:rPr>
          <w:rFonts w:hint="cs"/>
          <w:rtl/>
        </w:rPr>
        <w:t>دعي إلى الوليد ـ والي المدينة ـ طلب من أهل بيته وعشيرته أن يقفوا بالباب، وأن إذا سمعوا صوته دخلوا لمنع من يريد قتله أو المساس به</w:t>
      </w:r>
      <w:r w:rsidRPr="00763E4E">
        <w:rPr>
          <w:rFonts w:cs="Taher"/>
          <w:vertAlign w:val="superscript"/>
          <w:rtl/>
        </w:rPr>
        <w:t>(</w:t>
      </w:r>
      <w:r w:rsidRPr="00763E4E">
        <w:rPr>
          <w:rFonts w:cs="Taher"/>
          <w:vertAlign w:val="superscript"/>
          <w:rtl/>
        </w:rPr>
        <w:footnoteReference w:id="218"/>
      </w:r>
      <w:r w:rsidRPr="00763E4E">
        <w:rPr>
          <w:rFonts w:cs="Taher"/>
          <w:vertAlign w:val="superscript"/>
          <w:rtl/>
        </w:rPr>
        <w:t>)</w:t>
      </w:r>
      <w:r w:rsidRPr="00E4028C">
        <w:rPr>
          <w:rFonts w:hint="cs"/>
          <w:rtl/>
        </w:rPr>
        <w:t>، مما يدلّ على أنّه منذ اليوم الأوّل كان يتوقع أن يقدموا على خطوة من هذا النوع. فهذا كلّه يدلّ بوضوح على أنّه كان يوجد قرار بقتله، وأنّه كان يعلم بالأمر؛ لهذا كان خروجه من المدينة على عجلة وخوف وترقب فراراً من البيعة والموت؛ فالمصادر التاريخية تتحدّث عن أن خروجه كان بعد اجتماعه بالوليد بساعات في الليلة نفسها</w:t>
      </w:r>
      <w:r w:rsidRPr="00763E4E">
        <w:rPr>
          <w:rFonts w:cs="Taher"/>
          <w:vertAlign w:val="superscript"/>
          <w:rtl/>
        </w:rPr>
        <w:t>(</w:t>
      </w:r>
      <w:r w:rsidRPr="00763E4E">
        <w:rPr>
          <w:rFonts w:cs="Taher"/>
          <w:vertAlign w:val="superscript"/>
          <w:rtl/>
        </w:rPr>
        <w:footnoteReference w:id="219"/>
      </w:r>
      <w:r w:rsidRPr="00763E4E">
        <w:rPr>
          <w:rFonts w:cs="Taher"/>
          <w:vertAlign w:val="superscript"/>
          <w:rtl/>
        </w:rPr>
        <w:t>)</w:t>
      </w:r>
      <w:r w:rsidRPr="00E4028C">
        <w:rPr>
          <w:rFonts w:hint="cs"/>
          <w:rtl/>
        </w:rPr>
        <w:t>، وبعضها يقول: في غداة اليوم اللاحق</w:t>
      </w:r>
      <w:r w:rsidRPr="00763E4E">
        <w:rPr>
          <w:rFonts w:cs="Taher"/>
          <w:vertAlign w:val="superscript"/>
          <w:rtl/>
        </w:rPr>
        <w:t>(</w:t>
      </w:r>
      <w:r w:rsidRPr="00763E4E">
        <w:rPr>
          <w:rFonts w:cs="Taher"/>
          <w:vertAlign w:val="superscript"/>
          <w:rtl/>
        </w:rPr>
        <w:footnoteReference w:id="220"/>
      </w:r>
      <w:r w:rsidRPr="00763E4E">
        <w:rPr>
          <w:rFonts w:cs="Taher"/>
          <w:vertAlign w:val="superscript"/>
          <w:rtl/>
        </w:rPr>
        <w:t>)</w:t>
      </w:r>
      <w:r w:rsidRPr="00E4028C">
        <w:rPr>
          <w:rFonts w:hint="cs"/>
          <w:rtl/>
        </w:rPr>
        <w:t>، وبعضها في ليلة آتية، وبعضها بعد ليلتين..</w:t>
      </w:r>
      <w:r w:rsidRPr="00763E4E">
        <w:rPr>
          <w:rFonts w:cs="Taher"/>
          <w:vertAlign w:val="superscript"/>
          <w:rtl/>
        </w:rPr>
        <w:t>(</w:t>
      </w:r>
      <w:r w:rsidRPr="00763E4E">
        <w:rPr>
          <w:rFonts w:cs="Taher"/>
          <w:vertAlign w:val="superscript"/>
          <w:rtl/>
        </w:rPr>
        <w:footnoteReference w:id="221"/>
      </w:r>
      <w:r w:rsidRPr="00763E4E">
        <w:rPr>
          <w:rFonts w:cs="Taher"/>
          <w:vertAlign w:val="superscript"/>
          <w:rtl/>
        </w:rPr>
        <w:t>)</w:t>
      </w:r>
      <w:r w:rsidRPr="00E4028C">
        <w:rPr>
          <w:rFonts w:hint="cs"/>
          <w:rtl/>
        </w:rPr>
        <w:t>، ومهما يكن فهذه العجلة غير طبيعية أبداً لشخص يأمر عشيرته بالتهيؤ لهجرة شاملة؛ ويعزز فرضية حالة من الفرار من أمر ما، ورغبة في عدم المواجهة.</w:t>
      </w:r>
    </w:p>
    <w:p w14:paraId="6EC962E0" w14:textId="77777777" w:rsidR="00DD6401" w:rsidRPr="00E4028C" w:rsidRDefault="00DD6401" w:rsidP="009B7F51">
      <w:pPr>
        <w:pStyle w:val="normal870"/>
        <w:rPr>
          <w:rtl/>
        </w:rPr>
      </w:pPr>
      <w:r w:rsidRPr="0048039B">
        <w:rPr>
          <w:rFonts w:hint="cs"/>
          <w:rtl/>
        </w:rPr>
        <w:t>يضاف إلى ذلك ما ذكره السيد هاشم معروف الحسني (1403هـ) من أن</w:t>
      </w:r>
      <w:r w:rsidR="0048039B" w:rsidRPr="0048039B">
        <w:rPr>
          <w:rFonts w:hint="cs"/>
          <w:rtl/>
        </w:rPr>
        <w:t>ّ</w:t>
      </w:r>
      <w:r w:rsidRPr="0048039B">
        <w:rPr>
          <w:rFonts w:hint="cs"/>
          <w:rtl/>
        </w:rPr>
        <w:t xml:space="preserve"> مسلسل الإقالات والعزل، كان جارياً مع المتساهلين مع الحسين في مكّة والمدينة،</w:t>
      </w:r>
      <w:r w:rsidRPr="00E4028C">
        <w:rPr>
          <w:rFonts w:hint="cs"/>
          <w:rtl/>
        </w:rPr>
        <w:t xml:space="preserve"> لهذا عزل يحيى بن حكيم لتركه </w:t>
      </w:r>
      <w:r w:rsidRPr="00E4028C">
        <w:rPr>
          <w:rFonts w:hint="cs"/>
          <w:rtl/>
        </w:rPr>
        <w:lastRenderedPageBreak/>
        <w:t>الحسين وشأنه، ليستعمل بدلاً عنه على مكّة عمرو بن سعيد بن العاص، ثم عزل الوليد بن عتبة لاعتداله في موقفه من الحسين، وعدم استجابته لما قلناه أعلاه</w:t>
      </w:r>
      <w:r w:rsidRPr="00763E4E">
        <w:rPr>
          <w:rFonts w:cs="Taher"/>
          <w:vertAlign w:val="superscript"/>
          <w:rtl/>
        </w:rPr>
        <w:t>(</w:t>
      </w:r>
      <w:r w:rsidRPr="00763E4E">
        <w:rPr>
          <w:rFonts w:cs="Taher"/>
          <w:vertAlign w:val="superscript"/>
          <w:rtl/>
        </w:rPr>
        <w:footnoteReference w:id="222"/>
      </w:r>
      <w:r w:rsidRPr="00763E4E">
        <w:rPr>
          <w:rFonts w:cs="Taher"/>
          <w:vertAlign w:val="superscript"/>
          <w:rtl/>
        </w:rPr>
        <w:t>)</w:t>
      </w:r>
      <w:r w:rsidRPr="00E4028C">
        <w:rPr>
          <w:rFonts w:hint="cs"/>
          <w:rtl/>
        </w:rPr>
        <w:t>.</w:t>
      </w:r>
    </w:p>
    <w:p w14:paraId="3EE3219D" w14:textId="6E3D85CF" w:rsidR="00DD6401" w:rsidRPr="00E4028C" w:rsidRDefault="00DD6401" w:rsidP="009B7F51">
      <w:pPr>
        <w:rPr>
          <w:rtl/>
        </w:rPr>
      </w:pPr>
      <w:r w:rsidRPr="0048039B">
        <w:rPr>
          <w:rFonts w:hint="cs"/>
          <w:b/>
          <w:bCs/>
          <w:rtl/>
        </w:rPr>
        <w:t xml:space="preserve">5 ـ </w:t>
      </w:r>
      <w:r w:rsidRPr="00E4028C">
        <w:rPr>
          <w:rFonts w:hint="cs"/>
          <w:rtl/>
        </w:rPr>
        <w:t xml:space="preserve">ما جاء في رسالة عمر بن سعد لعبيد الله بن زياد عقب لقائه الحسين، حيث قال: </w:t>
      </w:r>
      <w:r w:rsidR="00D537A9" w:rsidRPr="00822CE9">
        <w:rPr>
          <w:rFonts w:hint="cs"/>
          <w:rtl/>
        </w:rPr>
        <w:t>«</w:t>
      </w:r>
      <w:r w:rsidRPr="00E4028C">
        <w:rPr>
          <w:rFonts w:hint="cs"/>
          <w:rtl/>
        </w:rPr>
        <w:t>هذا حسين قد أعطاني أن يرجع إلى المكان الذي أتى منه أو أن يسير إلى ثغر من ثغور المسلمين، له ما لهم وعليه ما عليهم، أو أن يأتي أمير المؤمنين يزيد فيضع يده في يده، فيرى فيما بينه وبينه رأيه..</w:t>
      </w:r>
      <w:r w:rsidR="00D537A9" w:rsidRPr="00D537A9">
        <w:rPr>
          <w:rFonts w:hint="cs"/>
          <w:rtl/>
        </w:rPr>
        <w:t xml:space="preserve"> </w:t>
      </w:r>
      <w:r w:rsidR="00D537A9" w:rsidRPr="00822CE9">
        <w:rPr>
          <w:rFonts w:hint="cs"/>
          <w:rtl/>
        </w:rPr>
        <w:t>»</w:t>
      </w:r>
      <w:r w:rsidRPr="00E4028C">
        <w:rPr>
          <w:rFonts w:hint="cs"/>
          <w:rtl/>
        </w:rPr>
        <w:t>، ولكن</w:t>
      </w:r>
      <w:r w:rsidR="0048039B">
        <w:rPr>
          <w:rFonts w:hint="cs"/>
          <w:rtl/>
        </w:rPr>
        <w:t>ّ</w:t>
      </w:r>
      <w:r w:rsidRPr="00E4028C">
        <w:rPr>
          <w:rFonts w:hint="cs"/>
          <w:rtl/>
        </w:rPr>
        <w:t xml:space="preserve"> شمر بن ذي الجوشن هو الذي خرّب جهود الصلح التي قام بها ابن سعد، وأقنع ابنَ زياد بقتل الحسين، ولولا ذلك لما وقعت الحرب</w:t>
      </w:r>
      <w:r w:rsidRPr="00763E4E">
        <w:rPr>
          <w:rFonts w:cs="Taher"/>
          <w:vertAlign w:val="superscript"/>
          <w:rtl/>
        </w:rPr>
        <w:t>(</w:t>
      </w:r>
      <w:r w:rsidRPr="00763E4E">
        <w:rPr>
          <w:rFonts w:cs="Taher"/>
          <w:vertAlign w:val="superscript"/>
          <w:rtl/>
        </w:rPr>
        <w:footnoteReference w:id="223"/>
      </w:r>
      <w:r w:rsidRPr="00763E4E">
        <w:rPr>
          <w:rFonts w:cs="Taher"/>
          <w:vertAlign w:val="superscript"/>
          <w:rtl/>
        </w:rPr>
        <w:t>)</w:t>
      </w:r>
      <w:r w:rsidRPr="00E4028C">
        <w:rPr>
          <w:rFonts w:hint="cs"/>
          <w:rtl/>
        </w:rPr>
        <w:t>.</w:t>
      </w:r>
    </w:p>
    <w:p w14:paraId="2A8D4FCA" w14:textId="77777777" w:rsidR="00DD6401" w:rsidRPr="00E4028C" w:rsidRDefault="00DD6401" w:rsidP="009B7F51">
      <w:pPr>
        <w:rPr>
          <w:rtl/>
        </w:rPr>
      </w:pPr>
      <w:r w:rsidRPr="00E4028C">
        <w:rPr>
          <w:rFonts w:hint="cs"/>
          <w:rtl/>
        </w:rPr>
        <w:t>ولعلّ هذا النص الذي جاء ـ أيضاً ـ في إرشاد الشيخ المفيد (413هـ) هو ما جعل تلميذه السيد المرتضى (436هـ) يذكر أنّ الإمام الحسين كان يريد ـ بعد الحيلولة بينه وبين التوجّه إلى الكوفة ـ سلوك طريق الشام؛ ليذهب إلى يزيد بن معاوية؛ لعلمه بأنّه أرأف به من ابن زياد، لكنّه واجه جيش عمر بن سعد في كربلاء فلم يستطع الاستمرار في المسير</w:t>
      </w:r>
      <w:r w:rsidRPr="00763E4E">
        <w:rPr>
          <w:rFonts w:cs="Taher"/>
          <w:vertAlign w:val="superscript"/>
          <w:rtl/>
        </w:rPr>
        <w:t>(</w:t>
      </w:r>
      <w:r w:rsidRPr="00763E4E">
        <w:rPr>
          <w:rFonts w:cs="Taher"/>
          <w:vertAlign w:val="superscript"/>
          <w:rtl/>
        </w:rPr>
        <w:footnoteReference w:id="224"/>
      </w:r>
      <w:r w:rsidRPr="00763E4E">
        <w:rPr>
          <w:rFonts w:cs="Taher"/>
          <w:vertAlign w:val="superscript"/>
          <w:rtl/>
        </w:rPr>
        <w:t>)</w:t>
      </w:r>
      <w:r w:rsidRPr="00E4028C">
        <w:rPr>
          <w:rFonts w:hint="cs"/>
          <w:rtl/>
        </w:rPr>
        <w:t>؛ فهذا الكلام يدلّ على أنّه ما كان يريد المواجهة وإنّما فرضت عليه الحرب فرضاً.</w:t>
      </w:r>
    </w:p>
    <w:p w14:paraId="0A3AC45D" w14:textId="63ADEAA2" w:rsidR="00DD6401" w:rsidRPr="00E4028C" w:rsidRDefault="00DD6401" w:rsidP="009B7F51">
      <w:pPr>
        <w:rPr>
          <w:rtl/>
        </w:rPr>
      </w:pPr>
      <w:r w:rsidRPr="0048039B">
        <w:rPr>
          <w:rFonts w:hint="cs"/>
          <w:b/>
          <w:bCs/>
          <w:rtl/>
        </w:rPr>
        <w:t xml:space="preserve">6 ـ </w:t>
      </w:r>
      <w:r w:rsidRPr="00E4028C">
        <w:rPr>
          <w:rFonts w:hint="cs"/>
          <w:rtl/>
        </w:rPr>
        <w:t xml:space="preserve">ما جاء في قصّة وصول عثمان بن محمد بن أبي سفيان الثقفي، الذي أرسله يزيد بن معاوية إلى بلاد الحجاز ليتولاها، فإنّه بعد أن أنهى الصلاة في مكّة، وعلم بخروج الحسين، قال: </w:t>
      </w:r>
      <w:r w:rsidR="00D537A9" w:rsidRPr="00822CE9">
        <w:rPr>
          <w:rFonts w:hint="cs"/>
          <w:rtl/>
        </w:rPr>
        <w:t>«</w:t>
      </w:r>
      <w:r w:rsidRPr="00E4028C">
        <w:rPr>
          <w:rFonts w:hint="cs"/>
          <w:rtl/>
        </w:rPr>
        <w:t>اركبوا كلّ بعير بين السماء والأرض فاطلبوه</w:t>
      </w:r>
      <w:r w:rsidR="00D537A9" w:rsidRPr="00822CE9">
        <w:rPr>
          <w:rFonts w:hint="cs"/>
          <w:rtl/>
        </w:rPr>
        <w:t>»</w:t>
      </w:r>
      <w:r w:rsidR="00D537A9" w:rsidRPr="00763E4E">
        <w:rPr>
          <w:rFonts w:cs="Taher"/>
          <w:vertAlign w:val="superscript"/>
          <w:rtl/>
        </w:rPr>
        <w:t xml:space="preserve"> </w:t>
      </w:r>
      <w:r w:rsidRPr="00763E4E">
        <w:rPr>
          <w:rFonts w:cs="Taher"/>
          <w:vertAlign w:val="superscript"/>
          <w:rtl/>
        </w:rPr>
        <w:t>(</w:t>
      </w:r>
      <w:r w:rsidRPr="00763E4E">
        <w:rPr>
          <w:rFonts w:cs="Taher"/>
          <w:vertAlign w:val="superscript"/>
          <w:rtl/>
        </w:rPr>
        <w:footnoteReference w:id="225"/>
      </w:r>
      <w:r w:rsidRPr="00763E4E">
        <w:rPr>
          <w:rFonts w:cs="Taher"/>
          <w:vertAlign w:val="superscript"/>
          <w:rtl/>
        </w:rPr>
        <w:t>)</w:t>
      </w:r>
      <w:r w:rsidRPr="00E4028C">
        <w:rPr>
          <w:rFonts w:hint="cs"/>
          <w:rtl/>
        </w:rPr>
        <w:t>. فهذا نصّ واضح يعطي دلالة على السياسة التي كانت ستتّبع لو لم يخرج الحسين من بلاد الحجاز.</w:t>
      </w:r>
    </w:p>
    <w:p w14:paraId="0B8BDE4F" w14:textId="51D8B2AE" w:rsidR="00185D11" w:rsidRDefault="00DD6401" w:rsidP="009B7F51">
      <w:pPr>
        <w:rPr>
          <w:rtl/>
        </w:rPr>
      </w:pPr>
      <w:r w:rsidRPr="0048039B">
        <w:rPr>
          <w:rFonts w:hint="cs"/>
          <w:b/>
          <w:bCs/>
          <w:rtl/>
        </w:rPr>
        <w:t xml:space="preserve">7 ـ </w:t>
      </w:r>
      <w:r w:rsidRPr="00E4028C">
        <w:rPr>
          <w:rFonts w:hint="cs"/>
          <w:rtl/>
        </w:rPr>
        <w:t xml:space="preserve">ما جاء في رسالة عبد الله بن عباس إلى يزيد بن معاوية، حيث قال له: </w:t>
      </w:r>
      <w:r w:rsidR="00D537A9" w:rsidRPr="00822CE9">
        <w:rPr>
          <w:rFonts w:hint="cs"/>
          <w:rtl/>
        </w:rPr>
        <w:t>«</w:t>
      </w:r>
      <w:r w:rsidRPr="00E4028C">
        <w:rPr>
          <w:rFonts w:hint="cs"/>
          <w:rtl/>
        </w:rPr>
        <w:t xml:space="preserve">.. فلستُ بناسٍ </w:t>
      </w:r>
      <w:r w:rsidRPr="00E4028C">
        <w:rPr>
          <w:rFonts w:hint="cs"/>
          <w:rtl/>
        </w:rPr>
        <w:lastRenderedPageBreak/>
        <w:t>اطّرادك الحسين بن علي من حرم رسول الله إلى حرم الله، ودسّك عليه الرجال تغتاله، فأشخصته من حرم الله إلى الكوفة؛ فخرج منها خائفاً يترقّب.. ولكن كره أن يكون هو الذي يستحلّ حرمة البيت وحرمة رسول الله، فأكبر من ذلك ما لم تكبر؛ حيث دسست عليه الرجال فيها ليقاتل في الحرم.. ثم طلب الحسين بن علي إليه الموادعة، وسألهم الرجعة، فاغتنمتم قلّة أنصاره، واستئصال أهل بيته؛ فعدوتم عليهم..</w:t>
      </w:r>
      <w:r w:rsidR="00D537A9" w:rsidRPr="00D537A9">
        <w:rPr>
          <w:rFonts w:hint="cs"/>
          <w:rtl/>
        </w:rPr>
        <w:t xml:space="preserve"> </w:t>
      </w:r>
      <w:r w:rsidR="00D537A9" w:rsidRPr="00822CE9">
        <w:rPr>
          <w:rFonts w:hint="cs"/>
          <w:rtl/>
        </w:rPr>
        <w:t>»</w:t>
      </w:r>
      <w:r w:rsidR="00D537A9" w:rsidRPr="00763E4E">
        <w:rPr>
          <w:rFonts w:cs="Taher"/>
          <w:vertAlign w:val="superscript"/>
          <w:rtl/>
        </w:rPr>
        <w:t xml:space="preserve"> </w:t>
      </w:r>
      <w:r w:rsidRPr="00763E4E">
        <w:rPr>
          <w:rFonts w:cs="Taher"/>
          <w:vertAlign w:val="superscript"/>
          <w:rtl/>
        </w:rPr>
        <w:t>(</w:t>
      </w:r>
      <w:r w:rsidRPr="00763E4E">
        <w:rPr>
          <w:rFonts w:cs="Taher"/>
          <w:vertAlign w:val="superscript"/>
          <w:rtl/>
        </w:rPr>
        <w:footnoteReference w:id="226"/>
      </w:r>
      <w:r w:rsidRPr="00763E4E">
        <w:rPr>
          <w:rFonts w:cs="Taher"/>
          <w:vertAlign w:val="superscript"/>
          <w:rtl/>
        </w:rPr>
        <w:t>)</w:t>
      </w:r>
      <w:r w:rsidR="00185D11">
        <w:rPr>
          <w:rFonts w:hint="cs"/>
          <w:rtl/>
        </w:rPr>
        <w:t>.</w:t>
      </w:r>
    </w:p>
    <w:p w14:paraId="0FDC2ADC" w14:textId="77777777" w:rsidR="00DD6401" w:rsidRPr="00E4028C" w:rsidRDefault="00DD6401" w:rsidP="009B7F51">
      <w:pPr>
        <w:rPr>
          <w:rtl/>
        </w:rPr>
      </w:pPr>
      <w:r w:rsidRPr="00E4028C">
        <w:rPr>
          <w:rFonts w:hint="cs"/>
          <w:rtl/>
        </w:rPr>
        <w:t>فهذا كلام واضح في أنّ السلطة كانت تريد قتله وحربه وهو في الحرمين الشريفين، وأنّه خرج منها خائفاً يترقّب، فهو نصّ صريح في نظري</w:t>
      </w:r>
      <w:r w:rsidR="00185D11">
        <w:rPr>
          <w:rFonts w:hint="cs"/>
          <w:rtl/>
        </w:rPr>
        <w:t>ّ</w:t>
      </w:r>
      <w:r w:rsidRPr="00E4028C">
        <w:rPr>
          <w:rFonts w:hint="cs"/>
          <w:rtl/>
        </w:rPr>
        <w:t>ة الفرار من البيعة.</w:t>
      </w:r>
    </w:p>
    <w:p w14:paraId="0C64E935" w14:textId="7BC519C6" w:rsidR="00DD6401" w:rsidRPr="00E4028C" w:rsidRDefault="00DD6401" w:rsidP="009B7F51">
      <w:pPr>
        <w:rPr>
          <w:rtl/>
        </w:rPr>
      </w:pPr>
      <w:r w:rsidRPr="00185D11">
        <w:rPr>
          <w:rFonts w:hint="cs"/>
          <w:b/>
          <w:bCs/>
          <w:rtl/>
        </w:rPr>
        <w:t>ويتعزّز هذا النص بما جاء في لقاء الإمام× لقرّة بن قيس الحنظلي في كربلاء،</w:t>
      </w:r>
      <w:r w:rsidRPr="00E4028C">
        <w:rPr>
          <w:rFonts w:hint="cs"/>
          <w:rtl/>
        </w:rPr>
        <w:t xml:space="preserve"> حيث قال: </w:t>
      </w:r>
      <w:r w:rsidR="00D537A9" w:rsidRPr="00822CE9">
        <w:rPr>
          <w:rFonts w:hint="cs"/>
          <w:rtl/>
        </w:rPr>
        <w:t>«</w:t>
      </w:r>
      <w:r w:rsidRPr="00E4028C">
        <w:rPr>
          <w:rFonts w:hint="cs"/>
          <w:rtl/>
        </w:rPr>
        <w:t>فإن كرهوني أنصرف عنهم من حيث جئت</w:t>
      </w:r>
      <w:r w:rsidR="00D537A9" w:rsidRPr="00822CE9">
        <w:rPr>
          <w:rFonts w:hint="cs"/>
          <w:rtl/>
        </w:rPr>
        <w:t>»</w:t>
      </w:r>
      <w:r w:rsidR="00D537A9" w:rsidRPr="00763E4E">
        <w:rPr>
          <w:rFonts w:cs="Taher"/>
          <w:vertAlign w:val="superscript"/>
          <w:rtl/>
        </w:rPr>
        <w:t xml:space="preserve"> </w:t>
      </w:r>
      <w:r w:rsidRPr="00763E4E">
        <w:rPr>
          <w:rFonts w:cs="Taher"/>
          <w:vertAlign w:val="superscript"/>
          <w:rtl/>
        </w:rPr>
        <w:t>(</w:t>
      </w:r>
      <w:r w:rsidRPr="00763E4E">
        <w:rPr>
          <w:rFonts w:cs="Taher"/>
          <w:vertAlign w:val="superscript"/>
          <w:rtl/>
        </w:rPr>
        <w:footnoteReference w:id="227"/>
      </w:r>
      <w:r w:rsidRPr="00763E4E">
        <w:rPr>
          <w:rFonts w:cs="Taher"/>
          <w:vertAlign w:val="superscript"/>
          <w:rtl/>
        </w:rPr>
        <w:t>)</w:t>
      </w:r>
      <w:r w:rsidRPr="00E4028C">
        <w:rPr>
          <w:rFonts w:hint="cs"/>
          <w:rtl/>
        </w:rPr>
        <w:t xml:space="preserve">، وقوله لابن سعد: </w:t>
      </w:r>
      <w:r w:rsidR="00D537A9" w:rsidRPr="00822CE9">
        <w:rPr>
          <w:rFonts w:hint="cs"/>
          <w:rtl/>
        </w:rPr>
        <w:t>«</w:t>
      </w:r>
      <w:r w:rsidRPr="00E4028C">
        <w:rPr>
          <w:rFonts w:hint="cs"/>
          <w:rtl/>
        </w:rPr>
        <w:t>..أرجع فأقيم بمكة أو المدينة أو أذهب إلى بعض الثغور فأقيم به كبعض أهله..</w:t>
      </w:r>
      <w:r w:rsidR="00D537A9" w:rsidRPr="00D537A9">
        <w:rPr>
          <w:rFonts w:hint="cs"/>
          <w:rtl/>
        </w:rPr>
        <w:t xml:space="preserve"> </w:t>
      </w:r>
      <w:r w:rsidR="00D537A9" w:rsidRPr="00822CE9">
        <w:rPr>
          <w:rFonts w:hint="cs"/>
          <w:rtl/>
        </w:rPr>
        <w:t>»</w:t>
      </w:r>
      <w:r w:rsidR="00D537A9" w:rsidRPr="00763E4E">
        <w:rPr>
          <w:rFonts w:cs="Taher"/>
          <w:vertAlign w:val="superscript"/>
          <w:rtl/>
        </w:rPr>
        <w:t xml:space="preserve"> </w:t>
      </w:r>
      <w:r w:rsidRPr="00763E4E">
        <w:rPr>
          <w:rFonts w:cs="Taher"/>
          <w:vertAlign w:val="superscript"/>
          <w:rtl/>
        </w:rPr>
        <w:t>(</w:t>
      </w:r>
      <w:r w:rsidRPr="00763E4E">
        <w:rPr>
          <w:rFonts w:cs="Taher"/>
          <w:vertAlign w:val="superscript"/>
          <w:rtl/>
        </w:rPr>
        <w:footnoteReference w:id="228"/>
      </w:r>
      <w:r w:rsidRPr="00763E4E">
        <w:rPr>
          <w:rFonts w:cs="Taher"/>
          <w:vertAlign w:val="superscript"/>
          <w:rtl/>
        </w:rPr>
        <w:t>)</w:t>
      </w:r>
      <w:r w:rsidRPr="00E4028C">
        <w:rPr>
          <w:rFonts w:hint="cs"/>
          <w:rtl/>
        </w:rPr>
        <w:t xml:space="preserve">، وكذلك يتعزّز بقوله× في رواية أخرى: </w:t>
      </w:r>
      <w:r w:rsidR="00D537A9" w:rsidRPr="00822CE9">
        <w:rPr>
          <w:rFonts w:hint="cs"/>
          <w:rtl/>
        </w:rPr>
        <w:t>«</w:t>
      </w:r>
      <w:r w:rsidRPr="00E4028C">
        <w:rPr>
          <w:rFonts w:hint="cs"/>
          <w:rtl/>
        </w:rPr>
        <w:t>..وطلبوا دمي فهربت..</w:t>
      </w:r>
      <w:r w:rsidR="00D537A9" w:rsidRPr="00D537A9">
        <w:rPr>
          <w:rFonts w:hint="cs"/>
          <w:rtl/>
        </w:rPr>
        <w:t xml:space="preserve"> </w:t>
      </w:r>
      <w:r w:rsidR="00D537A9" w:rsidRPr="00822CE9">
        <w:rPr>
          <w:rFonts w:hint="cs"/>
          <w:rtl/>
        </w:rPr>
        <w:t>»</w:t>
      </w:r>
      <w:r w:rsidR="00D537A9" w:rsidRPr="00763E4E">
        <w:rPr>
          <w:rFonts w:cs="Taher"/>
          <w:vertAlign w:val="superscript"/>
          <w:rtl/>
        </w:rPr>
        <w:t xml:space="preserve"> </w:t>
      </w:r>
      <w:r w:rsidRPr="00763E4E">
        <w:rPr>
          <w:rFonts w:cs="Taher"/>
          <w:vertAlign w:val="superscript"/>
          <w:rtl/>
        </w:rPr>
        <w:t>(</w:t>
      </w:r>
      <w:r w:rsidRPr="00763E4E">
        <w:rPr>
          <w:rFonts w:cs="Taher"/>
          <w:vertAlign w:val="superscript"/>
          <w:rtl/>
        </w:rPr>
        <w:footnoteReference w:id="229"/>
      </w:r>
      <w:r w:rsidRPr="00763E4E">
        <w:rPr>
          <w:rFonts w:cs="Taher"/>
          <w:vertAlign w:val="superscript"/>
          <w:rtl/>
        </w:rPr>
        <w:t>)</w:t>
      </w:r>
      <w:r w:rsidRPr="00E4028C">
        <w:rPr>
          <w:rFonts w:hint="cs"/>
          <w:rtl/>
        </w:rPr>
        <w:t>، فهذا أيضاً صريح في نظ</w:t>
      </w:r>
      <w:r w:rsidR="00185D11">
        <w:rPr>
          <w:rFonts w:hint="cs"/>
          <w:rtl/>
        </w:rPr>
        <w:t>رية الفرار. ونحو ذلك أيضاً قوله</w:t>
      </w:r>
      <w:r w:rsidRPr="00E4028C">
        <w:rPr>
          <w:rFonts w:hint="cs"/>
          <w:rtl/>
        </w:rPr>
        <w:t xml:space="preserve"> في خطاب له مع أهل الكوفة أو في الطريق: </w:t>
      </w:r>
      <w:r w:rsidR="00D537A9" w:rsidRPr="00822CE9">
        <w:rPr>
          <w:rFonts w:hint="cs"/>
          <w:rtl/>
        </w:rPr>
        <w:t>«</w:t>
      </w:r>
      <w:r w:rsidRPr="00E4028C">
        <w:rPr>
          <w:rFonts w:hint="cs"/>
          <w:rtl/>
        </w:rPr>
        <w:t>..وإن كنتم لمقدمي كارهين، انصرفت عنكم إلى المكان الذي جئت منه إليكم</w:t>
      </w:r>
      <w:r w:rsidR="00D537A9" w:rsidRPr="00822CE9">
        <w:rPr>
          <w:rFonts w:hint="cs"/>
          <w:rtl/>
        </w:rPr>
        <w:t>»</w:t>
      </w:r>
      <w:r w:rsidR="00D537A9" w:rsidRPr="00763E4E">
        <w:rPr>
          <w:rFonts w:cs="Taher"/>
          <w:vertAlign w:val="superscript"/>
          <w:rtl/>
        </w:rPr>
        <w:t xml:space="preserve"> </w:t>
      </w:r>
      <w:r w:rsidRPr="00763E4E">
        <w:rPr>
          <w:rFonts w:cs="Taher"/>
          <w:vertAlign w:val="superscript"/>
          <w:rtl/>
        </w:rPr>
        <w:t>(</w:t>
      </w:r>
      <w:r w:rsidRPr="00763E4E">
        <w:rPr>
          <w:rFonts w:cs="Taher"/>
          <w:vertAlign w:val="superscript"/>
          <w:rtl/>
        </w:rPr>
        <w:footnoteReference w:id="230"/>
      </w:r>
      <w:r w:rsidRPr="00763E4E">
        <w:rPr>
          <w:rFonts w:cs="Taher"/>
          <w:vertAlign w:val="superscript"/>
          <w:rtl/>
        </w:rPr>
        <w:t>)</w:t>
      </w:r>
      <w:r w:rsidRPr="00E4028C">
        <w:rPr>
          <w:rFonts w:hint="cs"/>
          <w:rtl/>
        </w:rPr>
        <w:t xml:space="preserve">. وكذلك دعاؤه في كربلاء قائلاً: </w:t>
      </w:r>
      <w:r w:rsidR="00D537A9" w:rsidRPr="00822CE9">
        <w:rPr>
          <w:rFonts w:hint="cs"/>
          <w:rtl/>
        </w:rPr>
        <w:t>«</w:t>
      </w:r>
      <w:r w:rsidRPr="00E4028C">
        <w:rPr>
          <w:rFonts w:hint="cs"/>
          <w:rtl/>
        </w:rPr>
        <w:t>اللهم إنا عترة نبيك محمد| قد أخرجنا وطردنا وأزعجنا عن حرم جدّنا..</w:t>
      </w:r>
      <w:r w:rsidR="00D537A9" w:rsidRPr="00D537A9">
        <w:rPr>
          <w:rFonts w:hint="cs"/>
          <w:rtl/>
        </w:rPr>
        <w:t xml:space="preserve"> </w:t>
      </w:r>
      <w:r w:rsidR="00D537A9" w:rsidRPr="00822CE9">
        <w:rPr>
          <w:rFonts w:hint="cs"/>
          <w:rtl/>
        </w:rPr>
        <w:t>»</w:t>
      </w:r>
      <w:r w:rsidR="00D537A9" w:rsidRPr="00763E4E">
        <w:rPr>
          <w:rFonts w:cs="Taher"/>
          <w:vertAlign w:val="superscript"/>
          <w:rtl/>
        </w:rPr>
        <w:t xml:space="preserve"> </w:t>
      </w:r>
      <w:r w:rsidRPr="00763E4E">
        <w:rPr>
          <w:rFonts w:cs="Taher"/>
          <w:vertAlign w:val="superscript"/>
          <w:rtl/>
        </w:rPr>
        <w:t>(</w:t>
      </w:r>
      <w:r w:rsidRPr="00763E4E">
        <w:rPr>
          <w:rFonts w:cs="Taher"/>
          <w:vertAlign w:val="superscript"/>
          <w:rtl/>
        </w:rPr>
        <w:footnoteReference w:id="231"/>
      </w:r>
      <w:r w:rsidRPr="00763E4E">
        <w:rPr>
          <w:rFonts w:cs="Taher"/>
          <w:vertAlign w:val="superscript"/>
          <w:rtl/>
        </w:rPr>
        <w:t>)</w:t>
      </w:r>
      <w:r w:rsidRPr="00E4028C">
        <w:rPr>
          <w:rFonts w:hint="cs"/>
          <w:rtl/>
        </w:rPr>
        <w:t xml:space="preserve">. كما ورد في حواره مع جيش عمر بن سعد أنّه قال لهم ـ فيما قال ـ: </w:t>
      </w:r>
      <w:r w:rsidR="00D537A9" w:rsidRPr="00822CE9">
        <w:rPr>
          <w:rFonts w:hint="cs"/>
          <w:rtl/>
        </w:rPr>
        <w:t>«</w:t>
      </w:r>
      <w:r w:rsidR="00185D11">
        <w:rPr>
          <w:rFonts w:hint="cs"/>
          <w:rtl/>
        </w:rPr>
        <w:t>أيّها الناس،</w:t>
      </w:r>
      <w:r w:rsidRPr="00E4028C">
        <w:rPr>
          <w:rFonts w:hint="cs"/>
          <w:rtl/>
        </w:rPr>
        <w:t xml:space="preserve"> إذ كرهتموني فدعوني أنصرف عنكم إلى مأمني من الأرض..</w:t>
      </w:r>
      <w:r w:rsidR="00D537A9" w:rsidRPr="00D537A9">
        <w:rPr>
          <w:rFonts w:hint="cs"/>
          <w:rtl/>
        </w:rPr>
        <w:t xml:space="preserve"> </w:t>
      </w:r>
      <w:r w:rsidR="00D537A9" w:rsidRPr="00822CE9">
        <w:rPr>
          <w:rFonts w:hint="cs"/>
          <w:rtl/>
        </w:rPr>
        <w:t>»</w:t>
      </w:r>
      <w:r w:rsidR="00D537A9" w:rsidRPr="00763E4E">
        <w:rPr>
          <w:rFonts w:cs="Taher"/>
          <w:vertAlign w:val="superscript"/>
          <w:rtl/>
        </w:rPr>
        <w:t xml:space="preserve"> </w:t>
      </w:r>
      <w:r w:rsidRPr="00763E4E">
        <w:rPr>
          <w:rFonts w:cs="Taher"/>
          <w:vertAlign w:val="superscript"/>
          <w:rtl/>
        </w:rPr>
        <w:t>(</w:t>
      </w:r>
      <w:r w:rsidRPr="00763E4E">
        <w:rPr>
          <w:rFonts w:cs="Taher"/>
          <w:vertAlign w:val="superscript"/>
          <w:rtl/>
        </w:rPr>
        <w:footnoteReference w:id="232"/>
      </w:r>
      <w:r w:rsidRPr="00763E4E">
        <w:rPr>
          <w:rFonts w:cs="Taher"/>
          <w:vertAlign w:val="superscript"/>
          <w:rtl/>
        </w:rPr>
        <w:t>)</w:t>
      </w:r>
      <w:r w:rsidRPr="00E4028C">
        <w:rPr>
          <w:rFonts w:hint="cs"/>
          <w:rtl/>
        </w:rPr>
        <w:t>.</w:t>
      </w:r>
    </w:p>
    <w:p w14:paraId="16533AF9" w14:textId="56F8AF06" w:rsidR="00DD6401" w:rsidRPr="00E4028C" w:rsidRDefault="00DD6401" w:rsidP="00DD6401">
      <w:pPr>
        <w:pStyle w:val="Space1"/>
        <w:rPr>
          <w:rtl/>
        </w:rPr>
      </w:pPr>
      <w:r w:rsidRPr="00185D11">
        <w:rPr>
          <w:rFonts w:hint="cs"/>
          <w:b/>
          <w:bCs/>
          <w:rtl/>
        </w:rPr>
        <w:t xml:space="preserve">يضاف إلى ذلك كلّه، وجود نص ينقل عن عقبة بن سمعان الذي صحب الحسين×؛ حيث </w:t>
      </w:r>
      <w:r w:rsidRPr="00185D11">
        <w:rPr>
          <w:rFonts w:hint="cs"/>
          <w:b/>
          <w:bCs/>
          <w:rtl/>
        </w:rPr>
        <w:lastRenderedPageBreak/>
        <w:t>يقول:</w:t>
      </w:r>
      <w:r w:rsidRPr="00E4028C">
        <w:rPr>
          <w:rFonts w:hint="cs"/>
          <w:rtl/>
        </w:rPr>
        <w:t xml:space="preserve"> </w:t>
      </w:r>
      <w:r w:rsidR="00D537A9" w:rsidRPr="00822CE9">
        <w:rPr>
          <w:rFonts w:hint="cs"/>
          <w:rtl/>
        </w:rPr>
        <w:t>«</w:t>
      </w:r>
      <w:r w:rsidRPr="00E4028C">
        <w:rPr>
          <w:rFonts w:hint="cs"/>
          <w:rtl/>
        </w:rPr>
        <w:t>صحبت الحسين من مك</w:t>
      </w:r>
      <w:r w:rsidR="00185D11">
        <w:rPr>
          <w:rFonts w:hint="cs"/>
          <w:rtl/>
        </w:rPr>
        <w:t>ّ</w:t>
      </w:r>
      <w:r w:rsidRPr="00E4028C">
        <w:rPr>
          <w:rFonts w:hint="cs"/>
          <w:rtl/>
        </w:rPr>
        <w:t>ة إلى حين قتل، والله ما من كلمة قالها في موطن إلا وقد سمعتها، وإنه لم يسأل أن يذهب إلى يزيد فيضع يده في يده، ولا أن يذهب إلى ثغر من الثغور، ولكن طلب منهم أحد أمرين: إمّا أن يرجع من حيث جاء، وإما أن يَدَعُوه يذهب في الأرض العريضة، حتى ينظر ما يصير أمر الناس إليه..</w:t>
      </w:r>
      <w:r w:rsidR="00D537A9" w:rsidRPr="00D537A9">
        <w:rPr>
          <w:rFonts w:hint="cs"/>
          <w:rtl/>
        </w:rPr>
        <w:t xml:space="preserve"> </w:t>
      </w:r>
      <w:r w:rsidR="00D537A9" w:rsidRPr="00822CE9">
        <w:rPr>
          <w:rFonts w:hint="cs"/>
          <w:rtl/>
        </w:rPr>
        <w:t>»</w:t>
      </w:r>
      <w:r w:rsidR="00D537A9" w:rsidRPr="00763E4E">
        <w:rPr>
          <w:rFonts w:cs="Taher"/>
          <w:vertAlign w:val="superscript"/>
          <w:rtl/>
        </w:rPr>
        <w:t xml:space="preserve"> </w:t>
      </w:r>
      <w:r w:rsidRPr="00763E4E">
        <w:rPr>
          <w:rFonts w:cs="Taher"/>
          <w:vertAlign w:val="superscript"/>
          <w:rtl/>
        </w:rPr>
        <w:t>(</w:t>
      </w:r>
      <w:r w:rsidRPr="00763E4E">
        <w:rPr>
          <w:rFonts w:cs="Taher"/>
          <w:vertAlign w:val="superscript"/>
          <w:rtl/>
        </w:rPr>
        <w:footnoteReference w:id="233"/>
      </w:r>
      <w:r w:rsidRPr="00763E4E">
        <w:rPr>
          <w:rFonts w:cs="Taher"/>
          <w:vertAlign w:val="superscript"/>
          <w:rtl/>
        </w:rPr>
        <w:t>)</w:t>
      </w:r>
      <w:r w:rsidRPr="00E4028C">
        <w:rPr>
          <w:rFonts w:hint="cs"/>
          <w:rtl/>
        </w:rPr>
        <w:t>.</w:t>
      </w:r>
    </w:p>
    <w:p w14:paraId="120A1616" w14:textId="77777777" w:rsidR="00DD6401" w:rsidRPr="00E4028C" w:rsidRDefault="00DD6401" w:rsidP="00185D11">
      <w:pPr>
        <w:pStyle w:val="Space"/>
        <w:rPr>
          <w:rtl/>
        </w:rPr>
      </w:pPr>
      <w:r w:rsidRPr="00E4028C">
        <w:rPr>
          <w:rFonts w:hint="cs"/>
          <w:rtl/>
        </w:rPr>
        <w:t>إنّ هذه الشواهد بأجمعها تع</w:t>
      </w:r>
      <w:r w:rsidR="00185D11">
        <w:rPr>
          <w:rFonts w:hint="cs"/>
          <w:rtl/>
        </w:rPr>
        <w:t>زّز</w:t>
      </w:r>
      <w:r w:rsidRPr="00E4028C">
        <w:rPr>
          <w:rFonts w:hint="cs"/>
          <w:rtl/>
        </w:rPr>
        <w:t xml:space="preserve"> فرضية أنّ الحسين ما كان لديه مشروع ثورة وإسقاط أنظمة، لكن كان يريد أن لا يبايع ولم يكن يجد مكاناً للعيش مع رفض السلطة فحاصروه، وفرضوا الحرب في النهاية عليه</w:t>
      </w:r>
      <w:r w:rsidR="003474E4">
        <w:rPr>
          <w:rFonts w:hint="cs"/>
          <w:rtl/>
        </w:rPr>
        <w:t xml:space="preserve"> فرضاً</w:t>
      </w:r>
      <w:r w:rsidRPr="00E4028C">
        <w:rPr>
          <w:rFonts w:hint="cs"/>
          <w:rtl/>
        </w:rPr>
        <w:t>، فحصل ما حصل.</w:t>
      </w:r>
    </w:p>
    <w:p w14:paraId="27FE033D" w14:textId="77777777" w:rsidR="00DD6401" w:rsidRPr="00236AA7" w:rsidRDefault="009125AB" w:rsidP="0096148C">
      <w:pPr>
        <w:pStyle w:val="Heading3"/>
        <w:rPr>
          <w:rtl/>
        </w:rPr>
      </w:pPr>
      <w:bookmarkStart w:id="116" w:name="_Toc307009618"/>
      <w:bookmarkStart w:id="117" w:name="_Toc143804144"/>
      <w:bookmarkStart w:id="118" w:name="_Toc238123269"/>
      <w:r>
        <w:rPr>
          <w:rFonts w:hint="cs"/>
          <w:rtl/>
        </w:rPr>
        <w:t xml:space="preserve">ثانياً: </w:t>
      </w:r>
      <w:r w:rsidR="00DD6401" w:rsidRPr="00236AA7">
        <w:rPr>
          <w:rFonts w:hint="cs"/>
          <w:rtl/>
        </w:rPr>
        <w:t>مطالعة نقدية في نظرية المواجهة المفروضة</w:t>
      </w:r>
      <w:bookmarkEnd w:id="116"/>
      <w:bookmarkEnd w:id="117"/>
      <w:bookmarkEnd w:id="118"/>
    </w:p>
    <w:p w14:paraId="56CF0C4E" w14:textId="77777777" w:rsidR="00DD6401" w:rsidRPr="00185D11" w:rsidRDefault="00DD6401" w:rsidP="00DD6401">
      <w:pPr>
        <w:rPr>
          <w:b/>
          <w:bCs/>
          <w:rtl/>
        </w:rPr>
      </w:pPr>
      <w:r w:rsidRPr="00185D11">
        <w:rPr>
          <w:rFonts w:hint="cs"/>
          <w:b/>
          <w:bCs/>
          <w:rtl/>
        </w:rPr>
        <w:t>ومع ما رأينا من إمكان أن نحشد لهذه النظرية من شواهد، إلا أنّه يمكننا تسجيل بعض الملاحظات عليها؛ وذلك:</w:t>
      </w:r>
    </w:p>
    <w:p w14:paraId="601801AC" w14:textId="77777777" w:rsidR="00DD6401" w:rsidRPr="00E4028C" w:rsidRDefault="00DD6401" w:rsidP="009B7F51">
      <w:pPr>
        <w:pStyle w:val="normal930"/>
        <w:rPr>
          <w:rtl/>
        </w:rPr>
      </w:pPr>
      <w:r w:rsidRPr="00E4028C">
        <w:rPr>
          <w:rFonts w:hint="cs"/>
          <w:b/>
          <w:bCs/>
          <w:rtl/>
        </w:rPr>
        <w:t>أو</w:t>
      </w:r>
      <w:r w:rsidR="00185D11">
        <w:rPr>
          <w:rFonts w:hint="cs"/>
          <w:b/>
          <w:bCs/>
          <w:rtl/>
        </w:rPr>
        <w:t>ّ</w:t>
      </w:r>
      <w:r w:rsidRPr="00E4028C">
        <w:rPr>
          <w:rFonts w:hint="cs"/>
          <w:b/>
          <w:bCs/>
          <w:rtl/>
        </w:rPr>
        <w:t>لاً:</w:t>
      </w:r>
      <w:r w:rsidRPr="00E4028C">
        <w:rPr>
          <w:rFonts w:hint="cs"/>
          <w:rtl/>
        </w:rPr>
        <w:t xml:space="preserve"> إنّ الحسين كانت وصلته رسائل أهل الكوفة في مكّة، وقد أعطاهم كلمته وأرسل إليهم مسلم بن عقيل، فخروجه من مكّة جاء عقب شروعه في التخطيط والتواصل لحركة سياسية واضحة، وهذا لا ينافي أنّه خرج منها نتيجة علمه بمخطّط تقوم به السلطة لاغتياله، بمعنى أن الاستعجال في الخروج كان اضطرارياً نتيجة خوف الاغتيال، </w:t>
      </w:r>
      <w:r w:rsidR="00185D11">
        <w:rPr>
          <w:rFonts w:hint="cs"/>
          <w:rtl/>
        </w:rPr>
        <w:t>دون</w:t>
      </w:r>
      <w:r w:rsidRPr="00E4028C">
        <w:rPr>
          <w:rFonts w:hint="cs"/>
          <w:rtl/>
        </w:rPr>
        <w:t xml:space="preserve"> أصل الخروج، بعد أن كانت الرسائل قد بدأت بينه وبين أهل العراق، وهذه نقطة مهمة جداً في مسألة طبيعة خروج الحسين من مكّة وعدم إكماله الحج. نعم خروجه من المدينة لا توجد مؤشرات على كونه قد سبقه تخطيطٌ ما لثورة في مكان ما من جغرافيا العالم الإسلامي؛ لأنّه حصل بسرعة فائقة كما رأينا.</w:t>
      </w:r>
    </w:p>
    <w:p w14:paraId="14050E8F" w14:textId="77777777" w:rsidR="00185D11" w:rsidRDefault="00DD6401" w:rsidP="009B7F51">
      <w:pPr>
        <w:pStyle w:val="normal870"/>
        <w:rPr>
          <w:rtl/>
        </w:rPr>
      </w:pPr>
      <w:r w:rsidRPr="00E4028C">
        <w:rPr>
          <w:rFonts w:hint="cs"/>
          <w:b/>
          <w:bCs/>
          <w:rtl/>
        </w:rPr>
        <w:t>ثانياً:</w:t>
      </w:r>
      <w:r w:rsidRPr="00E4028C">
        <w:rPr>
          <w:rFonts w:hint="cs"/>
          <w:rtl/>
        </w:rPr>
        <w:t xml:space="preserve"> كل الشواهد التي تتعلّق ـ فقط ـ بمعلومات عن خطّة للسلطة لاغتيال الحسين أينما كان، لا تقف في مواجهة وجود مشروع</w:t>
      </w:r>
      <w:r w:rsidR="00185D11">
        <w:rPr>
          <w:rFonts w:hint="cs"/>
          <w:rtl/>
        </w:rPr>
        <w:t>ٍ</w:t>
      </w:r>
      <w:r w:rsidRPr="00E4028C">
        <w:rPr>
          <w:rFonts w:hint="cs"/>
          <w:rtl/>
        </w:rPr>
        <w:t xml:space="preserve"> سياسي</w:t>
      </w:r>
      <w:r w:rsidR="00185D11">
        <w:rPr>
          <w:rFonts w:hint="cs"/>
          <w:rtl/>
        </w:rPr>
        <w:t>ٍّ</w:t>
      </w:r>
      <w:r w:rsidRPr="00E4028C">
        <w:rPr>
          <w:rFonts w:hint="cs"/>
          <w:rtl/>
        </w:rPr>
        <w:t xml:space="preserve"> ما له×، على الأقلّ في بعض الفترات، وأعني بذلك أن نتصوّر الحسين يعلم بمخطّط السلطة الأموية في اغتياله، ثمّ يفسح له في المجال لقيادة ثورة، فيقدم على فعل ذلك بعد وصول الرسائل إليه والاطمئنان على الوضع من خلال ما بعثه </w:t>
      </w:r>
      <w:r w:rsidRPr="00E4028C">
        <w:rPr>
          <w:rFonts w:hint="cs"/>
          <w:rtl/>
        </w:rPr>
        <w:lastRenderedPageBreak/>
        <w:t>له مسلم بن عقيل، هنا لماذا لا يمكن الجمع بين علمه بخطّة الاغتيال وإقدامه ـ ولو فيما بعد ـ على مشروع ثوري؟! لست أرى تنافياً بين الأمرين</w:t>
      </w:r>
      <w:r w:rsidR="00185D11">
        <w:rPr>
          <w:rFonts w:hint="cs"/>
          <w:rtl/>
        </w:rPr>
        <w:t>.</w:t>
      </w:r>
    </w:p>
    <w:p w14:paraId="210C4D15" w14:textId="77777777" w:rsidR="00DD6401" w:rsidRPr="00E4028C" w:rsidRDefault="00DD6401" w:rsidP="009B7F51">
      <w:pPr>
        <w:pStyle w:val="normal930"/>
        <w:rPr>
          <w:rtl/>
        </w:rPr>
      </w:pPr>
      <w:r w:rsidRPr="00E4028C">
        <w:rPr>
          <w:rFonts w:hint="cs"/>
          <w:rtl/>
        </w:rPr>
        <w:t>هذا ما يدعم فرضية أنّ الفرار من البيعة فكرة صحيحة إلى ما قبل وصول رسائل أهل الكوفة، أي بعد خروجه من المدينة، فالخروج من المدينة لم يكن لوجود مخطّط ثوري، لكن لماذا لا يكون الخروج من مكّة لوجود هذا المخط</w:t>
      </w:r>
      <w:r w:rsidR="003474E4">
        <w:rPr>
          <w:rFonts w:hint="cs"/>
          <w:rtl/>
        </w:rPr>
        <w:t>ّ</w:t>
      </w:r>
      <w:r w:rsidRPr="00E4028C">
        <w:rPr>
          <w:rFonts w:hint="cs"/>
          <w:rtl/>
        </w:rPr>
        <w:t>ط؟! فهذه الشواهد لا</w:t>
      </w:r>
      <w:r w:rsidR="00185D11">
        <w:rPr>
          <w:rFonts w:hint="cs"/>
          <w:rtl/>
        </w:rPr>
        <w:t xml:space="preserve"> تنفي أصل المشروع السياسي</w:t>
      </w:r>
      <w:r w:rsidRPr="00E4028C">
        <w:rPr>
          <w:rFonts w:hint="cs"/>
          <w:rtl/>
        </w:rPr>
        <w:t xml:space="preserve"> للحسين، وإذا تمّت فهي تنفي هذا المشروع في بدايات خروجه من المدينة المنوّرة</w:t>
      </w:r>
      <w:r w:rsidR="00185D11">
        <w:rPr>
          <w:rFonts w:hint="cs"/>
          <w:rtl/>
        </w:rPr>
        <w:t xml:space="preserve"> فقط</w:t>
      </w:r>
      <w:r w:rsidRPr="00E4028C">
        <w:rPr>
          <w:rFonts w:hint="cs"/>
          <w:rtl/>
        </w:rPr>
        <w:t>.</w:t>
      </w:r>
    </w:p>
    <w:p w14:paraId="6FF5DCE4" w14:textId="77777777" w:rsidR="00DD6401" w:rsidRPr="00E4028C" w:rsidRDefault="00DD6401" w:rsidP="009B7F51">
      <w:pPr>
        <w:pStyle w:val="normal930"/>
        <w:rPr>
          <w:rtl/>
        </w:rPr>
      </w:pPr>
      <w:r w:rsidRPr="00E4028C">
        <w:rPr>
          <w:rFonts w:hint="cs"/>
          <w:b/>
          <w:bCs/>
          <w:rtl/>
        </w:rPr>
        <w:t>ثالثاً:</w:t>
      </w:r>
      <w:r w:rsidRPr="00E4028C">
        <w:rPr>
          <w:rFonts w:hint="cs"/>
          <w:rtl/>
        </w:rPr>
        <w:t xml:space="preserve"> إنّ بعض نصوص الإمام الحسين× نفسها تعلن مبرّرات ال</w:t>
      </w:r>
      <w:r w:rsidR="00185D11">
        <w:rPr>
          <w:rFonts w:hint="cs"/>
          <w:rtl/>
        </w:rPr>
        <w:t xml:space="preserve">حركة </w:t>
      </w:r>
      <w:r w:rsidRPr="00E4028C">
        <w:rPr>
          <w:rFonts w:hint="cs"/>
          <w:rtl/>
        </w:rPr>
        <w:t>وتغيير الواقع، كما تقدّمت وسيأتي، فكيف يمكن تفسير هذه النصوص؟ ألا تعارض الدلالة الإطلاقية الموجودة في نظرية المواجهة المفروضة والفرار من البيعة؟! إن أنصار هذه النظرية مطالبون بتفسير هذا النوع من ال</w:t>
      </w:r>
      <w:r w:rsidR="00185D11">
        <w:rPr>
          <w:rFonts w:hint="cs"/>
          <w:rtl/>
        </w:rPr>
        <w:t>نصوص والخطب التي صدرت عن الحسين</w:t>
      </w:r>
      <w:r w:rsidRPr="00E4028C">
        <w:rPr>
          <w:rFonts w:hint="cs"/>
          <w:rtl/>
        </w:rPr>
        <w:t xml:space="preserve"> في مواطن متعدّدة.</w:t>
      </w:r>
    </w:p>
    <w:p w14:paraId="462814DC" w14:textId="77777777" w:rsidR="00DD6401" w:rsidRPr="00E4028C" w:rsidRDefault="00DD6401" w:rsidP="009B7F51">
      <w:pPr>
        <w:pStyle w:val="normal930"/>
        <w:rPr>
          <w:rtl/>
        </w:rPr>
      </w:pPr>
      <w:r w:rsidRPr="00E4028C">
        <w:rPr>
          <w:rFonts w:hint="cs"/>
          <w:b/>
          <w:bCs/>
          <w:rtl/>
        </w:rPr>
        <w:t>رابعاً:</w:t>
      </w:r>
      <w:r w:rsidRPr="00E4028C">
        <w:rPr>
          <w:rFonts w:hint="cs"/>
          <w:rtl/>
        </w:rPr>
        <w:t xml:space="preserve"> إنّ رسالة ابن سعد لعبيد الله بن زياد (الشاهد رقم 5) الدال</w:t>
      </w:r>
      <w:r w:rsidR="00185D11">
        <w:rPr>
          <w:rFonts w:hint="cs"/>
          <w:rtl/>
        </w:rPr>
        <w:t>ّ</w:t>
      </w:r>
      <w:r w:rsidRPr="00E4028C">
        <w:rPr>
          <w:rFonts w:hint="cs"/>
          <w:rtl/>
        </w:rPr>
        <w:t>ة على عرض الصلح من الحسين لوضع يده في يد السلطة، ينقلها الطبري ـ وات</w:t>
      </w:r>
      <w:r w:rsidR="00185D11">
        <w:rPr>
          <w:rFonts w:hint="cs"/>
          <w:rtl/>
        </w:rPr>
        <w:t>ّ</w:t>
      </w:r>
      <w:r w:rsidRPr="00E4028C">
        <w:rPr>
          <w:rFonts w:hint="cs"/>
          <w:rtl/>
        </w:rPr>
        <w:t>بعه في ذلك المفيد والمرتضى وغيرهما ـ وهي غير موثقة تاريخياً؛ فلم نعثر عليها سوى عنده، وغيره إما ينقلها عنه أو يرسلها بلا سند واضح، أما سند الطبري ففيه مجالد بن سعيد الهمداني المهمل في مصادر الرجال الشيعية والمتعارض توثيقه مع تضعيفه في مصادر الرجال السنيّة، حتى أنّ ابن حبّان المعروف بالتوثيقات جعله في المجروحين</w:t>
      </w:r>
      <w:r w:rsidRPr="00763E4E">
        <w:rPr>
          <w:rFonts w:cs="Taher"/>
          <w:vertAlign w:val="superscript"/>
          <w:rtl/>
        </w:rPr>
        <w:t>(</w:t>
      </w:r>
      <w:r w:rsidRPr="00763E4E">
        <w:rPr>
          <w:rFonts w:cs="Taher"/>
          <w:vertAlign w:val="superscript"/>
          <w:rtl/>
        </w:rPr>
        <w:footnoteReference w:id="234"/>
      </w:r>
      <w:r w:rsidRPr="00763E4E">
        <w:rPr>
          <w:rFonts w:cs="Taher"/>
          <w:vertAlign w:val="superscript"/>
          <w:rtl/>
        </w:rPr>
        <w:t>)</w:t>
      </w:r>
      <w:r w:rsidRPr="00E4028C">
        <w:rPr>
          <w:rFonts w:hint="cs"/>
          <w:rtl/>
        </w:rPr>
        <w:t>، وكذلك فيه الصقعب بن زهير المهمل شيعياً</w:t>
      </w:r>
      <w:r w:rsidRPr="00763E4E">
        <w:rPr>
          <w:rFonts w:cs="Taher"/>
          <w:vertAlign w:val="superscript"/>
          <w:rtl/>
        </w:rPr>
        <w:t>(</w:t>
      </w:r>
      <w:r w:rsidRPr="00763E4E">
        <w:rPr>
          <w:rFonts w:cs="Taher"/>
          <w:vertAlign w:val="superscript"/>
          <w:rtl/>
        </w:rPr>
        <w:footnoteReference w:id="235"/>
      </w:r>
      <w:r w:rsidRPr="00763E4E">
        <w:rPr>
          <w:rFonts w:cs="Taher"/>
          <w:vertAlign w:val="superscript"/>
          <w:rtl/>
        </w:rPr>
        <w:t>)</w:t>
      </w:r>
      <w:r w:rsidRPr="00E4028C">
        <w:rPr>
          <w:rFonts w:hint="cs"/>
          <w:rtl/>
        </w:rPr>
        <w:t>، نعم سنيّاً وثقه الحاكم النيسابوري وابن حبّان، ونقل الأوّل توثيقه عن أبي زرعة الرازي</w:t>
      </w:r>
      <w:r w:rsidRPr="00763E4E">
        <w:rPr>
          <w:rFonts w:cs="Taher"/>
          <w:vertAlign w:val="superscript"/>
          <w:rtl/>
        </w:rPr>
        <w:t>(</w:t>
      </w:r>
      <w:r w:rsidRPr="00763E4E">
        <w:rPr>
          <w:rFonts w:cs="Taher"/>
          <w:vertAlign w:val="superscript"/>
          <w:rtl/>
        </w:rPr>
        <w:footnoteReference w:id="236"/>
      </w:r>
      <w:r w:rsidRPr="00763E4E">
        <w:rPr>
          <w:rFonts w:cs="Taher"/>
          <w:vertAlign w:val="superscript"/>
          <w:rtl/>
        </w:rPr>
        <w:t>)</w:t>
      </w:r>
      <w:r w:rsidRPr="00E4028C">
        <w:rPr>
          <w:rFonts w:hint="cs"/>
          <w:rtl/>
        </w:rPr>
        <w:t xml:space="preserve">، والأولان من المحسوبين </w:t>
      </w:r>
      <w:r w:rsidR="00185D11">
        <w:rPr>
          <w:rFonts w:hint="cs"/>
          <w:rtl/>
        </w:rPr>
        <w:t xml:space="preserve">ـ ولو عند جماعة ـ </w:t>
      </w:r>
      <w:r w:rsidRPr="00E4028C">
        <w:rPr>
          <w:rFonts w:hint="cs"/>
          <w:rtl/>
        </w:rPr>
        <w:t>على الإفراط في التوثيق.</w:t>
      </w:r>
    </w:p>
    <w:p w14:paraId="0AB5037B" w14:textId="77777777" w:rsidR="00DD6401" w:rsidRPr="00E4028C" w:rsidRDefault="00DD6401" w:rsidP="009B7F51">
      <w:pPr>
        <w:pStyle w:val="normal84"/>
        <w:rPr>
          <w:rtl/>
        </w:rPr>
      </w:pPr>
      <w:r w:rsidRPr="00E4028C">
        <w:rPr>
          <w:rFonts w:hint="cs"/>
          <w:rtl/>
        </w:rPr>
        <w:lastRenderedPageBreak/>
        <w:t>وكذلك الحال في رسالة ابن عباس إلى يزيد؛ فإن</w:t>
      </w:r>
      <w:r w:rsidR="00185D11">
        <w:rPr>
          <w:rFonts w:hint="cs"/>
          <w:rtl/>
        </w:rPr>
        <w:t>ّ</w:t>
      </w:r>
      <w:r w:rsidRPr="00E4028C">
        <w:rPr>
          <w:rFonts w:hint="cs"/>
          <w:rtl/>
        </w:rPr>
        <w:t xml:space="preserve"> مصدرها الرئيس ـ على ما يبدو ـ إنّما هو تاريخ اليعقوبي، ولم يذكر سندها، وفي مثل هذه الحال يصعب مع تفرّد مؤرّخ واحد بالنقل وأهمية الرسالة، الأخذُ بها، </w:t>
      </w:r>
      <w:r w:rsidR="00185D11">
        <w:rPr>
          <w:rFonts w:hint="cs"/>
          <w:rtl/>
        </w:rPr>
        <w:t>و</w:t>
      </w:r>
      <w:r w:rsidRPr="00E4028C">
        <w:rPr>
          <w:rFonts w:hint="cs"/>
          <w:rtl/>
        </w:rPr>
        <w:t>لا</w:t>
      </w:r>
      <w:r w:rsidR="00185D11">
        <w:rPr>
          <w:rFonts w:hint="cs"/>
          <w:rtl/>
        </w:rPr>
        <w:t xml:space="preserve"> </w:t>
      </w:r>
      <w:r w:rsidRPr="00E4028C">
        <w:rPr>
          <w:rFonts w:hint="cs"/>
          <w:rtl/>
        </w:rPr>
        <w:t>سي</w:t>
      </w:r>
      <w:r w:rsidR="00185D11">
        <w:rPr>
          <w:rFonts w:hint="cs"/>
          <w:rtl/>
        </w:rPr>
        <w:t>ّ</w:t>
      </w:r>
      <w:r w:rsidRPr="00E4028C">
        <w:rPr>
          <w:rFonts w:hint="cs"/>
          <w:rtl/>
        </w:rPr>
        <w:t xml:space="preserve">ما مع عدم وجود سند معتبر لها، وكذلك خبر الفتوح وأمالي الصدوق الذي دلّ على أنّه طُلب دمه فهرب، حيث هو في المصادر القليلة التي نقلته بين مرسل وضعيف ببهجة بنت الحارث بن عبد الله التغلبي، وهي مهملة في مصادر الرجال السنية والشيعية، وكذلك كلّ من صفية بنت يونس بن أبي إسحاق الهمدانية ومريسة بنت موسى بن يونس، اللتين لا ذكر لهما عندهم كما أشرنا سابقاً، ومثل ذلك خبر الإرشاد الذي يفيد طلب الحسين من أهل الكوفة أن يتركوه يرجع من حيث أتى، فهو خبر تفرّد به المفيد (413هـ) والخوارزمي (568هـ) ـ حسب الظاهر ـ بلا سند، ثم ظهر عند متأخري المتأخرين، وكذلك دعاؤه في كربلاء يخبر فيه أنه أخرج من حرم جدّه فهو مرسل قليل المصادر جداً اشتهر بين المتأخرين فقط حسب الظاهر. وأما خبر عقبة بن سمعان فهو غير قابل للتصديق؛ فكيف يمكن أن يكون رجل قد تابع الحسين طوال هذه الفترة حتى اطّلع على كل أسرار الحركة </w:t>
      </w:r>
      <w:r w:rsidRPr="00D435D0">
        <w:rPr>
          <w:rFonts w:hint="cs"/>
          <w:rtl/>
        </w:rPr>
        <w:t>الحسينية</w:t>
      </w:r>
      <w:r w:rsidRPr="00E4028C">
        <w:rPr>
          <w:rFonts w:hint="cs"/>
          <w:rtl/>
        </w:rPr>
        <w:t xml:space="preserve"> ومفاوضاتها، ولم يغب عنه شيء إطلاقاً؟ ومتى أخبر عقبة بهذا الخبر وقد كان من شهداء كربلاء على بعض المصادر على الأقلّ وإن تحدّث بعضهم عن فراره</w:t>
      </w:r>
      <w:r w:rsidRPr="00763E4E">
        <w:rPr>
          <w:rFonts w:cs="Taher"/>
          <w:vertAlign w:val="superscript"/>
          <w:rtl/>
        </w:rPr>
        <w:t>(</w:t>
      </w:r>
      <w:r w:rsidRPr="00763E4E">
        <w:rPr>
          <w:rFonts w:cs="Taher"/>
          <w:vertAlign w:val="superscript"/>
          <w:rtl/>
        </w:rPr>
        <w:footnoteReference w:id="237"/>
      </w:r>
      <w:r w:rsidRPr="00763E4E">
        <w:rPr>
          <w:rFonts w:cs="Taher"/>
          <w:vertAlign w:val="superscript"/>
          <w:rtl/>
        </w:rPr>
        <w:t>)</w:t>
      </w:r>
      <w:r w:rsidRPr="00E4028C">
        <w:rPr>
          <w:rFonts w:hint="cs"/>
          <w:rtl/>
        </w:rPr>
        <w:t>، فإن كان شهيداً فمتى نقل هذا الخبر، وإن فرّ فالرجل لا دليل على وثاقته بعد ذلك؛ لأنّه لم يوثقه أحد مع صرف النظر عن شهادته. هذا إضافةً إلى أنّ هذا الخبر نفسه يعارض بعض الأخبار الأخرى كما هو واضح منه؛ حيث ينفي أن يكون الحسين قد عرض وضع يده في يد السلطة أو الذهاب إلى ثغر من ثغور المسلمين، فهو يضعّفها وهي تضعّفه نتيجة التعارض بينها من بعض الجوانب، وإن اشتركت معه في قدر من القاسم المشترك.</w:t>
      </w:r>
    </w:p>
    <w:p w14:paraId="5D534B11" w14:textId="77777777" w:rsidR="00DD6401" w:rsidRPr="00E4028C" w:rsidRDefault="00DD6401" w:rsidP="009B7F51">
      <w:pPr>
        <w:pStyle w:val="normal84"/>
        <w:rPr>
          <w:rtl/>
        </w:rPr>
      </w:pPr>
      <w:r w:rsidRPr="00E4028C">
        <w:rPr>
          <w:rFonts w:hint="cs"/>
          <w:rtl/>
        </w:rPr>
        <w:t>وبهذا يتبيّن أن هذه النظرية صائبة بقدر، لكنّها غير دقيقة بقدر آخر، وسوف نتعرّض لاحقاً لمحاولة جمع نقرّب من خلالها المقدار الصحيح من هذه النظرية، إن شاء الله تعالى.</w:t>
      </w:r>
    </w:p>
    <w:p w14:paraId="5F73ACA8" w14:textId="77777777" w:rsidR="00DD6401" w:rsidRPr="00236AA7" w:rsidRDefault="009125AB" w:rsidP="0096148C">
      <w:pPr>
        <w:pStyle w:val="Heading2"/>
        <w:rPr>
          <w:rtl/>
        </w:rPr>
      </w:pPr>
      <w:bookmarkStart w:id="119" w:name="_Toc307009619"/>
      <w:bookmarkStart w:id="120" w:name="_Toc143804145"/>
      <w:bookmarkStart w:id="121" w:name="_Toc238123270"/>
      <w:r>
        <w:rPr>
          <w:rFonts w:hint="cs"/>
          <w:rtl/>
        </w:rPr>
        <w:t xml:space="preserve">النظريّة الثالثة: </w:t>
      </w:r>
      <w:r w:rsidR="00DD6401" w:rsidRPr="00236AA7">
        <w:rPr>
          <w:rFonts w:hint="cs"/>
          <w:rtl/>
        </w:rPr>
        <w:t>النظرية السياسي</w:t>
      </w:r>
      <w:r w:rsidR="0083396A">
        <w:rPr>
          <w:rFonts w:hint="cs"/>
          <w:rtl/>
        </w:rPr>
        <w:t>ّ</w:t>
      </w:r>
      <w:r w:rsidR="00DD6401" w:rsidRPr="00236AA7">
        <w:rPr>
          <w:rFonts w:hint="cs"/>
          <w:rtl/>
        </w:rPr>
        <w:t>ة ومحاولات التعقيل</w:t>
      </w:r>
      <w:bookmarkEnd w:id="119"/>
      <w:bookmarkEnd w:id="120"/>
      <w:bookmarkEnd w:id="121"/>
    </w:p>
    <w:p w14:paraId="73B38EEE" w14:textId="77777777" w:rsidR="00DD6401" w:rsidRPr="00E4028C" w:rsidRDefault="00DD6401" w:rsidP="009B7F51">
      <w:pPr>
        <w:pStyle w:val="normal84"/>
        <w:rPr>
          <w:rtl/>
        </w:rPr>
      </w:pPr>
      <w:r w:rsidRPr="00E4028C">
        <w:rPr>
          <w:rFonts w:hint="cs"/>
          <w:rtl/>
        </w:rPr>
        <w:t>يذهب أنصار هذه النظرية ـ وهم كثير من المؤرخين كما يقول السيد محمد باقر الحكيم</w:t>
      </w:r>
      <w:r w:rsidRPr="00763E4E">
        <w:rPr>
          <w:rFonts w:cs="Taher"/>
          <w:vertAlign w:val="superscript"/>
          <w:rtl/>
        </w:rPr>
        <w:t>(</w:t>
      </w:r>
      <w:r w:rsidRPr="00763E4E">
        <w:rPr>
          <w:rFonts w:cs="Taher"/>
          <w:vertAlign w:val="superscript"/>
          <w:rtl/>
        </w:rPr>
        <w:footnoteReference w:id="238"/>
      </w:r>
      <w:r w:rsidRPr="00763E4E">
        <w:rPr>
          <w:rFonts w:cs="Taher"/>
          <w:vertAlign w:val="superscript"/>
          <w:rtl/>
        </w:rPr>
        <w:t>)</w:t>
      </w:r>
      <w:r w:rsidRPr="00E4028C">
        <w:rPr>
          <w:rFonts w:hint="cs"/>
          <w:rtl/>
        </w:rPr>
        <w:t xml:space="preserve"> ـ </w:t>
      </w:r>
      <w:r w:rsidRPr="00E4028C">
        <w:rPr>
          <w:rFonts w:hint="cs"/>
          <w:rtl/>
        </w:rPr>
        <w:lastRenderedPageBreak/>
        <w:t>إلى أن</w:t>
      </w:r>
      <w:r w:rsidR="004E24AA">
        <w:rPr>
          <w:rFonts w:hint="cs"/>
          <w:rtl/>
        </w:rPr>
        <w:t>ّ</w:t>
      </w:r>
      <w:r w:rsidRPr="00E4028C">
        <w:rPr>
          <w:rFonts w:hint="cs"/>
          <w:rtl/>
        </w:rPr>
        <w:t xml:space="preserve"> الإمام الحسين× كان يريد بحركته إسقاط النظام الفاسد في دولة بني أمية، ورسائله ومراسلاته لأهل الكوفة كلّها تشهد على صحّة ذلك، ومن يقرأ هذه ال</w:t>
      </w:r>
      <w:r w:rsidR="00185D11">
        <w:rPr>
          <w:rFonts w:hint="cs"/>
          <w:rtl/>
        </w:rPr>
        <w:t xml:space="preserve">حركة </w:t>
      </w:r>
      <w:r w:rsidRPr="00E4028C">
        <w:rPr>
          <w:rFonts w:hint="cs"/>
          <w:rtl/>
        </w:rPr>
        <w:t>ويحلّلها تحليلاً تاريخياً لا يفهم منها سوى إرادة تأسيس نظام إسلامي عادل في العراق مقدّمةً لعودة دولة الإمام علي</w:t>
      </w:r>
      <w:r w:rsidR="00185D11">
        <w:rPr>
          <w:rFonts w:hint="cs"/>
          <w:rtl/>
        </w:rPr>
        <w:t>ّ</w:t>
      </w:r>
      <w:r w:rsidRPr="00E4028C">
        <w:rPr>
          <w:rFonts w:hint="cs"/>
          <w:rtl/>
        </w:rPr>
        <w:t>× كي يكون ذلك بهدف إسقاط نظام الظلم والجور في الشام.</w:t>
      </w:r>
    </w:p>
    <w:p w14:paraId="4A7F41DD" w14:textId="77777777" w:rsidR="000D424B" w:rsidRDefault="00DD6401" w:rsidP="00FF1596">
      <w:pPr>
        <w:rPr>
          <w:rtl/>
        </w:rPr>
      </w:pPr>
      <w:r w:rsidRPr="00185D11">
        <w:rPr>
          <w:rFonts w:hint="cs"/>
          <w:b/>
          <w:bCs/>
          <w:rtl/>
        </w:rPr>
        <w:t>وقد نسبت هذه النظرية إلى السيد المرتضى</w:t>
      </w:r>
      <w:r w:rsidRPr="00E4028C">
        <w:rPr>
          <w:rFonts w:hint="cs"/>
          <w:rtl/>
        </w:rPr>
        <w:t xml:space="preserve"> فيما ذكره في كتابيه</w:t>
      </w:r>
      <w:r w:rsidR="00185D11">
        <w:rPr>
          <w:rFonts w:hint="cs"/>
          <w:rtl/>
        </w:rPr>
        <w:t>:</w:t>
      </w:r>
      <w:r w:rsidRPr="00E4028C">
        <w:rPr>
          <w:rFonts w:hint="cs"/>
          <w:rtl/>
        </w:rPr>
        <w:t xml:space="preserve"> تنزيه الأنبياء والشافي</w:t>
      </w:r>
      <w:r w:rsidRPr="00763E4E">
        <w:rPr>
          <w:rFonts w:cs="Taher"/>
          <w:vertAlign w:val="superscript"/>
          <w:rtl/>
        </w:rPr>
        <w:t>(</w:t>
      </w:r>
      <w:r w:rsidRPr="00763E4E">
        <w:rPr>
          <w:rFonts w:cs="Taher"/>
          <w:vertAlign w:val="superscript"/>
          <w:rtl/>
        </w:rPr>
        <w:footnoteReference w:id="239"/>
      </w:r>
      <w:r w:rsidRPr="00763E4E">
        <w:rPr>
          <w:rFonts w:cs="Taher"/>
          <w:vertAlign w:val="superscript"/>
          <w:rtl/>
        </w:rPr>
        <w:t>)</w:t>
      </w:r>
      <w:r w:rsidRPr="00E4028C">
        <w:rPr>
          <w:rFonts w:hint="cs"/>
          <w:rtl/>
        </w:rPr>
        <w:t>، حتى قيل: إن</w:t>
      </w:r>
      <w:r w:rsidR="00185D11">
        <w:rPr>
          <w:rFonts w:hint="cs"/>
          <w:rtl/>
        </w:rPr>
        <w:t>ّ</w:t>
      </w:r>
      <w:r w:rsidRPr="00E4028C">
        <w:rPr>
          <w:rFonts w:hint="cs"/>
          <w:rtl/>
        </w:rPr>
        <w:t xml:space="preserve"> السيد ابن طاووس (664هـ) ألّف كتابه اللهوف على قتلى الطفوف، للردّ على المرتضى، وكذلك حصل مع السيد عبدالوهاب الحسيني الاسترآبادي (قرن 9هـ)، صاحب تنزيه الأنبياء، وعبد الله البحراني، ورضي بن نبي القزويني</w:t>
      </w:r>
      <w:r w:rsidRPr="00763E4E">
        <w:rPr>
          <w:rFonts w:cs="Taher"/>
          <w:vertAlign w:val="superscript"/>
          <w:rtl/>
        </w:rPr>
        <w:t>(</w:t>
      </w:r>
      <w:r w:rsidRPr="00763E4E">
        <w:rPr>
          <w:rFonts w:cs="Taher"/>
          <w:vertAlign w:val="superscript"/>
          <w:rtl/>
        </w:rPr>
        <w:footnoteReference w:id="240"/>
      </w:r>
      <w:r w:rsidRPr="00763E4E">
        <w:rPr>
          <w:rFonts w:cs="Taher"/>
          <w:vertAlign w:val="superscript"/>
          <w:rtl/>
        </w:rPr>
        <w:t>)</w:t>
      </w:r>
      <w:r w:rsidRPr="00E4028C">
        <w:rPr>
          <w:rFonts w:hint="cs"/>
          <w:rtl/>
        </w:rPr>
        <w:t xml:space="preserve">. </w:t>
      </w:r>
      <w:r w:rsidR="00734AF8">
        <w:rPr>
          <w:rFonts w:hint="cs"/>
          <w:rtl/>
        </w:rPr>
        <w:t xml:space="preserve">وتنسب هذه النظريّة للشيخ المفيد (413هـ)، وللشيخ الطوسي (460هـ)، </w:t>
      </w:r>
      <w:r w:rsidRPr="00E4028C">
        <w:rPr>
          <w:rFonts w:hint="cs"/>
          <w:rtl/>
        </w:rPr>
        <w:t>كما يذهب إلى هذه النظرية كل</w:t>
      </w:r>
      <w:r w:rsidR="008D7B11">
        <w:rPr>
          <w:rFonts w:hint="cs"/>
          <w:rtl/>
        </w:rPr>
        <w:t>ّ</w:t>
      </w:r>
      <w:r w:rsidRPr="00E4028C">
        <w:rPr>
          <w:rFonts w:hint="cs"/>
          <w:rtl/>
        </w:rPr>
        <w:t xml:space="preserve"> من الشيخ علي بن عبد الله البحراني الستري (1319هـ) في رسالته: قامعة أهل الباطل بدفع شبهات المجادل</w:t>
      </w:r>
      <w:r w:rsidRPr="00763E4E">
        <w:rPr>
          <w:rFonts w:cs="Taher"/>
          <w:vertAlign w:val="superscript"/>
          <w:rtl/>
        </w:rPr>
        <w:t>(</w:t>
      </w:r>
      <w:r w:rsidRPr="00763E4E">
        <w:rPr>
          <w:rFonts w:cs="Taher"/>
          <w:vertAlign w:val="superscript"/>
          <w:rtl/>
        </w:rPr>
        <w:footnoteReference w:id="241"/>
      </w:r>
      <w:r w:rsidRPr="00763E4E">
        <w:rPr>
          <w:rFonts w:cs="Taher"/>
          <w:vertAlign w:val="superscript"/>
          <w:rtl/>
        </w:rPr>
        <w:t>)</w:t>
      </w:r>
      <w:r w:rsidRPr="00E4028C">
        <w:rPr>
          <w:rFonts w:hint="cs"/>
          <w:rtl/>
        </w:rPr>
        <w:t>، والشيخ نعمة الله صالحي نجف آبادي (2006م) في كتابه الشهير (الشهيد الخالد)، والأستاذ محمد علي خليلي</w:t>
      </w:r>
      <w:r w:rsidRPr="00763E4E">
        <w:rPr>
          <w:rFonts w:cs="Taher"/>
          <w:vertAlign w:val="superscript"/>
          <w:rtl/>
        </w:rPr>
        <w:t>(</w:t>
      </w:r>
      <w:r w:rsidRPr="00763E4E">
        <w:rPr>
          <w:rFonts w:cs="Taher"/>
          <w:vertAlign w:val="superscript"/>
          <w:rtl/>
        </w:rPr>
        <w:footnoteReference w:id="242"/>
      </w:r>
      <w:r w:rsidRPr="00763E4E">
        <w:rPr>
          <w:rFonts w:cs="Taher"/>
          <w:vertAlign w:val="superscript"/>
          <w:rtl/>
        </w:rPr>
        <w:t>)</w:t>
      </w:r>
      <w:r w:rsidRPr="00E4028C">
        <w:rPr>
          <w:rFonts w:hint="cs"/>
          <w:rtl/>
        </w:rPr>
        <w:t>، والسيد علي الأمين العاملي المعاصر، على ما سمعنا شفاهاً عنه</w:t>
      </w:r>
      <w:r w:rsidR="000D424B">
        <w:rPr>
          <w:rFonts w:hint="cs"/>
          <w:rtl/>
        </w:rPr>
        <w:t>.</w:t>
      </w:r>
    </w:p>
    <w:p w14:paraId="0F0E8970" w14:textId="77777777" w:rsidR="008D7B11" w:rsidRDefault="008D7B11" w:rsidP="00C1235D">
      <w:pPr>
        <w:pStyle w:val="Space2"/>
        <w:rPr>
          <w:rtl/>
        </w:rPr>
      </w:pPr>
      <w:r w:rsidRPr="00793E39">
        <w:rPr>
          <w:rFonts w:hint="cs"/>
          <w:b/>
          <w:bCs/>
          <w:rtl/>
        </w:rPr>
        <w:t>ويعتبر بعض أنصار هذا النظريّة ـ إذا أردنا تحليل كلمات غير واحدٍ منهم ـ أنّ الوقائع السياسيّة البشريّة التاريخيّة كثيراً ما تكون هناك رغبة مستبطنة أو ميل، في فضاءٍ ديني، لتحويلها لقضايا دينيّة ميتافيزيقيّة ذات بُعد ما ورائي،</w:t>
      </w:r>
      <w:r>
        <w:rPr>
          <w:rFonts w:hint="cs"/>
          <w:rtl/>
        </w:rPr>
        <w:t xml:space="preserve"> فالحسين خرج مثله مثل الكثير من الذين خرجوا على الأمويّين والعباسيّين في التاريخ الإسلامي، </w:t>
      </w:r>
      <w:r w:rsidR="001B0475">
        <w:rPr>
          <w:rFonts w:hint="cs"/>
          <w:rtl/>
        </w:rPr>
        <w:t>ولهذا فهم منه جمهور المؤرّخين وعامّة أهل السنّة والباحثين الغربيّين، بل وكثير من الشيعة غير الإماميّة</w:t>
      </w:r>
      <w:r w:rsidR="00CD5CAD">
        <w:rPr>
          <w:rFonts w:hint="cs"/>
          <w:rtl/>
        </w:rPr>
        <w:t xml:space="preserve"> ـ سواء من هؤلاء من أيّد الحسين في خروجه أم عارضه ـ </w:t>
      </w:r>
      <w:r w:rsidR="001B0475">
        <w:rPr>
          <w:rFonts w:hint="cs"/>
          <w:rtl/>
        </w:rPr>
        <w:t xml:space="preserve">فهموا منه أنّه </w:t>
      </w:r>
      <w:r w:rsidR="002805B6">
        <w:rPr>
          <w:rFonts w:hint="cs"/>
          <w:rtl/>
        </w:rPr>
        <w:t>قاد حركة سياسيّة و</w:t>
      </w:r>
      <w:r w:rsidR="001B0475">
        <w:rPr>
          <w:rFonts w:hint="cs"/>
          <w:rtl/>
        </w:rPr>
        <w:t xml:space="preserve">خرج للمعارضة وتأسيس سلطة شرعيّة إسلاميّة تعمل بشرع الله في العراق، </w:t>
      </w:r>
      <w:r>
        <w:rPr>
          <w:rFonts w:hint="cs"/>
          <w:rtl/>
        </w:rPr>
        <w:t xml:space="preserve">لكنّ </w:t>
      </w:r>
      <w:r w:rsidR="001B0475">
        <w:rPr>
          <w:rFonts w:hint="cs"/>
          <w:rtl/>
        </w:rPr>
        <w:t xml:space="preserve">بعض </w:t>
      </w:r>
      <w:r>
        <w:rPr>
          <w:rFonts w:hint="cs"/>
          <w:rtl/>
        </w:rPr>
        <w:t>أنصار</w:t>
      </w:r>
      <w:r w:rsidR="001B0475">
        <w:rPr>
          <w:rFonts w:hint="cs"/>
          <w:rtl/>
        </w:rPr>
        <w:t xml:space="preserve"> الإمام الحسين وشيعته </w:t>
      </w:r>
      <w:r>
        <w:rPr>
          <w:rFonts w:hint="cs"/>
          <w:rtl/>
        </w:rPr>
        <w:t xml:space="preserve">من بعده حوّلوا حركته إلى أمر متعالٍ عن السياسة والزمكان، وخلعوا عليها صفات غيبيّة غير مفهومة، فصارت </w:t>
      </w:r>
      <w:r>
        <w:rPr>
          <w:rFonts w:hint="cs"/>
          <w:rtl/>
        </w:rPr>
        <w:lastRenderedPageBreak/>
        <w:t xml:space="preserve">أمراً دينيّاً، وتحوّلت إلى جزء من الدين الإسلامي، </w:t>
      </w:r>
      <w:r w:rsidRPr="001B0475">
        <w:rPr>
          <w:rFonts w:hint="cs"/>
          <w:b/>
          <w:bCs/>
          <w:rtl/>
        </w:rPr>
        <w:t>وهذا ما يسمّى بنزعة تحويل السياسي التاريخي إلى ديني أسراري ميتاتاريخي</w:t>
      </w:r>
      <w:r>
        <w:rPr>
          <w:rFonts w:hint="cs"/>
          <w:rtl/>
        </w:rPr>
        <w:t>.</w:t>
      </w:r>
      <w:r w:rsidR="001B0475">
        <w:rPr>
          <w:rFonts w:hint="cs"/>
          <w:rtl/>
        </w:rPr>
        <w:t xml:space="preserve"> وهو يشبه ـ من وجهة نظر نقّاد اللاهوت المسيحي الرسمي ـ ما حصل مع المسيحيّة، فإنّ صلب المسيح أمرٌ تاريخي حصل مع غيره كثيراً، غير أنّهم أعادوا تفسير الصلب تفسيراً أنطولوجيّاً جعله ظاهرة دينيّة عقديّة وجزءاً متعالياً عن الفهم والتعقيل في مساحة كبيرة منه، مع أنّه ـ من وجهة نظر النقّاد ـ مجرّد حادث صلب يحصل مثله الكثير في تلك الأيّام.</w:t>
      </w:r>
    </w:p>
    <w:p w14:paraId="3BBB5279" w14:textId="77777777" w:rsidR="009B5DAA" w:rsidRDefault="001B2340" w:rsidP="00FF1596">
      <w:pPr>
        <w:pStyle w:val="Space2"/>
        <w:spacing w:line="216" w:lineRule="auto"/>
        <w:rPr>
          <w:rtl/>
        </w:rPr>
      </w:pPr>
      <w:r w:rsidRPr="00793E39">
        <w:rPr>
          <w:rFonts w:hint="cs"/>
          <w:b/>
          <w:bCs/>
          <w:rtl/>
        </w:rPr>
        <w:t>لقد كان للحركة الإسلاميّة السياسيّة بين الشيعة في العصر الحديث أكبر الدور في إعادة تفسير الحركة الحسينيّة تفسيراً سياسيّاً</w:t>
      </w:r>
      <w:r w:rsidR="009B5DAA">
        <w:rPr>
          <w:rFonts w:hint="cs"/>
          <w:b/>
          <w:bCs/>
          <w:rtl/>
        </w:rPr>
        <w:t xml:space="preserve"> في مقابل التفسير الغيبي (النظرية الأولى)</w:t>
      </w:r>
      <w:r w:rsidRPr="00793E39">
        <w:rPr>
          <w:rFonts w:hint="cs"/>
          <w:b/>
          <w:bCs/>
          <w:rtl/>
        </w:rPr>
        <w:t>؛</w:t>
      </w:r>
      <w:r>
        <w:rPr>
          <w:rFonts w:hint="cs"/>
          <w:rtl/>
        </w:rPr>
        <w:t xml:space="preserve"> لأنّ هذا التفسير يصبّ تماماً في المنطق الثوري </w:t>
      </w:r>
      <w:r w:rsidR="009B5DAA">
        <w:rPr>
          <w:rFonts w:hint="cs"/>
          <w:rtl/>
        </w:rPr>
        <w:t xml:space="preserve">أو التغييري </w:t>
      </w:r>
      <w:r>
        <w:rPr>
          <w:rFonts w:hint="cs"/>
          <w:rtl/>
        </w:rPr>
        <w:t xml:space="preserve">الذي تبنّته هذه الحركة بأغلب أطيافها </w:t>
      </w:r>
      <w:r w:rsidR="009B5DAA">
        <w:rPr>
          <w:rFonts w:hint="cs"/>
          <w:rtl/>
        </w:rPr>
        <w:t xml:space="preserve">ـ على الأقلّ ـ </w:t>
      </w:r>
      <w:r>
        <w:rPr>
          <w:rFonts w:hint="cs"/>
          <w:rtl/>
        </w:rPr>
        <w:t>في القرن العشرين</w:t>
      </w:r>
      <w:r w:rsidR="00793E39">
        <w:rPr>
          <w:rFonts w:hint="cs"/>
          <w:rtl/>
        </w:rPr>
        <w:t>.</w:t>
      </w:r>
      <w:r>
        <w:rPr>
          <w:rFonts w:hint="cs"/>
          <w:rtl/>
        </w:rPr>
        <w:t xml:space="preserve"> </w:t>
      </w:r>
      <w:r w:rsidR="009B5DAA" w:rsidRPr="009B5DAA">
        <w:rPr>
          <w:rFonts w:hint="cs"/>
          <w:b/>
          <w:bCs/>
          <w:rtl/>
        </w:rPr>
        <w:t xml:space="preserve">ووفقاً لتعبير كارين آرمسترونغ، فإنّ الإمام الصادق استخدم سياسة </w:t>
      </w:r>
      <w:r w:rsidR="009B5DAA" w:rsidRPr="009B5DAA">
        <w:rPr>
          <w:rFonts w:cs="Cambria" w:hint="cs"/>
          <w:b/>
          <w:bCs/>
          <w:rtl/>
        </w:rPr>
        <w:t>"</w:t>
      </w:r>
      <w:r w:rsidR="009B5DAA" w:rsidRPr="009B5DAA">
        <w:rPr>
          <w:rFonts w:hint="cs"/>
          <w:b/>
          <w:bCs/>
          <w:rtl/>
        </w:rPr>
        <w:t>العلمانيّة المقدّسة</w:t>
      </w:r>
      <w:r w:rsidR="009B5DAA" w:rsidRPr="009B5DAA">
        <w:rPr>
          <w:rFonts w:cs="Cambria" w:hint="cs"/>
          <w:b/>
          <w:bCs/>
          <w:rtl/>
        </w:rPr>
        <w:t>"</w:t>
      </w:r>
      <w:r w:rsidR="009B5DAA" w:rsidRPr="009B5DAA">
        <w:rPr>
          <w:rFonts w:hint="cs"/>
          <w:b/>
          <w:bCs/>
          <w:rtl/>
        </w:rPr>
        <w:t xml:space="preserve"> لحماية الشيعة في العصر العباسي، فيما رأى أمثال السيد موسى الصدر أنّ الشيعة تغيّرت أوضاعهم اليوم</w:t>
      </w:r>
      <w:r w:rsidR="009B5DAA">
        <w:rPr>
          <w:rFonts w:hint="cs"/>
          <w:b/>
          <w:bCs/>
          <w:rtl/>
        </w:rPr>
        <w:t xml:space="preserve"> في العصر الحديث</w:t>
      </w:r>
      <w:r w:rsidR="009B5DAA" w:rsidRPr="009B5DAA">
        <w:rPr>
          <w:rFonts w:hint="cs"/>
          <w:b/>
          <w:bCs/>
          <w:rtl/>
        </w:rPr>
        <w:t>، وصاروا بحاجة إلى أن يعودوا لروح الإمام الحسين كي ينهضوا من جديد</w:t>
      </w:r>
      <w:r w:rsidR="009B5DAA" w:rsidRPr="00763E4E">
        <w:rPr>
          <w:rFonts w:cs="Taher"/>
          <w:vertAlign w:val="superscript"/>
          <w:rtl/>
        </w:rPr>
        <w:t>(</w:t>
      </w:r>
      <w:r w:rsidR="009B5DAA" w:rsidRPr="00763E4E">
        <w:rPr>
          <w:rFonts w:cs="Taher"/>
          <w:vertAlign w:val="superscript"/>
          <w:rtl/>
        </w:rPr>
        <w:footnoteReference w:id="243"/>
      </w:r>
      <w:r w:rsidR="009B5DAA" w:rsidRPr="00763E4E">
        <w:rPr>
          <w:rFonts w:cs="Taher"/>
          <w:vertAlign w:val="superscript"/>
          <w:rtl/>
        </w:rPr>
        <w:t>)</w:t>
      </w:r>
      <w:r w:rsidR="009B5DAA" w:rsidRPr="009B5DAA">
        <w:rPr>
          <w:rFonts w:hint="cs"/>
          <w:b/>
          <w:bCs/>
          <w:rtl/>
        </w:rPr>
        <w:t>.</w:t>
      </w:r>
    </w:p>
    <w:p w14:paraId="1C57BC0F" w14:textId="77777777" w:rsidR="001B2340" w:rsidRDefault="001B2340" w:rsidP="00FF1596">
      <w:pPr>
        <w:spacing w:line="221" w:lineRule="auto"/>
        <w:rPr>
          <w:rtl/>
        </w:rPr>
      </w:pPr>
      <w:r>
        <w:rPr>
          <w:rFonts w:hint="cs"/>
          <w:rtl/>
        </w:rPr>
        <w:t>نحن نعرف أنّ الحركة الإسلامي</w:t>
      </w:r>
      <w:r w:rsidR="00793E39">
        <w:rPr>
          <w:rFonts w:hint="cs"/>
          <w:rtl/>
        </w:rPr>
        <w:t>ّ</w:t>
      </w:r>
      <w:r>
        <w:rPr>
          <w:rFonts w:hint="cs"/>
          <w:rtl/>
        </w:rPr>
        <w:t xml:space="preserve">ة السياسيّة بإعلائها من شأن </w:t>
      </w:r>
      <w:r w:rsidR="00793E39">
        <w:rPr>
          <w:rFonts w:hint="cs"/>
          <w:rtl/>
        </w:rPr>
        <w:t>ال</w:t>
      </w:r>
      <w:r>
        <w:rPr>
          <w:rFonts w:hint="cs"/>
          <w:rtl/>
        </w:rPr>
        <w:t xml:space="preserve">سياسة </w:t>
      </w:r>
      <w:r w:rsidR="00793E39">
        <w:rPr>
          <w:rFonts w:hint="cs"/>
          <w:rtl/>
        </w:rPr>
        <w:t xml:space="preserve">في </w:t>
      </w:r>
      <w:r>
        <w:rPr>
          <w:rFonts w:hint="cs"/>
          <w:rtl/>
        </w:rPr>
        <w:t>المنظومة الإسلاميّ</w:t>
      </w:r>
      <w:r w:rsidR="00793E39">
        <w:rPr>
          <w:rFonts w:hint="cs"/>
          <w:rtl/>
        </w:rPr>
        <w:t>ة</w:t>
      </w:r>
      <w:r>
        <w:rPr>
          <w:rFonts w:hint="cs"/>
          <w:rtl/>
        </w:rPr>
        <w:t>، قامت بإعا</w:t>
      </w:r>
      <w:r w:rsidR="00793E39">
        <w:rPr>
          <w:rFonts w:hint="cs"/>
          <w:rtl/>
        </w:rPr>
        <w:t>د</w:t>
      </w:r>
      <w:r>
        <w:rPr>
          <w:rFonts w:hint="cs"/>
          <w:rtl/>
        </w:rPr>
        <w:t>ة قراءة الكثير من المفاهيم الدينية قراءة</w:t>
      </w:r>
      <w:r w:rsidR="00793E39">
        <w:rPr>
          <w:rFonts w:hint="cs"/>
          <w:rtl/>
        </w:rPr>
        <w:t>ً</w:t>
      </w:r>
      <w:r>
        <w:rPr>
          <w:rFonts w:hint="cs"/>
          <w:rtl/>
        </w:rPr>
        <w:t xml:space="preserve"> مرتبطة بهذا الفهم المركزي السياسي، ويحصل هذا عادةً عند بروز تحوّلات فكريّة</w:t>
      </w:r>
      <w:r w:rsidR="00793E39">
        <w:rPr>
          <w:rFonts w:hint="cs"/>
          <w:rtl/>
        </w:rPr>
        <w:t>،</w:t>
      </w:r>
      <w:r>
        <w:rPr>
          <w:rFonts w:hint="cs"/>
          <w:rtl/>
        </w:rPr>
        <w:t xml:space="preserve"> حيث يقوم الفهم الجديد للدين على نقط</w:t>
      </w:r>
      <w:r w:rsidR="00793E39">
        <w:rPr>
          <w:rFonts w:hint="cs"/>
          <w:rtl/>
        </w:rPr>
        <w:t>ة</w:t>
      </w:r>
      <w:r>
        <w:rPr>
          <w:rFonts w:hint="cs"/>
          <w:rtl/>
        </w:rPr>
        <w:t xml:space="preserve"> محوريّ</w:t>
      </w:r>
      <w:r w:rsidR="00793E39">
        <w:rPr>
          <w:rFonts w:hint="cs"/>
          <w:rtl/>
        </w:rPr>
        <w:t>ة</w:t>
      </w:r>
      <w:r>
        <w:rPr>
          <w:rFonts w:hint="cs"/>
          <w:rtl/>
        </w:rPr>
        <w:t>، ثم يسعى الفريق المؤمن بهذا الفهم لإسقاط هذه النقطة المحوري</w:t>
      </w:r>
      <w:r w:rsidR="00793E39">
        <w:rPr>
          <w:rFonts w:hint="cs"/>
          <w:rtl/>
        </w:rPr>
        <w:t>ّ</w:t>
      </w:r>
      <w:r>
        <w:rPr>
          <w:rFonts w:hint="cs"/>
          <w:rtl/>
        </w:rPr>
        <w:t xml:space="preserve">ة للدين </w:t>
      </w:r>
      <w:r w:rsidR="00793E39">
        <w:rPr>
          <w:rFonts w:hint="cs"/>
          <w:rtl/>
        </w:rPr>
        <w:t xml:space="preserve">ـ </w:t>
      </w:r>
      <w:r>
        <w:rPr>
          <w:rFonts w:hint="cs"/>
          <w:rtl/>
        </w:rPr>
        <w:t xml:space="preserve">وفقاً لفهمه </w:t>
      </w:r>
      <w:r w:rsidR="00793E39">
        <w:rPr>
          <w:rFonts w:hint="cs"/>
          <w:rtl/>
        </w:rPr>
        <w:t xml:space="preserve">ـ </w:t>
      </w:r>
      <w:r>
        <w:rPr>
          <w:rFonts w:hint="cs"/>
          <w:rtl/>
        </w:rPr>
        <w:t>على مختلف مساحات الدين وأجزائه، ليغدو تفسيره للدين تفسيراً منسجماً مع محوري</w:t>
      </w:r>
      <w:r w:rsidR="00793E39">
        <w:rPr>
          <w:rFonts w:hint="cs"/>
          <w:rtl/>
        </w:rPr>
        <w:t>ّ</w:t>
      </w:r>
      <w:r>
        <w:rPr>
          <w:rFonts w:hint="cs"/>
          <w:rtl/>
        </w:rPr>
        <w:t>ة هذه الفكرة، ولما كانت السياسة نقطة</w:t>
      </w:r>
      <w:r w:rsidR="00793E39">
        <w:rPr>
          <w:rFonts w:hint="cs"/>
          <w:rtl/>
        </w:rPr>
        <w:t>ً</w:t>
      </w:r>
      <w:r>
        <w:rPr>
          <w:rFonts w:hint="cs"/>
          <w:rtl/>
        </w:rPr>
        <w:t xml:space="preserve"> محوري</w:t>
      </w:r>
      <w:r w:rsidR="00793E39">
        <w:rPr>
          <w:rFonts w:hint="cs"/>
          <w:rtl/>
        </w:rPr>
        <w:t>ّ</w:t>
      </w:r>
      <w:r>
        <w:rPr>
          <w:rFonts w:hint="cs"/>
          <w:rtl/>
        </w:rPr>
        <w:t>ة أولى عند الكثير من الإسلامي</w:t>
      </w:r>
      <w:r w:rsidR="00793E39">
        <w:rPr>
          <w:rFonts w:hint="cs"/>
          <w:rtl/>
        </w:rPr>
        <w:t>ّ</w:t>
      </w:r>
      <w:r>
        <w:rPr>
          <w:rFonts w:hint="cs"/>
          <w:rtl/>
        </w:rPr>
        <w:t>ين الشيعة</w:t>
      </w:r>
      <w:r w:rsidR="00793E39">
        <w:rPr>
          <w:rFonts w:hint="cs"/>
          <w:rtl/>
        </w:rPr>
        <w:t xml:space="preserve"> </w:t>
      </w:r>
      <w:r>
        <w:rPr>
          <w:rFonts w:hint="cs"/>
          <w:rtl/>
        </w:rPr>
        <w:t>في</w:t>
      </w:r>
      <w:r w:rsidR="00793E39">
        <w:rPr>
          <w:rFonts w:hint="cs"/>
          <w:rtl/>
        </w:rPr>
        <w:t xml:space="preserve"> </w:t>
      </w:r>
      <w:r>
        <w:rPr>
          <w:rFonts w:hint="cs"/>
          <w:rtl/>
        </w:rPr>
        <w:t>القرن العشرين</w:t>
      </w:r>
      <w:r w:rsidR="00793E39">
        <w:rPr>
          <w:rFonts w:hint="cs"/>
          <w:rtl/>
        </w:rPr>
        <w:t>،</w:t>
      </w:r>
      <w:r>
        <w:rPr>
          <w:rFonts w:hint="cs"/>
          <w:rtl/>
        </w:rPr>
        <w:t xml:space="preserve"> حتى بلغت أوجها مع نظريّة مثل السيد الخميني الذي اعتبر أنّ الفقه مندك</w:t>
      </w:r>
      <w:r w:rsidR="00793E39">
        <w:rPr>
          <w:rFonts w:hint="cs"/>
          <w:rtl/>
        </w:rPr>
        <w:t>ّ</w:t>
      </w:r>
      <w:r>
        <w:rPr>
          <w:rFonts w:hint="cs"/>
          <w:rtl/>
        </w:rPr>
        <w:t xml:space="preserve"> في الدولة الدينية، كان من الطبيعة </w:t>
      </w:r>
      <w:r w:rsidR="00793E39">
        <w:rPr>
          <w:rFonts w:hint="cs"/>
          <w:rtl/>
        </w:rPr>
        <w:t>إ</w:t>
      </w:r>
      <w:r>
        <w:rPr>
          <w:rFonts w:hint="cs"/>
          <w:rtl/>
        </w:rPr>
        <w:t>عادة تفسير مختلف ال</w:t>
      </w:r>
      <w:r w:rsidR="00793E39">
        <w:rPr>
          <w:rFonts w:hint="cs"/>
          <w:rtl/>
        </w:rPr>
        <w:t xml:space="preserve">ظواهر </w:t>
      </w:r>
      <w:r>
        <w:rPr>
          <w:rFonts w:hint="cs"/>
          <w:rtl/>
        </w:rPr>
        <w:t>التا</w:t>
      </w:r>
      <w:r w:rsidR="00793E39">
        <w:rPr>
          <w:rFonts w:hint="cs"/>
          <w:rtl/>
        </w:rPr>
        <w:t>ر</w:t>
      </w:r>
      <w:r>
        <w:rPr>
          <w:rFonts w:hint="cs"/>
          <w:rtl/>
        </w:rPr>
        <w:t>يخي</w:t>
      </w:r>
      <w:r w:rsidR="00793E39">
        <w:rPr>
          <w:rFonts w:hint="cs"/>
          <w:rtl/>
        </w:rPr>
        <w:t>ّ</w:t>
      </w:r>
      <w:r>
        <w:rPr>
          <w:rFonts w:hint="cs"/>
          <w:rtl/>
        </w:rPr>
        <w:t>ة والنصوص الديني</w:t>
      </w:r>
      <w:r w:rsidR="00793E39">
        <w:rPr>
          <w:rFonts w:hint="cs"/>
          <w:rtl/>
        </w:rPr>
        <w:t>ّ</w:t>
      </w:r>
      <w:r>
        <w:rPr>
          <w:rFonts w:hint="cs"/>
          <w:rtl/>
        </w:rPr>
        <w:t xml:space="preserve">ة تفسيراً سياسياً، </w:t>
      </w:r>
      <w:r w:rsidR="00C80B13">
        <w:rPr>
          <w:rFonts w:hint="cs"/>
          <w:rtl/>
        </w:rPr>
        <w:t>ولهذا</w:t>
      </w:r>
      <w:r w:rsidR="00793E39">
        <w:rPr>
          <w:rFonts w:hint="cs"/>
          <w:rtl/>
        </w:rPr>
        <w:t xml:space="preserve"> لما ظهرت تيارات جديدة ترفض المنطق الثوري وجدنا حديثاً عن مفهوم "صلح الإمام الحسين"، وكذلك عن </w:t>
      </w:r>
      <w:r w:rsidR="00793E39">
        <w:rPr>
          <w:rFonts w:hint="cs"/>
          <w:rtl/>
        </w:rPr>
        <w:lastRenderedPageBreak/>
        <w:t>كون الإمام الحسين هو داعية حقوق إنسان وغير ذلك.</w:t>
      </w:r>
    </w:p>
    <w:p w14:paraId="6CD64597" w14:textId="77777777" w:rsidR="00E34188" w:rsidRDefault="00E34188" w:rsidP="00E3743D">
      <w:pPr>
        <w:pStyle w:val="Space2"/>
        <w:rPr>
          <w:rtl/>
        </w:rPr>
      </w:pPr>
      <w:r w:rsidRPr="00E34188">
        <w:rPr>
          <w:rFonts w:hint="cs"/>
          <w:b/>
          <w:bCs/>
          <w:rtl/>
        </w:rPr>
        <w:t xml:space="preserve">من هنا، وجدنا كيف أنّ مفاهيم من نوع </w:t>
      </w:r>
      <w:r w:rsidRPr="00E34188">
        <w:rPr>
          <w:rFonts w:cs="Cambria" w:hint="cs"/>
          <w:b/>
          <w:bCs/>
          <w:rtl/>
        </w:rPr>
        <w:t>"</w:t>
      </w:r>
      <w:r w:rsidRPr="00E34188">
        <w:rPr>
          <w:rFonts w:hint="cs"/>
          <w:b/>
          <w:bCs/>
          <w:rtl/>
        </w:rPr>
        <w:t>حسين العصر</w:t>
      </w:r>
      <w:r w:rsidRPr="00E34188">
        <w:rPr>
          <w:rFonts w:cs="Cambria" w:hint="cs"/>
          <w:b/>
          <w:bCs/>
          <w:rtl/>
        </w:rPr>
        <w:t>"</w:t>
      </w:r>
      <w:r w:rsidRPr="00E34188">
        <w:rPr>
          <w:rFonts w:hint="cs"/>
          <w:b/>
          <w:bCs/>
          <w:rtl/>
        </w:rPr>
        <w:t xml:space="preserve"> و "يزيد العصر</w:t>
      </w:r>
      <w:r w:rsidRPr="00E34188">
        <w:rPr>
          <w:rFonts w:cs="Cambria" w:hint="cs"/>
          <w:b/>
          <w:bCs/>
          <w:rtl/>
        </w:rPr>
        <w:t>"</w:t>
      </w:r>
      <w:r w:rsidRPr="00E34188">
        <w:rPr>
          <w:rFonts w:hint="cs"/>
          <w:b/>
          <w:bCs/>
          <w:rtl/>
        </w:rPr>
        <w:t>، أخذت بالرواج والاتساع في النصف الثاني من القرن العشرين</w:t>
      </w:r>
      <w:r>
        <w:rPr>
          <w:rFonts w:hint="cs"/>
          <w:b/>
          <w:bCs/>
          <w:rtl/>
        </w:rPr>
        <w:t xml:space="preserve">؛ </w:t>
      </w:r>
      <w:r w:rsidRPr="00E34188">
        <w:rPr>
          <w:rFonts w:hint="cs"/>
          <w:rtl/>
        </w:rPr>
        <w:t>لأنّها</w:t>
      </w:r>
      <w:r>
        <w:rPr>
          <w:rFonts w:hint="cs"/>
          <w:rtl/>
        </w:rPr>
        <w:t xml:space="preserve"> تعبير عن إعادة إنتاج القضيّة الحسينيّة في الحياة إنتاجاً معاصراً، بدل بقائها أمراً تاريخيّاً أو ميتافيزيقياً، ولهذا نجد الصراع بين المدرسة التعقيليّة السياسيّة والمدرسة الميتافيزيقيّة بادياً عند الحديث ـ مثلاً ـ عن أنّ شهداء الإسلام اليوم أفضل أو شهداء كربلاء وهكذا.</w:t>
      </w:r>
    </w:p>
    <w:p w14:paraId="7338B042" w14:textId="77777777" w:rsidR="00E3743D" w:rsidRDefault="00E3743D" w:rsidP="00FF1596">
      <w:pPr>
        <w:rPr>
          <w:rtl/>
        </w:rPr>
      </w:pPr>
      <w:r>
        <w:rPr>
          <w:rFonts w:hint="cs"/>
          <w:rtl/>
        </w:rPr>
        <w:t xml:space="preserve">وكمثال </w:t>
      </w:r>
      <w:r w:rsidR="00D87005">
        <w:rPr>
          <w:rFonts w:hint="cs"/>
          <w:rtl/>
        </w:rPr>
        <w:t xml:space="preserve">آخر، دراسة </w:t>
      </w:r>
      <w:r>
        <w:rPr>
          <w:rFonts w:hint="cs"/>
          <w:rtl/>
        </w:rPr>
        <w:t>سيرة أئمّة أهل البيت النبوي</w:t>
      </w:r>
      <w:r w:rsidR="00D87005">
        <w:rPr>
          <w:rFonts w:hint="cs"/>
          <w:rtl/>
        </w:rPr>
        <w:t>ّ</w:t>
      </w:r>
      <w:r>
        <w:rPr>
          <w:rFonts w:hint="cs"/>
          <w:rtl/>
        </w:rPr>
        <w:t>، ففي الوقت الذي نجد فيه الكثيرين عبر التاريخ و</w:t>
      </w:r>
      <w:r w:rsidR="00D87005">
        <w:rPr>
          <w:rFonts w:hint="cs"/>
          <w:rtl/>
        </w:rPr>
        <w:t xml:space="preserve">العديد </w:t>
      </w:r>
      <w:r>
        <w:rPr>
          <w:rFonts w:hint="cs"/>
          <w:rtl/>
        </w:rPr>
        <w:t xml:space="preserve">من </w:t>
      </w:r>
      <w:r w:rsidR="00D87005">
        <w:rPr>
          <w:rFonts w:hint="cs"/>
          <w:rtl/>
        </w:rPr>
        <w:t>ال</w:t>
      </w:r>
      <w:r>
        <w:rPr>
          <w:rFonts w:hint="cs"/>
          <w:rtl/>
        </w:rPr>
        <w:t>مستش</w:t>
      </w:r>
      <w:r w:rsidR="00D87005">
        <w:rPr>
          <w:rFonts w:hint="cs"/>
          <w:rtl/>
        </w:rPr>
        <w:t>ر</w:t>
      </w:r>
      <w:r>
        <w:rPr>
          <w:rFonts w:hint="cs"/>
          <w:rtl/>
        </w:rPr>
        <w:t>قين الذ</w:t>
      </w:r>
      <w:r w:rsidR="00D87005">
        <w:rPr>
          <w:rFonts w:hint="cs"/>
          <w:rtl/>
        </w:rPr>
        <w:t>ين تعرّضوا للموضوع، يذهبون إلى أنّ أئمّة أهل البيت من ولد ال</w:t>
      </w:r>
      <w:r>
        <w:rPr>
          <w:rFonts w:hint="cs"/>
          <w:rtl/>
        </w:rPr>
        <w:t>حسين اعتزلوا الحياة السياسيّة ما أمكنهم</w:t>
      </w:r>
      <w:r w:rsidR="00D87005">
        <w:rPr>
          <w:rFonts w:hint="cs"/>
          <w:rtl/>
        </w:rPr>
        <w:t>،</w:t>
      </w:r>
      <w:r>
        <w:rPr>
          <w:rFonts w:hint="cs"/>
          <w:rtl/>
        </w:rPr>
        <w:t xml:space="preserve"> وتحوّلوا إلى عبّاد</w:t>
      </w:r>
      <w:r w:rsidR="00D87005">
        <w:rPr>
          <w:rFonts w:hint="cs"/>
          <w:rtl/>
        </w:rPr>
        <w:t>ٍ</w:t>
      </w:r>
      <w:r>
        <w:rPr>
          <w:rFonts w:hint="cs"/>
          <w:rtl/>
        </w:rPr>
        <w:t xml:space="preserve"> وزهّاد</w:t>
      </w:r>
      <w:r w:rsidR="00D87005">
        <w:rPr>
          <w:rFonts w:hint="cs"/>
          <w:rtl/>
        </w:rPr>
        <w:t xml:space="preserve"> ورموز إيمان وتقوى في المجتمع،</w:t>
      </w:r>
      <w:r>
        <w:rPr>
          <w:rFonts w:hint="cs"/>
          <w:rtl/>
        </w:rPr>
        <w:t xml:space="preserve"> وأعطوا الأولويّة لإصلاح إيمان </w:t>
      </w:r>
      <w:r w:rsidR="00D87005">
        <w:rPr>
          <w:rFonts w:hint="cs"/>
          <w:rtl/>
        </w:rPr>
        <w:t xml:space="preserve">الناس </w:t>
      </w:r>
      <w:r>
        <w:rPr>
          <w:rFonts w:hint="cs"/>
          <w:rtl/>
        </w:rPr>
        <w:t>وأخلاق</w:t>
      </w:r>
      <w:r w:rsidR="00D87005">
        <w:rPr>
          <w:rFonts w:hint="cs"/>
          <w:rtl/>
        </w:rPr>
        <w:t>هم</w:t>
      </w:r>
      <w:r>
        <w:rPr>
          <w:rFonts w:hint="cs"/>
          <w:rtl/>
        </w:rPr>
        <w:t xml:space="preserve"> ووعي</w:t>
      </w:r>
      <w:r w:rsidR="00D87005">
        <w:rPr>
          <w:rFonts w:hint="cs"/>
          <w:rtl/>
        </w:rPr>
        <w:t>هم</w:t>
      </w:r>
      <w:r>
        <w:rPr>
          <w:rFonts w:hint="cs"/>
          <w:rtl/>
        </w:rPr>
        <w:t xml:space="preserve"> وتقو</w:t>
      </w:r>
      <w:r w:rsidR="00D87005">
        <w:rPr>
          <w:rFonts w:hint="cs"/>
          <w:rtl/>
        </w:rPr>
        <w:t>اهم</w:t>
      </w:r>
      <w:r>
        <w:rPr>
          <w:rFonts w:hint="cs"/>
          <w:rtl/>
        </w:rPr>
        <w:t xml:space="preserve"> </w:t>
      </w:r>
      <w:r w:rsidR="00D87005">
        <w:rPr>
          <w:rFonts w:hint="cs"/>
          <w:rtl/>
        </w:rPr>
        <w:t xml:space="preserve">بعد أن جرفت المسلمينَ </w:t>
      </w:r>
      <w:r>
        <w:rPr>
          <w:rFonts w:hint="cs"/>
          <w:rtl/>
        </w:rPr>
        <w:t>الدنيا</w:t>
      </w:r>
      <w:r w:rsidR="00D87005">
        <w:rPr>
          <w:rFonts w:hint="cs"/>
          <w:rtl/>
        </w:rPr>
        <w:t>، عقب الفتوحات وعلى يد السلاطين الفاسدين،</w:t>
      </w:r>
      <w:r>
        <w:rPr>
          <w:rFonts w:hint="cs"/>
          <w:rtl/>
        </w:rPr>
        <w:t xml:space="preserve"> لهذا كانوا رموزاً عند الم</w:t>
      </w:r>
      <w:r w:rsidR="00D87005">
        <w:rPr>
          <w:rFonts w:hint="cs"/>
          <w:rtl/>
        </w:rPr>
        <w:t>ت</w:t>
      </w:r>
      <w:r>
        <w:rPr>
          <w:rFonts w:hint="cs"/>
          <w:rtl/>
        </w:rPr>
        <w:t xml:space="preserve">صوّفة والعرفاء </w:t>
      </w:r>
      <w:r w:rsidR="00D87005">
        <w:rPr>
          <w:rFonts w:hint="cs"/>
          <w:rtl/>
        </w:rPr>
        <w:t xml:space="preserve">أيضاً </w:t>
      </w:r>
      <w:r>
        <w:rPr>
          <w:rFonts w:hint="cs"/>
          <w:rtl/>
        </w:rPr>
        <w:t xml:space="preserve">عبر التاريخ.. نجد أنّ الكثير من رموز الحركة الإسلاميّة ـ وليس آخرهم السيد علي الخامنئي في كتابه: "إنسان بعمر 250 </w:t>
      </w:r>
      <w:r w:rsidR="00D87005">
        <w:rPr>
          <w:rFonts w:hint="cs"/>
          <w:rtl/>
        </w:rPr>
        <w:t>سنة</w:t>
      </w:r>
      <w:r>
        <w:rPr>
          <w:rFonts w:hint="cs"/>
          <w:rtl/>
        </w:rPr>
        <w:t xml:space="preserve">" </w:t>
      </w:r>
      <w:r w:rsidR="00012F73">
        <w:rPr>
          <w:rFonts w:hint="cs"/>
          <w:rtl/>
        </w:rPr>
        <w:t xml:space="preserve">ـ </w:t>
      </w:r>
      <w:r>
        <w:rPr>
          <w:rFonts w:hint="cs"/>
          <w:rtl/>
        </w:rPr>
        <w:t xml:space="preserve">يفسّر </w:t>
      </w:r>
      <w:r w:rsidR="00226A6B">
        <w:rPr>
          <w:rFonts w:hint="cs"/>
          <w:rtl/>
        </w:rPr>
        <w:t xml:space="preserve">الكثير من </w:t>
      </w:r>
      <w:r w:rsidR="00D87005">
        <w:rPr>
          <w:rFonts w:hint="cs"/>
          <w:rtl/>
        </w:rPr>
        <w:t>حركات الأئمّة</w:t>
      </w:r>
      <w:r>
        <w:rPr>
          <w:rFonts w:hint="cs"/>
          <w:rtl/>
        </w:rPr>
        <w:t xml:space="preserve"> ومواقفهم وتوجيهاتهم </w:t>
      </w:r>
      <w:r w:rsidR="00226A6B">
        <w:rPr>
          <w:rFonts w:hint="cs"/>
          <w:rtl/>
        </w:rPr>
        <w:t xml:space="preserve">ونشاطاتهم </w:t>
      </w:r>
      <w:r>
        <w:rPr>
          <w:rFonts w:hint="cs"/>
          <w:rtl/>
        </w:rPr>
        <w:t>بعد الحسين</w:t>
      </w:r>
      <w:r w:rsidR="008A5AE9">
        <w:rPr>
          <w:rFonts w:hint="cs"/>
          <w:rtl/>
        </w:rPr>
        <w:t xml:space="preserve"> تفسيراً سياسيّاً</w:t>
      </w:r>
      <w:r w:rsidR="00D87005">
        <w:rPr>
          <w:rFonts w:hint="cs"/>
          <w:rtl/>
        </w:rPr>
        <w:t>،</w:t>
      </w:r>
      <w:r w:rsidR="00D71B3B">
        <w:rPr>
          <w:rFonts w:hint="cs"/>
          <w:rtl/>
        </w:rPr>
        <w:t xml:space="preserve"> على أ</w:t>
      </w:r>
      <w:r>
        <w:rPr>
          <w:rFonts w:hint="cs"/>
          <w:rtl/>
        </w:rPr>
        <w:t>نّهم كانوا</w:t>
      </w:r>
      <w:r w:rsidR="00C34E28">
        <w:rPr>
          <w:rFonts w:hint="cs"/>
          <w:rtl/>
        </w:rPr>
        <w:t xml:space="preserve"> </w:t>
      </w:r>
      <w:r w:rsidR="00D71B3B">
        <w:rPr>
          <w:rFonts w:hint="cs"/>
          <w:rtl/>
        </w:rPr>
        <w:t xml:space="preserve">دائماً </w:t>
      </w:r>
      <w:r>
        <w:rPr>
          <w:rFonts w:hint="cs"/>
          <w:rtl/>
        </w:rPr>
        <w:t>في حالة تهي</w:t>
      </w:r>
      <w:r w:rsidR="00D71B3B">
        <w:rPr>
          <w:rFonts w:hint="cs"/>
          <w:rtl/>
        </w:rPr>
        <w:t xml:space="preserve">ّؤ </w:t>
      </w:r>
      <w:r>
        <w:rPr>
          <w:rFonts w:hint="cs"/>
          <w:rtl/>
        </w:rPr>
        <w:t>تام و</w:t>
      </w:r>
      <w:r w:rsidR="00D71B3B">
        <w:rPr>
          <w:rFonts w:hint="cs"/>
          <w:rtl/>
        </w:rPr>
        <w:t xml:space="preserve">عمل </w:t>
      </w:r>
      <w:r>
        <w:rPr>
          <w:rFonts w:hint="cs"/>
          <w:rtl/>
        </w:rPr>
        <w:t>جادّ لتحقيق مشروع الدولة الإسلاميّ</w:t>
      </w:r>
      <w:r w:rsidR="00D71B3B">
        <w:rPr>
          <w:rFonts w:hint="cs"/>
          <w:rtl/>
        </w:rPr>
        <w:t>ة</w:t>
      </w:r>
      <w:r>
        <w:rPr>
          <w:rFonts w:hint="cs"/>
          <w:rtl/>
        </w:rPr>
        <w:t xml:space="preserve"> في اللحظة المناسبة</w:t>
      </w:r>
      <w:r w:rsidR="00997057" w:rsidRPr="00763E4E">
        <w:rPr>
          <w:rFonts w:cs="Taher"/>
          <w:vertAlign w:val="superscript"/>
          <w:rtl/>
        </w:rPr>
        <w:t>(</w:t>
      </w:r>
      <w:r w:rsidR="00997057" w:rsidRPr="00763E4E">
        <w:rPr>
          <w:rFonts w:cs="Taher"/>
          <w:vertAlign w:val="superscript"/>
          <w:rtl/>
        </w:rPr>
        <w:footnoteReference w:id="244"/>
      </w:r>
      <w:r w:rsidR="00997057" w:rsidRPr="00763E4E">
        <w:rPr>
          <w:rFonts w:cs="Taher"/>
          <w:vertAlign w:val="superscript"/>
          <w:rtl/>
        </w:rPr>
        <w:t>)</w:t>
      </w:r>
      <w:r>
        <w:rPr>
          <w:rFonts w:hint="cs"/>
          <w:rtl/>
        </w:rPr>
        <w:t>.</w:t>
      </w:r>
    </w:p>
    <w:p w14:paraId="60CEBE4C" w14:textId="77777777" w:rsidR="003B0BB6" w:rsidRPr="003B0BB6" w:rsidRDefault="003B0BB6" w:rsidP="0096148C">
      <w:pPr>
        <w:pStyle w:val="Heading3"/>
        <w:rPr>
          <w:rtl/>
        </w:rPr>
      </w:pPr>
      <w:bookmarkStart w:id="122" w:name="_Toc143804146"/>
      <w:bookmarkStart w:id="123" w:name="_Toc238123271"/>
      <w:r>
        <w:rPr>
          <w:rFonts w:hint="cs"/>
          <w:rtl/>
        </w:rPr>
        <w:t>كتاب "</w:t>
      </w:r>
      <w:r w:rsidRPr="003B0BB6">
        <w:rPr>
          <w:rFonts w:hint="cs"/>
          <w:rtl/>
        </w:rPr>
        <w:t>الشهيد الخالد</w:t>
      </w:r>
      <w:r>
        <w:rPr>
          <w:rFonts w:hint="cs"/>
          <w:rtl/>
        </w:rPr>
        <w:t>"</w:t>
      </w:r>
      <w:r w:rsidRPr="003B0BB6">
        <w:rPr>
          <w:rFonts w:hint="cs"/>
          <w:rtl/>
        </w:rPr>
        <w:t xml:space="preserve"> ونقطة التحوّل باتجاه ا</w:t>
      </w:r>
      <w:r>
        <w:rPr>
          <w:rFonts w:hint="cs"/>
          <w:rtl/>
        </w:rPr>
        <w:t>لن</w:t>
      </w:r>
      <w:r w:rsidRPr="003B0BB6">
        <w:rPr>
          <w:rFonts w:hint="cs"/>
          <w:rtl/>
        </w:rPr>
        <w:t>ظري</w:t>
      </w:r>
      <w:r>
        <w:rPr>
          <w:rFonts w:hint="cs"/>
          <w:rtl/>
        </w:rPr>
        <w:t>ّ</w:t>
      </w:r>
      <w:r w:rsidRPr="003B0BB6">
        <w:rPr>
          <w:rFonts w:hint="cs"/>
          <w:rtl/>
        </w:rPr>
        <w:t>ة ال</w:t>
      </w:r>
      <w:r>
        <w:rPr>
          <w:rFonts w:hint="cs"/>
          <w:rtl/>
        </w:rPr>
        <w:t>سياسيّة ال</w:t>
      </w:r>
      <w:r w:rsidRPr="003B0BB6">
        <w:rPr>
          <w:rFonts w:hint="cs"/>
          <w:rtl/>
        </w:rPr>
        <w:t>كاملة</w:t>
      </w:r>
      <w:bookmarkEnd w:id="122"/>
      <w:bookmarkEnd w:id="123"/>
    </w:p>
    <w:p w14:paraId="76676038" w14:textId="77777777" w:rsidR="003B0BB6" w:rsidRPr="00E4028C" w:rsidRDefault="003B0BB6" w:rsidP="00012F73">
      <w:pPr>
        <w:pStyle w:val="Space2"/>
        <w:rPr>
          <w:rtl/>
        </w:rPr>
      </w:pPr>
      <w:r w:rsidRPr="003B0BB6">
        <w:rPr>
          <w:rFonts w:hint="cs"/>
          <w:b/>
          <w:bCs/>
          <w:rtl/>
        </w:rPr>
        <w:t>بلغت القراءة السياسيّة للحركة الحسيني</w:t>
      </w:r>
      <w:r>
        <w:rPr>
          <w:rFonts w:hint="cs"/>
          <w:b/>
          <w:bCs/>
          <w:rtl/>
        </w:rPr>
        <w:t>ّ</w:t>
      </w:r>
      <w:r w:rsidRPr="003B0BB6">
        <w:rPr>
          <w:rFonts w:hint="cs"/>
          <w:b/>
          <w:bCs/>
          <w:rtl/>
        </w:rPr>
        <w:t>ة أوجها مع صدور كتاب «الشهيد الخالد» الذي ألّفه الشيخ نعمة الله صالحي نجف آبادي (2006م) عام 19</w:t>
      </w:r>
      <w:r w:rsidR="00793F0B">
        <w:rPr>
          <w:rFonts w:hint="cs"/>
          <w:b/>
          <w:bCs/>
          <w:rtl/>
        </w:rPr>
        <w:t>69</w:t>
      </w:r>
      <w:r w:rsidRPr="003B0BB6">
        <w:rPr>
          <w:rFonts w:hint="cs"/>
          <w:b/>
          <w:bCs/>
          <w:rtl/>
        </w:rPr>
        <w:t>م،</w:t>
      </w:r>
      <w:r w:rsidRPr="00E4028C">
        <w:rPr>
          <w:rFonts w:hint="cs"/>
          <w:rtl/>
        </w:rPr>
        <w:t xml:space="preserve"> </w:t>
      </w:r>
      <w:r w:rsidR="009F7496">
        <w:rPr>
          <w:rFonts w:hint="cs"/>
          <w:rtl/>
        </w:rPr>
        <w:t xml:space="preserve">واستمرّ في الإعداد له ـ كما يقول ـ سبع سنوات، </w:t>
      </w:r>
      <w:r w:rsidRPr="00E4028C">
        <w:rPr>
          <w:rFonts w:hint="cs"/>
          <w:rtl/>
        </w:rPr>
        <w:t xml:space="preserve">فقد شكّل هذا الكتاب منعطفاً في دراسة فلسفة قيام الإمام الحسين في الوسط </w:t>
      </w:r>
      <w:r w:rsidRPr="00E4028C">
        <w:rPr>
          <w:rFonts w:hint="cs"/>
          <w:rtl/>
        </w:rPr>
        <w:lastRenderedPageBreak/>
        <w:t>الشيعي، وأد</w:t>
      </w:r>
      <w:r>
        <w:rPr>
          <w:rFonts w:hint="cs"/>
          <w:rtl/>
        </w:rPr>
        <w:t>ّ</w:t>
      </w:r>
      <w:r w:rsidRPr="00E4028C">
        <w:rPr>
          <w:rFonts w:hint="cs"/>
          <w:rtl/>
        </w:rPr>
        <w:t>ى إلى صخب وجدال كبيرين في الوسط العلمي ال</w:t>
      </w:r>
      <w:r w:rsidR="00942332">
        <w:rPr>
          <w:rFonts w:hint="cs"/>
          <w:rtl/>
        </w:rPr>
        <w:t>إمامي</w:t>
      </w:r>
      <w:r w:rsidRPr="00E4028C">
        <w:rPr>
          <w:rFonts w:hint="cs"/>
          <w:rtl/>
        </w:rPr>
        <w:t xml:space="preserve">، </w:t>
      </w:r>
      <w:r w:rsidR="00FB216B">
        <w:rPr>
          <w:rFonts w:hint="cs"/>
          <w:rtl/>
        </w:rPr>
        <w:t xml:space="preserve">وانقسمت الحوزات العلميّة بين مؤيّد ومعارض، الأمر الذي </w:t>
      </w:r>
      <w:r w:rsidRPr="00E4028C">
        <w:rPr>
          <w:rFonts w:hint="cs"/>
          <w:rtl/>
        </w:rPr>
        <w:t>أفضى إلى تدخ</w:t>
      </w:r>
      <w:r w:rsidR="00FB216B">
        <w:rPr>
          <w:rFonts w:hint="cs"/>
          <w:rtl/>
        </w:rPr>
        <w:t>ّ</w:t>
      </w:r>
      <w:r w:rsidRPr="00E4028C">
        <w:rPr>
          <w:rFonts w:hint="cs"/>
          <w:rtl/>
        </w:rPr>
        <w:t>ل بعض كبار الفقهاء ومراجع التقليد ضدّه، مثل السيد المرعشي النجفي والسيد محم</w:t>
      </w:r>
      <w:r w:rsidR="00942332">
        <w:rPr>
          <w:rFonts w:hint="cs"/>
          <w:rtl/>
        </w:rPr>
        <w:t>ّد رضا ال</w:t>
      </w:r>
      <w:r w:rsidR="00942332">
        <w:rPr>
          <w:rFonts w:hint="cs"/>
          <w:rtl/>
          <w:lang w:bidi="fa-IR"/>
        </w:rPr>
        <w:t>گ</w:t>
      </w:r>
      <w:r w:rsidR="00942332">
        <w:rPr>
          <w:rFonts w:hint="cs"/>
          <w:rtl/>
        </w:rPr>
        <w:t>لپايگ</w:t>
      </w:r>
      <w:r w:rsidRPr="00E4028C">
        <w:rPr>
          <w:rFonts w:hint="cs"/>
          <w:rtl/>
        </w:rPr>
        <w:t>اني و</w:t>
      </w:r>
      <w:r>
        <w:rPr>
          <w:rFonts w:hint="cs"/>
          <w:rtl/>
        </w:rPr>
        <w:t>غيرهما</w:t>
      </w:r>
      <w:r w:rsidR="00012F73">
        <w:rPr>
          <w:rFonts w:hint="cs"/>
          <w:rtl/>
        </w:rPr>
        <w:t>، حيث اعتبر الگلپايگ</w:t>
      </w:r>
      <w:r w:rsidR="00A762E4">
        <w:rPr>
          <w:rFonts w:hint="cs"/>
          <w:rtl/>
        </w:rPr>
        <w:t xml:space="preserve">اني أنّ هذا </w:t>
      </w:r>
      <w:r w:rsidR="00012F73">
        <w:rPr>
          <w:rFonts w:hint="cs"/>
          <w:rtl/>
        </w:rPr>
        <w:t xml:space="preserve">الكتاب </w:t>
      </w:r>
      <w:r w:rsidR="00A762E4">
        <w:rPr>
          <w:rFonts w:hint="cs"/>
          <w:rtl/>
        </w:rPr>
        <w:t xml:space="preserve">من كتب الضلال ودعا الناس لعدم قراءته، وهي دعوة شبيهة بما </w:t>
      </w:r>
      <w:r w:rsidR="00012F73">
        <w:rPr>
          <w:rFonts w:hint="cs"/>
          <w:rtl/>
        </w:rPr>
        <w:t xml:space="preserve">أصدره </w:t>
      </w:r>
      <w:r w:rsidR="00A762E4">
        <w:rPr>
          <w:rFonts w:hint="cs"/>
          <w:rtl/>
        </w:rPr>
        <w:t>المرعشي النجفي</w:t>
      </w:r>
      <w:r>
        <w:rPr>
          <w:rFonts w:hint="cs"/>
          <w:rtl/>
        </w:rPr>
        <w:t>.</w:t>
      </w:r>
    </w:p>
    <w:p w14:paraId="76E332C9" w14:textId="77777777" w:rsidR="003B0BB6" w:rsidRPr="00E4028C" w:rsidRDefault="003B0BB6" w:rsidP="00640457">
      <w:pPr>
        <w:pStyle w:val="Space2"/>
        <w:rPr>
          <w:rtl/>
        </w:rPr>
      </w:pPr>
      <w:r w:rsidRPr="00640457">
        <w:rPr>
          <w:rFonts w:hint="cs"/>
          <w:b/>
          <w:bCs/>
          <w:rtl/>
        </w:rPr>
        <w:t>وقد كتب في ردّ هذا الكتاب مصن</w:t>
      </w:r>
      <w:r w:rsidR="00942332" w:rsidRPr="00640457">
        <w:rPr>
          <w:rFonts w:hint="cs"/>
          <w:b/>
          <w:bCs/>
          <w:rtl/>
        </w:rPr>
        <w:t>ّ</w:t>
      </w:r>
      <w:r w:rsidRPr="00640457">
        <w:rPr>
          <w:rFonts w:hint="cs"/>
          <w:b/>
          <w:bCs/>
          <w:rtl/>
        </w:rPr>
        <w:t xml:space="preserve">فات عديدة بعضها كبير الحجم، </w:t>
      </w:r>
      <w:r w:rsidR="001F6067" w:rsidRPr="00640457">
        <w:rPr>
          <w:rFonts w:hint="cs"/>
          <w:b/>
          <w:bCs/>
          <w:rtl/>
        </w:rPr>
        <w:t xml:space="preserve">زادت عن الأربعين نقداً، </w:t>
      </w:r>
      <w:r w:rsidRPr="00640457">
        <w:rPr>
          <w:rFonts w:hint="cs"/>
          <w:b/>
          <w:bCs/>
          <w:rtl/>
        </w:rPr>
        <w:t>وكان من الناقدين:</w:t>
      </w:r>
      <w:r w:rsidRPr="00E4028C">
        <w:rPr>
          <w:rFonts w:hint="cs"/>
          <w:rtl/>
        </w:rPr>
        <w:t xml:space="preserve"> الشيخ لطف الله الصافي</w:t>
      </w:r>
      <w:r>
        <w:rPr>
          <w:rFonts w:hint="cs"/>
          <w:rtl/>
        </w:rPr>
        <w:t>،</w:t>
      </w:r>
      <w:r w:rsidRPr="00E4028C">
        <w:rPr>
          <w:rFonts w:hint="cs"/>
          <w:rtl/>
        </w:rPr>
        <w:t xml:space="preserve"> والشيخ رضا الأستادي</w:t>
      </w:r>
      <w:r w:rsidR="00984076">
        <w:rPr>
          <w:rFonts w:hint="cs"/>
          <w:rtl/>
        </w:rPr>
        <w:t xml:space="preserve">، والشيخ علي </w:t>
      </w:r>
      <w:r w:rsidR="00984076">
        <w:rPr>
          <w:rFonts w:hint="cs"/>
          <w:rtl/>
          <w:lang w:bidi="fa-IR"/>
        </w:rPr>
        <w:t>پ</w:t>
      </w:r>
      <w:r w:rsidR="00984076">
        <w:rPr>
          <w:rFonts w:hint="cs"/>
          <w:rtl/>
        </w:rPr>
        <w:t>ناه الاشتهاردي،</w:t>
      </w:r>
      <w:r w:rsidRPr="00E4028C">
        <w:rPr>
          <w:rFonts w:hint="cs"/>
          <w:rtl/>
        </w:rPr>
        <w:t xml:space="preserve"> </w:t>
      </w:r>
      <w:r w:rsidR="006D1990">
        <w:rPr>
          <w:rFonts w:hint="cs"/>
          <w:rtl/>
        </w:rPr>
        <w:t xml:space="preserve">والسيد أحمد الفهري، </w:t>
      </w:r>
      <w:r w:rsidR="00640457">
        <w:rPr>
          <w:rFonts w:hint="cs"/>
          <w:rtl/>
        </w:rPr>
        <w:t>والشيخ محمد الفاضل اللنگ</w:t>
      </w:r>
      <w:r w:rsidR="006D1990">
        <w:rPr>
          <w:rFonts w:hint="cs"/>
          <w:rtl/>
        </w:rPr>
        <w:t xml:space="preserve">راني، </w:t>
      </w:r>
      <w:r w:rsidR="00A762E4">
        <w:rPr>
          <w:rFonts w:hint="cs"/>
          <w:rtl/>
        </w:rPr>
        <w:t xml:space="preserve">والسيد محمد المرتضوي، </w:t>
      </w:r>
      <w:r w:rsidR="006D1990">
        <w:rPr>
          <w:rFonts w:hint="cs"/>
          <w:rtl/>
        </w:rPr>
        <w:t>والميرزا أبو الفضل الزاهدي القمّي، و</w:t>
      </w:r>
      <w:r w:rsidRPr="00E4028C">
        <w:rPr>
          <w:rFonts w:hint="cs"/>
          <w:rtl/>
        </w:rPr>
        <w:t>الدكتور علي شريعتي</w:t>
      </w:r>
      <w:r w:rsidR="006D1990">
        <w:rPr>
          <w:rFonts w:hint="cs"/>
          <w:rtl/>
        </w:rPr>
        <w:t>،</w:t>
      </w:r>
      <w:r w:rsidRPr="00E4028C">
        <w:rPr>
          <w:rFonts w:hint="cs"/>
          <w:rtl/>
        </w:rPr>
        <w:t xml:space="preserve"> والشيخ مرتضى مطهري</w:t>
      </w:r>
      <w:r w:rsidR="006D1990">
        <w:rPr>
          <w:rFonts w:hint="cs"/>
          <w:rtl/>
        </w:rPr>
        <w:t>،</w:t>
      </w:r>
      <w:r w:rsidRPr="00E4028C">
        <w:rPr>
          <w:rFonts w:hint="cs"/>
          <w:rtl/>
        </w:rPr>
        <w:t xml:space="preserve"> </w:t>
      </w:r>
      <w:r w:rsidR="00942332">
        <w:rPr>
          <w:rFonts w:hint="cs"/>
          <w:rtl/>
        </w:rPr>
        <w:t xml:space="preserve">والعلامة الطباطبائي، </w:t>
      </w:r>
      <w:r w:rsidRPr="00E4028C">
        <w:rPr>
          <w:rFonts w:hint="cs"/>
          <w:rtl/>
        </w:rPr>
        <w:t>و</w:t>
      </w:r>
      <w:r w:rsidR="006D1990">
        <w:rPr>
          <w:rFonts w:hint="cs"/>
          <w:rtl/>
        </w:rPr>
        <w:t>غيرهم</w:t>
      </w:r>
      <w:r>
        <w:rPr>
          <w:rFonts w:hint="cs"/>
          <w:rtl/>
        </w:rPr>
        <w:t>.</w:t>
      </w:r>
    </w:p>
    <w:p w14:paraId="05203F56" w14:textId="77777777" w:rsidR="003B0BB6" w:rsidRDefault="003B0BB6" w:rsidP="00CA74C6">
      <w:pPr>
        <w:pStyle w:val="Space2"/>
        <w:rPr>
          <w:rtl/>
        </w:rPr>
      </w:pPr>
      <w:r w:rsidRPr="00CA74C6">
        <w:rPr>
          <w:rFonts w:hint="cs"/>
          <w:b/>
          <w:bCs/>
          <w:rtl/>
        </w:rPr>
        <w:t>ولم يصدر موقف واضح من بعض الشخصيات المهمّة آنذاك، ولا سيّما الإمام الخميني،</w:t>
      </w:r>
      <w:r w:rsidRPr="00E4028C">
        <w:rPr>
          <w:rFonts w:hint="cs"/>
          <w:rtl/>
        </w:rPr>
        <w:t xml:space="preserve"> الذي اعتبر أن</w:t>
      </w:r>
      <w:r w:rsidR="00942332">
        <w:rPr>
          <w:rFonts w:hint="cs"/>
          <w:rtl/>
        </w:rPr>
        <w:t>ّ</w:t>
      </w:r>
      <w:r w:rsidRPr="00E4028C">
        <w:rPr>
          <w:rFonts w:hint="cs"/>
          <w:rtl/>
        </w:rPr>
        <w:t xml:space="preserve"> الموضوع أشغل الحوزة عن قضايا كبرى، كما كان هناك من يرى أن</w:t>
      </w:r>
      <w:r>
        <w:rPr>
          <w:rFonts w:hint="cs"/>
          <w:rtl/>
        </w:rPr>
        <w:t>ّ</w:t>
      </w:r>
      <w:r w:rsidRPr="00E4028C">
        <w:rPr>
          <w:rFonts w:hint="cs"/>
          <w:rtl/>
        </w:rPr>
        <w:t xml:space="preserve"> ل</w:t>
      </w:r>
      <w:r>
        <w:rPr>
          <w:rFonts w:hint="cs"/>
          <w:rtl/>
        </w:rPr>
        <w:t>لمخابرات الإيرانية</w:t>
      </w:r>
      <w:r w:rsidRPr="00E4028C">
        <w:rPr>
          <w:rFonts w:hint="cs"/>
          <w:rtl/>
        </w:rPr>
        <w:t xml:space="preserve"> (السافاك) دوراً في تأجيج الفتنة</w:t>
      </w:r>
      <w:r w:rsidRPr="00763E4E">
        <w:rPr>
          <w:rFonts w:cs="Taher"/>
          <w:vertAlign w:val="superscript"/>
          <w:rtl/>
        </w:rPr>
        <w:t>(</w:t>
      </w:r>
      <w:r w:rsidRPr="00763E4E">
        <w:rPr>
          <w:rFonts w:cs="Taher"/>
          <w:vertAlign w:val="superscript"/>
          <w:rtl/>
        </w:rPr>
        <w:footnoteReference w:id="245"/>
      </w:r>
      <w:r w:rsidRPr="00763E4E">
        <w:rPr>
          <w:rFonts w:cs="Taher"/>
          <w:vertAlign w:val="superscript"/>
          <w:rtl/>
        </w:rPr>
        <w:t>)</w:t>
      </w:r>
      <w:r w:rsidR="0051422D">
        <w:rPr>
          <w:rFonts w:hint="cs"/>
          <w:rtl/>
        </w:rPr>
        <w:t>؛ لأنّ التيار الثوري أيضاً كان قد انقسم انقساماً كبيراً حول الكتاب.</w:t>
      </w:r>
      <w:r w:rsidR="005D4AF7">
        <w:rPr>
          <w:rFonts w:hint="cs"/>
          <w:rtl/>
        </w:rPr>
        <w:t xml:space="preserve"> وبالجملة فهناك نوع تنازع بين نجف آبادي ورضا استادي حول موقف السيد الخميني، ففيما يدّعي نجف آبادي أنّ موقف الخميني قريب منه ومن الكتاب، يرى استاد</w:t>
      </w:r>
      <w:r w:rsidR="000D67F1">
        <w:rPr>
          <w:rFonts w:hint="cs"/>
          <w:rtl/>
        </w:rPr>
        <w:t>ي</w:t>
      </w:r>
      <w:r w:rsidR="005D4AF7">
        <w:rPr>
          <w:rFonts w:hint="cs"/>
          <w:rtl/>
        </w:rPr>
        <w:t xml:space="preserve"> العكس تماماً.</w:t>
      </w:r>
      <w:r w:rsidR="000D67F1">
        <w:rPr>
          <w:rFonts w:hint="cs"/>
          <w:rtl/>
        </w:rPr>
        <w:t xml:space="preserve"> والمعروف تاريخيّاً أنّ نجف آبادي وحسين علي المنتظري كان</w:t>
      </w:r>
      <w:r w:rsidR="00CA74C6">
        <w:rPr>
          <w:rFonts w:hint="cs"/>
          <w:rtl/>
        </w:rPr>
        <w:t>ا</w:t>
      </w:r>
      <w:r w:rsidR="000D67F1">
        <w:rPr>
          <w:rFonts w:hint="cs"/>
          <w:rtl/>
        </w:rPr>
        <w:t xml:space="preserve"> من أوائل من طرح مرجعيّة السيد الخميني بعد وفاة السيد محسن الحكيم.</w:t>
      </w:r>
    </w:p>
    <w:p w14:paraId="412A7286" w14:textId="77777777" w:rsidR="001F6067" w:rsidRPr="00E4028C" w:rsidRDefault="001F6067" w:rsidP="00C1235D">
      <w:pPr>
        <w:pStyle w:val="Space2"/>
        <w:rPr>
          <w:rtl/>
        </w:rPr>
      </w:pPr>
      <w:r w:rsidRPr="00984D9C">
        <w:rPr>
          <w:rFonts w:hint="cs"/>
          <w:b/>
          <w:bCs/>
          <w:rtl/>
        </w:rPr>
        <w:t>وقد ردّ الشيخ نجف آبادي على الكتابات والأ</w:t>
      </w:r>
      <w:r w:rsidR="00C56AD1" w:rsidRPr="00984D9C">
        <w:rPr>
          <w:rFonts w:hint="cs"/>
          <w:b/>
          <w:bCs/>
          <w:rtl/>
        </w:rPr>
        <w:t>ع</w:t>
      </w:r>
      <w:r w:rsidRPr="00984D9C">
        <w:rPr>
          <w:rFonts w:hint="cs"/>
          <w:b/>
          <w:bCs/>
          <w:rtl/>
        </w:rPr>
        <w:t xml:space="preserve">مال </w:t>
      </w:r>
      <w:r w:rsidR="00C56AD1" w:rsidRPr="00984D9C">
        <w:rPr>
          <w:rFonts w:hint="cs"/>
          <w:b/>
          <w:bCs/>
          <w:rtl/>
        </w:rPr>
        <w:t>النقد</w:t>
      </w:r>
      <w:r w:rsidRPr="00984D9C">
        <w:rPr>
          <w:rFonts w:hint="cs"/>
          <w:b/>
          <w:bCs/>
          <w:rtl/>
        </w:rPr>
        <w:t>ي</w:t>
      </w:r>
      <w:r w:rsidR="00C56AD1" w:rsidRPr="00984D9C">
        <w:rPr>
          <w:rFonts w:hint="cs"/>
          <w:b/>
          <w:bCs/>
          <w:rtl/>
        </w:rPr>
        <w:t>ّ</w:t>
      </w:r>
      <w:r w:rsidRPr="00984D9C">
        <w:rPr>
          <w:rFonts w:hint="cs"/>
          <w:b/>
          <w:bCs/>
          <w:rtl/>
        </w:rPr>
        <w:t>ة</w:t>
      </w:r>
      <w:r w:rsidR="00C56AD1" w:rsidRPr="00984D9C">
        <w:rPr>
          <w:rFonts w:hint="cs"/>
          <w:b/>
          <w:bCs/>
          <w:rtl/>
        </w:rPr>
        <w:t>،</w:t>
      </w:r>
      <w:r w:rsidRPr="00984D9C">
        <w:rPr>
          <w:rFonts w:hint="cs"/>
          <w:b/>
          <w:bCs/>
          <w:rtl/>
        </w:rPr>
        <w:t xml:space="preserve"> وذلك عبر أ</w:t>
      </w:r>
      <w:r w:rsidR="00C56AD1" w:rsidRPr="00984D9C">
        <w:rPr>
          <w:rFonts w:hint="cs"/>
          <w:b/>
          <w:bCs/>
          <w:rtl/>
        </w:rPr>
        <w:t>ع</w:t>
      </w:r>
      <w:r w:rsidRPr="00984D9C">
        <w:rPr>
          <w:rFonts w:hint="cs"/>
          <w:b/>
          <w:bCs/>
          <w:rtl/>
        </w:rPr>
        <w:t>مال</w:t>
      </w:r>
      <w:r w:rsidR="00C56AD1" w:rsidRPr="00984D9C">
        <w:rPr>
          <w:rFonts w:hint="cs"/>
          <w:b/>
          <w:bCs/>
          <w:rtl/>
        </w:rPr>
        <w:t>ٍ</w:t>
      </w:r>
      <w:r w:rsidRPr="00984D9C">
        <w:rPr>
          <w:rFonts w:hint="cs"/>
          <w:b/>
          <w:bCs/>
          <w:rtl/>
        </w:rPr>
        <w:t xml:space="preserve"> له</w:t>
      </w:r>
      <w:r w:rsidR="00C56AD1" w:rsidRPr="00984D9C">
        <w:rPr>
          <w:rFonts w:hint="cs"/>
          <w:b/>
          <w:bCs/>
          <w:rtl/>
        </w:rPr>
        <w:t>،</w:t>
      </w:r>
      <w:r w:rsidRPr="00984D9C">
        <w:rPr>
          <w:rFonts w:hint="cs"/>
          <w:b/>
          <w:bCs/>
          <w:rtl/>
        </w:rPr>
        <w:t xml:space="preserve"> أبرزها كتابان: </w:t>
      </w:r>
      <w:r w:rsidR="00C56AD1" w:rsidRPr="00984D9C">
        <w:rPr>
          <w:rFonts w:cs="Cambria" w:hint="cs"/>
          <w:b/>
          <w:bCs/>
          <w:rtl/>
        </w:rPr>
        <w:t>"</w:t>
      </w:r>
      <w:r w:rsidRPr="00984D9C">
        <w:rPr>
          <w:rFonts w:hint="cs"/>
          <w:b/>
          <w:bCs/>
          <w:rtl/>
        </w:rPr>
        <w:t>عصا موسى</w:t>
      </w:r>
      <w:r w:rsidR="00C56AD1" w:rsidRPr="00984D9C">
        <w:rPr>
          <w:rFonts w:cs="Cambria" w:hint="cs"/>
          <w:b/>
          <w:bCs/>
          <w:rtl/>
        </w:rPr>
        <w:t>"</w:t>
      </w:r>
      <w:r w:rsidRPr="00984D9C">
        <w:rPr>
          <w:rFonts w:hint="cs"/>
          <w:b/>
          <w:bCs/>
          <w:rtl/>
        </w:rPr>
        <w:t xml:space="preserve"> و</w:t>
      </w:r>
      <w:r w:rsidR="00C56AD1" w:rsidRPr="00984D9C">
        <w:rPr>
          <w:rFonts w:hint="cs"/>
          <w:b/>
          <w:bCs/>
          <w:rtl/>
        </w:rPr>
        <w:t>"</w:t>
      </w:r>
      <w:r w:rsidRPr="00984D9C">
        <w:rPr>
          <w:rFonts w:hint="cs"/>
          <w:b/>
          <w:bCs/>
          <w:rtl/>
        </w:rPr>
        <w:t>نظرة في الملحمة الحسيني</w:t>
      </w:r>
      <w:r w:rsidR="00C56AD1" w:rsidRPr="00984D9C">
        <w:rPr>
          <w:rFonts w:hint="cs"/>
          <w:b/>
          <w:bCs/>
          <w:rtl/>
        </w:rPr>
        <w:t>ّة"،</w:t>
      </w:r>
      <w:r w:rsidR="00984D9C">
        <w:rPr>
          <w:rFonts w:hint="cs"/>
          <w:rtl/>
        </w:rPr>
        <w:t xml:space="preserve"> وتضمّن</w:t>
      </w:r>
      <w:r>
        <w:rPr>
          <w:rFonts w:hint="cs"/>
          <w:rtl/>
        </w:rPr>
        <w:t>ا الكثير من الأفكار النقديّة</w:t>
      </w:r>
      <w:r w:rsidR="00C56AD1">
        <w:rPr>
          <w:rFonts w:hint="cs"/>
          <w:rtl/>
        </w:rPr>
        <w:t>،</w:t>
      </w:r>
      <w:r>
        <w:rPr>
          <w:rFonts w:hint="cs"/>
          <w:rtl/>
        </w:rPr>
        <w:t xml:space="preserve"> و</w:t>
      </w:r>
      <w:r w:rsidR="00C56AD1">
        <w:rPr>
          <w:rFonts w:hint="cs"/>
          <w:rtl/>
        </w:rPr>
        <w:t>ب</w:t>
      </w:r>
      <w:r>
        <w:rPr>
          <w:rFonts w:hint="cs"/>
          <w:rtl/>
        </w:rPr>
        <w:t>خاصّ</w:t>
      </w:r>
      <w:r w:rsidR="00C56AD1">
        <w:rPr>
          <w:rFonts w:hint="cs"/>
          <w:rtl/>
        </w:rPr>
        <w:t>ة</w:t>
      </w:r>
      <w:r>
        <w:rPr>
          <w:rFonts w:hint="cs"/>
          <w:rtl/>
        </w:rPr>
        <w:t xml:space="preserve"> في قضايا الغلوّ وتفاصيل التصو</w:t>
      </w:r>
      <w:r w:rsidR="00C56AD1">
        <w:rPr>
          <w:rFonts w:hint="cs"/>
          <w:rtl/>
        </w:rPr>
        <w:t>ّ</w:t>
      </w:r>
      <w:r>
        <w:rPr>
          <w:rFonts w:hint="cs"/>
          <w:rtl/>
        </w:rPr>
        <w:t>ر الإمامي للأئم</w:t>
      </w:r>
      <w:r w:rsidR="00C56AD1">
        <w:rPr>
          <w:rFonts w:hint="cs"/>
          <w:rtl/>
        </w:rPr>
        <w:t>ّ</w:t>
      </w:r>
      <w:r>
        <w:rPr>
          <w:rFonts w:hint="cs"/>
          <w:rtl/>
        </w:rPr>
        <w:t>ة وشخصي</w:t>
      </w:r>
      <w:r w:rsidR="00C56AD1">
        <w:rPr>
          <w:rFonts w:hint="cs"/>
          <w:rtl/>
        </w:rPr>
        <w:t>ّ</w:t>
      </w:r>
      <w:r>
        <w:rPr>
          <w:rFonts w:hint="cs"/>
          <w:rtl/>
        </w:rPr>
        <w:t>اتهم وأدوارهم</w:t>
      </w:r>
      <w:r w:rsidR="00A762E4">
        <w:rPr>
          <w:rFonts w:hint="cs"/>
          <w:rtl/>
        </w:rPr>
        <w:t xml:space="preserve">،كما سجّل في الكتاب الثاني سلسلة من الانتقادات ضدّ الشيخ المطهري الذي اعتبر صالحي أنّ قراءته </w:t>
      </w:r>
      <w:r w:rsidR="00A762E4">
        <w:rPr>
          <w:rFonts w:hint="cs"/>
          <w:rtl/>
        </w:rPr>
        <w:lastRenderedPageBreak/>
        <w:t>للموضوع مليئة بالتناقضات وبالأخطاء التاريخيّة وبالفهم المستعجَل للأمور</w:t>
      </w:r>
      <w:r w:rsidR="006E57F7" w:rsidRPr="00763E4E">
        <w:rPr>
          <w:rFonts w:cs="Taher"/>
          <w:vertAlign w:val="superscript"/>
          <w:rtl/>
        </w:rPr>
        <w:t>(</w:t>
      </w:r>
      <w:r w:rsidR="006E57F7" w:rsidRPr="00763E4E">
        <w:rPr>
          <w:rFonts w:cs="Taher"/>
          <w:vertAlign w:val="superscript"/>
          <w:rtl/>
        </w:rPr>
        <w:footnoteReference w:id="246"/>
      </w:r>
      <w:r w:rsidR="006E57F7" w:rsidRPr="00763E4E">
        <w:rPr>
          <w:rFonts w:cs="Taher"/>
          <w:vertAlign w:val="superscript"/>
          <w:rtl/>
        </w:rPr>
        <w:t>)</w:t>
      </w:r>
      <w:r w:rsidR="00A762E4">
        <w:rPr>
          <w:rFonts w:hint="cs"/>
          <w:rtl/>
        </w:rPr>
        <w:t>.</w:t>
      </w:r>
    </w:p>
    <w:p w14:paraId="147865EF" w14:textId="77777777" w:rsidR="003B0BB6" w:rsidRDefault="003B0BB6" w:rsidP="00793F0B">
      <w:pPr>
        <w:pStyle w:val="Space2"/>
        <w:rPr>
          <w:rtl/>
        </w:rPr>
      </w:pPr>
      <w:r w:rsidRPr="00E4028C">
        <w:rPr>
          <w:rFonts w:hint="cs"/>
          <w:rtl/>
        </w:rPr>
        <w:t>على أي</w:t>
      </w:r>
      <w:r>
        <w:rPr>
          <w:rFonts w:hint="cs"/>
          <w:rtl/>
        </w:rPr>
        <w:t>ّ</w:t>
      </w:r>
      <w:r w:rsidRPr="00E4028C">
        <w:rPr>
          <w:rFonts w:hint="cs"/>
          <w:rtl/>
        </w:rPr>
        <w:t>ة حال، منذ 19</w:t>
      </w:r>
      <w:r w:rsidR="00793F0B">
        <w:rPr>
          <w:rFonts w:hint="cs"/>
          <w:rtl/>
        </w:rPr>
        <w:t>69</w:t>
      </w:r>
      <w:r w:rsidRPr="00E4028C">
        <w:rPr>
          <w:rFonts w:hint="cs"/>
          <w:rtl/>
        </w:rPr>
        <w:t xml:space="preserve">م بالتحديد، ظهرت قفزة </w:t>
      </w:r>
      <w:r>
        <w:rPr>
          <w:rFonts w:hint="cs"/>
          <w:rtl/>
        </w:rPr>
        <w:t>م</w:t>
      </w:r>
      <w:r w:rsidRPr="00E4028C">
        <w:rPr>
          <w:rFonts w:hint="cs"/>
          <w:rtl/>
        </w:rPr>
        <w:t>هم</w:t>
      </w:r>
      <w:r>
        <w:rPr>
          <w:rFonts w:hint="cs"/>
          <w:rtl/>
        </w:rPr>
        <w:t>ّ</w:t>
      </w:r>
      <w:r w:rsidRPr="00E4028C">
        <w:rPr>
          <w:rFonts w:hint="cs"/>
          <w:rtl/>
        </w:rPr>
        <w:t>ة في تاريخ دراسة الشيعة لفلسفة ال</w:t>
      </w:r>
      <w:r>
        <w:rPr>
          <w:rFonts w:hint="cs"/>
          <w:rtl/>
        </w:rPr>
        <w:t xml:space="preserve">حركة </w:t>
      </w:r>
      <w:r w:rsidRPr="00D435D0">
        <w:rPr>
          <w:rFonts w:hint="cs"/>
          <w:rtl/>
        </w:rPr>
        <w:t>الحسينية</w:t>
      </w:r>
      <w:r w:rsidRPr="00E4028C">
        <w:rPr>
          <w:rFonts w:hint="cs"/>
          <w:rtl/>
        </w:rPr>
        <w:t>، وتبلورت العديد من النظريات، التي كان بعضها ضعيفاً جداً، وبعضها أكثر حض</w:t>
      </w:r>
      <w:r w:rsidR="00942332">
        <w:rPr>
          <w:rFonts w:hint="cs"/>
          <w:rtl/>
        </w:rPr>
        <w:t>وراً، ومن بينها النظرية السياسية الكاملة</w:t>
      </w:r>
      <w:r w:rsidR="00984D9C">
        <w:rPr>
          <w:rFonts w:hint="cs"/>
          <w:rtl/>
        </w:rPr>
        <w:t xml:space="preserve"> هذه</w:t>
      </w:r>
      <w:r w:rsidR="00942332">
        <w:rPr>
          <w:rFonts w:hint="cs"/>
          <w:rtl/>
        </w:rPr>
        <w:t>.</w:t>
      </w:r>
    </w:p>
    <w:p w14:paraId="69EB40D6" w14:textId="77777777" w:rsidR="00942332" w:rsidRDefault="00942332" w:rsidP="00942332">
      <w:pPr>
        <w:pStyle w:val="Space2"/>
        <w:rPr>
          <w:rtl/>
        </w:rPr>
      </w:pPr>
      <w:r w:rsidRPr="00942332">
        <w:rPr>
          <w:rFonts w:hint="cs"/>
          <w:b/>
          <w:bCs/>
          <w:rtl/>
        </w:rPr>
        <w:t>لكن</w:t>
      </w:r>
      <w:r w:rsidR="00984D9C">
        <w:rPr>
          <w:rFonts w:hint="cs"/>
          <w:b/>
          <w:bCs/>
          <w:rtl/>
        </w:rPr>
        <w:t>ّ</w:t>
      </w:r>
      <w:r w:rsidRPr="00942332">
        <w:rPr>
          <w:rFonts w:hint="cs"/>
          <w:b/>
          <w:bCs/>
          <w:rtl/>
        </w:rPr>
        <w:t xml:space="preserve"> السؤال الذي يفرض نفسه هنا: لماذا عمّت حالة الرفض والغضب ضدّ هذا الكتاب؟</w:t>
      </w:r>
      <w:r>
        <w:rPr>
          <w:rFonts w:hint="cs"/>
          <w:rtl/>
        </w:rPr>
        <w:t xml:space="preserve"> ولماذا انتقدوه كثيرون على تنوّع أطيافهم ومن بينهم من ينتمي إلى خطّ الإسلام السياسي أو الاجتماعي أو النهضوي؟! ما الشيء الذي كان مزعجاً في الكتاب حتى أدّى ـ وما يزال بدرجةٍ ما ـ إلى كلّ هذا الاشتباك الكبير الذي عبّر عنه بعضهم بالفتنة؟ هل يرفض الشيعة أن يقوم الحسين بتطبيق شرع الله وحكم الأرض على سنّة الله ورسوله، وهم الذين يؤمنون بأنّ المهديَّ سوف يفعل ذلك؟! لو كان الإشكال في الدولة الدينيّة في عصر الغيبة لكان أمراً مفهوماً في سياق شيعي إمامي، لكنّنا نتحدّث هنا عن شخصيّة معصومة في العقل الشيعي، وهي الإمام الحسين، فما المشكلة لو خرج ليُسقط حكماً فاسداً غاصباً للخلافة وليُقيم شرع الله؟!</w:t>
      </w:r>
    </w:p>
    <w:p w14:paraId="012348BC" w14:textId="77777777" w:rsidR="00D66FC0" w:rsidRPr="00630951" w:rsidRDefault="00D66FC0" w:rsidP="00C16B54">
      <w:pPr>
        <w:pStyle w:val="Space2"/>
        <w:rPr>
          <w:b/>
          <w:bCs/>
          <w:rtl/>
        </w:rPr>
      </w:pPr>
      <w:r w:rsidRPr="00630951">
        <w:rPr>
          <w:rFonts w:hint="cs"/>
          <w:b/>
          <w:bCs/>
          <w:rtl/>
        </w:rPr>
        <w:t>للإج</w:t>
      </w:r>
      <w:r w:rsidR="00F93187" w:rsidRPr="00630951">
        <w:rPr>
          <w:rFonts w:hint="cs"/>
          <w:b/>
          <w:bCs/>
          <w:rtl/>
        </w:rPr>
        <w:t xml:space="preserve">ابة </w:t>
      </w:r>
      <w:r w:rsidRPr="00630951">
        <w:rPr>
          <w:rFonts w:hint="cs"/>
          <w:b/>
          <w:bCs/>
          <w:rtl/>
        </w:rPr>
        <w:t>باختصار عن هذا السؤال</w:t>
      </w:r>
      <w:r w:rsidR="00C16B54">
        <w:rPr>
          <w:rFonts w:hint="cs"/>
          <w:b/>
          <w:bCs/>
          <w:rtl/>
        </w:rPr>
        <w:t xml:space="preserve"> ـ</w:t>
      </w:r>
      <w:r w:rsidRPr="00630951">
        <w:rPr>
          <w:rFonts w:hint="cs"/>
          <w:b/>
          <w:bCs/>
          <w:rtl/>
        </w:rPr>
        <w:t xml:space="preserve"> </w:t>
      </w:r>
      <w:r w:rsidR="00C16B54">
        <w:rPr>
          <w:rFonts w:hint="cs"/>
          <w:b/>
          <w:bCs/>
          <w:rtl/>
        </w:rPr>
        <w:t xml:space="preserve">على قاعدة التمييز بين أسباب المعارضة وأدلّة بطلان النظريّة السياسيّة ـ </w:t>
      </w:r>
      <w:r w:rsidRPr="00630951">
        <w:rPr>
          <w:rFonts w:hint="cs"/>
          <w:b/>
          <w:bCs/>
          <w:rtl/>
        </w:rPr>
        <w:t>يمكن طرح عدّة عناصر قد تتعاضد وقد تنفرد</w:t>
      </w:r>
      <w:r w:rsidR="00984D9C">
        <w:rPr>
          <w:rFonts w:hint="cs"/>
          <w:b/>
          <w:bCs/>
          <w:rtl/>
        </w:rPr>
        <w:t>، نذكر من بينها</w:t>
      </w:r>
      <w:r w:rsidRPr="00630951">
        <w:rPr>
          <w:rFonts w:hint="cs"/>
          <w:b/>
          <w:bCs/>
          <w:rtl/>
        </w:rPr>
        <w:t>:</w:t>
      </w:r>
    </w:p>
    <w:p w14:paraId="41A9F27E" w14:textId="77777777" w:rsidR="00D66FC0" w:rsidRDefault="00D66FC0" w:rsidP="00E106F2">
      <w:pPr>
        <w:pStyle w:val="Space2"/>
        <w:rPr>
          <w:rtl/>
        </w:rPr>
      </w:pPr>
      <w:r w:rsidRPr="00630951">
        <w:rPr>
          <w:rFonts w:hint="cs"/>
          <w:b/>
          <w:bCs/>
          <w:rtl/>
        </w:rPr>
        <w:t>أ ـ</w:t>
      </w:r>
      <w:r>
        <w:rPr>
          <w:rFonts w:hint="cs"/>
          <w:rtl/>
        </w:rPr>
        <w:t xml:space="preserve"> </w:t>
      </w:r>
      <w:r w:rsidR="00630951">
        <w:rPr>
          <w:rFonts w:hint="cs"/>
          <w:rtl/>
        </w:rPr>
        <w:t xml:space="preserve">إنّ نظرية صالحي نجف </w:t>
      </w:r>
      <w:r w:rsidR="00E106F2">
        <w:rPr>
          <w:rFonts w:hint="cs"/>
          <w:rtl/>
        </w:rPr>
        <w:t xml:space="preserve">آبادي </w:t>
      </w:r>
      <w:r w:rsidR="00630951">
        <w:rPr>
          <w:rFonts w:hint="cs"/>
          <w:rtl/>
        </w:rPr>
        <w:t>اشتملت على عناصر، وكان لبعض هذه العن</w:t>
      </w:r>
      <w:r w:rsidR="00E106F2">
        <w:rPr>
          <w:rFonts w:hint="cs"/>
          <w:rtl/>
        </w:rPr>
        <w:t xml:space="preserve">اصر </w:t>
      </w:r>
      <w:r w:rsidR="00630951">
        <w:rPr>
          <w:rFonts w:hint="cs"/>
          <w:rtl/>
        </w:rPr>
        <w:t>خصوم، فكل</w:t>
      </w:r>
      <w:r w:rsidR="00E106F2">
        <w:rPr>
          <w:rFonts w:hint="cs"/>
          <w:rtl/>
        </w:rPr>
        <w:t>ّ</w:t>
      </w:r>
      <w:r w:rsidR="00630951">
        <w:rPr>
          <w:rFonts w:hint="cs"/>
          <w:rtl/>
        </w:rPr>
        <w:t xml:space="preserve"> فريق كانت لديه مشكلة م</w:t>
      </w:r>
      <w:r w:rsidR="00E106F2">
        <w:rPr>
          <w:rFonts w:hint="cs"/>
          <w:rtl/>
        </w:rPr>
        <w:t>ع</w:t>
      </w:r>
      <w:r w:rsidR="00630951">
        <w:rPr>
          <w:rFonts w:hint="cs"/>
          <w:rtl/>
        </w:rPr>
        <w:t xml:space="preserve"> أحد هذه </w:t>
      </w:r>
      <w:r w:rsidR="00E106F2">
        <w:rPr>
          <w:rFonts w:hint="cs"/>
          <w:rtl/>
        </w:rPr>
        <w:t>ا</w:t>
      </w:r>
      <w:r w:rsidR="00630951">
        <w:rPr>
          <w:rFonts w:hint="cs"/>
          <w:rtl/>
        </w:rPr>
        <w:t>لعناصر انضمّ إلى المعركة ضد</w:t>
      </w:r>
      <w:r w:rsidR="00E106F2">
        <w:rPr>
          <w:rFonts w:hint="cs"/>
          <w:rtl/>
        </w:rPr>
        <w:t>ّ</w:t>
      </w:r>
      <w:r w:rsidR="00630951">
        <w:rPr>
          <w:rFonts w:hint="cs"/>
          <w:rtl/>
        </w:rPr>
        <w:t xml:space="preserve"> الكتا</w:t>
      </w:r>
      <w:r w:rsidR="00E106F2">
        <w:rPr>
          <w:rFonts w:hint="cs"/>
          <w:rtl/>
        </w:rPr>
        <w:t>ب.</w:t>
      </w:r>
      <w:r w:rsidR="00630951">
        <w:rPr>
          <w:rFonts w:hint="cs"/>
          <w:rtl/>
        </w:rPr>
        <w:t xml:space="preserve"> ومن أبرز هذه العناصر فكرة علم الإمام بالغيب، كما سوف نرى عند الحديث عن تقويم النظريّ</w:t>
      </w:r>
      <w:r w:rsidR="00E106F2">
        <w:rPr>
          <w:rFonts w:hint="cs"/>
          <w:rtl/>
        </w:rPr>
        <w:t>ة</w:t>
      </w:r>
      <w:r w:rsidR="00630951">
        <w:rPr>
          <w:rFonts w:hint="cs"/>
          <w:rtl/>
        </w:rPr>
        <w:t xml:space="preserve">، فعلم الكلام الإمامي كان قد استقرّ مشهوره </w:t>
      </w:r>
      <w:r w:rsidR="00E106F2">
        <w:rPr>
          <w:rFonts w:hint="cs"/>
          <w:rtl/>
        </w:rPr>
        <w:t xml:space="preserve">ـ </w:t>
      </w:r>
      <w:r w:rsidR="00630951">
        <w:rPr>
          <w:rFonts w:hint="cs"/>
          <w:rtl/>
        </w:rPr>
        <w:t>بي</w:t>
      </w:r>
      <w:r w:rsidR="00E106F2">
        <w:rPr>
          <w:rFonts w:hint="cs"/>
          <w:rtl/>
        </w:rPr>
        <w:t xml:space="preserve">ن المتأخّرين </w:t>
      </w:r>
      <w:r w:rsidR="00630951">
        <w:rPr>
          <w:rFonts w:hint="cs"/>
          <w:rtl/>
        </w:rPr>
        <w:t>على الأقل</w:t>
      </w:r>
      <w:r w:rsidR="00E106F2">
        <w:rPr>
          <w:rFonts w:hint="cs"/>
          <w:rtl/>
        </w:rPr>
        <w:t>ّ</w:t>
      </w:r>
      <w:r w:rsidR="00630951">
        <w:rPr>
          <w:rFonts w:hint="cs"/>
          <w:rtl/>
        </w:rPr>
        <w:t xml:space="preserve"> </w:t>
      </w:r>
      <w:r w:rsidR="00E106F2">
        <w:rPr>
          <w:rFonts w:hint="cs"/>
          <w:rtl/>
        </w:rPr>
        <w:t xml:space="preserve">ـ </w:t>
      </w:r>
      <w:r w:rsidR="00630951">
        <w:rPr>
          <w:rFonts w:hint="cs"/>
          <w:rtl/>
        </w:rPr>
        <w:t>على سعة علو</w:t>
      </w:r>
      <w:r w:rsidR="00E106F2">
        <w:rPr>
          <w:rFonts w:hint="cs"/>
          <w:rtl/>
        </w:rPr>
        <w:t>م</w:t>
      </w:r>
      <w:r w:rsidR="00630951">
        <w:rPr>
          <w:rFonts w:hint="cs"/>
          <w:rtl/>
        </w:rPr>
        <w:t xml:space="preserve"> أهل البيت </w:t>
      </w:r>
      <w:r w:rsidR="00E106F2">
        <w:rPr>
          <w:rFonts w:hint="cs"/>
          <w:rtl/>
        </w:rPr>
        <w:t>الغيبيّة</w:t>
      </w:r>
      <w:r w:rsidR="00630951">
        <w:rPr>
          <w:rFonts w:hint="cs"/>
          <w:rtl/>
        </w:rPr>
        <w:t>، فتحطيم هذه المقولة العقدي</w:t>
      </w:r>
      <w:r w:rsidR="00E106F2">
        <w:rPr>
          <w:rFonts w:hint="cs"/>
          <w:rtl/>
        </w:rPr>
        <w:t>ّ</w:t>
      </w:r>
      <w:r w:rsidR="00630951">
        <w:rPr>
          <w:rFonts w:hint="cs"/>
          <w:rtl/>
        </w:rPr>
        <w:t>ة يم</w:t>
      </w:r>
      <w:r w:rsidR="00E106F2">
        <w:rPr>
          <w:rFonts w:hint="cs"/>
          <w:rtl/>
        </w:rPr>
        <w:t>كن أن يترك تأ</w:t>
      </w:r>
      <w:r w:rsidR="00630951">
        <w:rPr>
          <w:rFonts w:hint="cs"/>
          <w:rtl/>
        </w:rPr>
        <w:t>ثيراً كبيراً جداً على صورة أهل البيت في العقل الكلامي الإمامي.</w:t>
      </w:r>
    </w:p>
    <w:p w14:paraId="2FC8AD55" w14:textId="77777777" w:rsidR="00630951" w:rsidRDefault="00630951" w:rsidP="00E106F2">
      <w:pPr>
        <w:pStyle w:val="Space2"/>
        <w:rPr>
          <w:rtl/>
        </w:rPr>
      </w:pPr>
      <w:r w:rsidRPr="00E106F2">
        <w:rPr>
          <w:rFonts w:hint="cs"/>
          <w:b/>
          <w:bCs/>
          <w:rtl/>
        </w:rPr>
        <w:t xml:space="preserve">ب ـ </w:t>
      </w:r>
      <w:r w:rsidR="00E106F2">
        <w:rPr>
          <w:rFonts w:hint="cs"/>
          <w:rtl/>
        </w:rPr>
        <w:t>إنّ نظرية نجف آ</w:t>
      </w:r>
      <w:r>
        <w:rPr>
          <w:rFonts w:hint="cs"/>
          <w:rtl/>
        </w:rPr>
        <w:t>بادي من شأنها أن ت</w:t>
      </w:r>
      <w:r w:rsidR="00E106F2">
        <w:rPr>
          <w:rFonts w:hint="cs"/>
          <w:rtl/>
        </w:rPr>
        <w:t>غيّ</w:t>
      </w:r>
      <w:r>
        <w:rPr>
          <w:rFonts w:hint="cs"/>
          <w:rtl/>
        </w:rPr>
        <w:t xml:space="preserve">ر الصورة النمطية عن علاقة الشيعة بالسلطات </w:t>
      </w:r>
      <w:r>
        <w:rPr>
          <w:rFonts w:hint="cs"/>
          <w:rtl/>
        </w:rPr>
        <w:lastRenderedPageBreak/>
        <w:t>عبر التاريخ، فالإمامي</w:t>
      </w:r>
      <w:r w:rsidR="00E106F2">
        <w:rPr>
          <w:rFonts w:hint="cs"/>
          <w:rtl/>
        </w:rPr>
        <w:t>ّ</w:t>
      </w:r>
      <w:r>
        <w:rPr>
          <w:rFonts w:hint="cs"/>
          <w:rtl/>
        </w:rPr>
        <w:t xml:space="preserve">ة يختلفون </w:t>
      </w:r>
      <w:r w:rsidR="00E106F2">
        <w:rPr>
          <w:rFonts w:hint="cs"/>
          <w:rtl/>
        </w:rPr>
        <w:t>ع</w:t>
      </w:r>
      <w:r>
        <w:rPr>
          <w:rFonts w:hint="cs"/>
          <w:rtl/>
        </w:rPr>
        <w:t>ن الزيدية في أنّ</w:t>
      </w:r>
      <w:r w:rsidR="00E106F2">
        <w:rPr>
          <w:rFonts w:hint="cs"/>
          <w:rtl/>
        </w:rPr>
        <w:t>هم</w:t>
      </w:r>
      <w:r>
        <w:rPr>
          <w:rFonts w:hint="cs"/>
          <w:rtl/>
        </w:rPr>
        <w:t xml:space="preserve"> ـ</w:t>
      </w:r>
      <w:r w:rsidR="00E106F2">
        <w:rPr>
          <w:rFonts w:hint="cs"/>
          <w:rtl/>
        </w:rPr>
        <w:t xml:space="preserve"> في الأ</w:t>
      </w:r>
      <w:r>
        <w:rPr>
          <w:rFonts w:hint="cs"/>
          <w:rtl/>
        </w:rPr>
        <w:t>عمّ الأغلب ـ كانوا محايدين سياسيّاً، ليسوا سلطة ولا معارضة</w:t>
      </w:r>
      <w:r w:rsidR="006F017D" w:rsidRPr="00763E4E">
        <w:rPr>
          <w:rFonts w:cs="Taher"/>
          <w:vertAlign w:val="superscript"/>
          <w:rtl/>
        </w:rPr>
        <w:t>(</w:t>
      </w:r>
      <w:r w:rsidR="006F017D" w:rsidRPr="00763E4E">
        <w:rPr>
          <w:rFonts w:cs="Taher"/>
          <w:vertAlign w:val="superscript"/>
          <w:rtl/>
        </w:rPr>
        <w:footnoteReference w:id="247"/>
      </w:r>
      <w:r w:rsidR="006F017D" w:rsidRPr="00763E4E">
        <w:rPr>
          <w:rFonts w:cs="Taher"/>
          <w:vertAlign w:val="superscript"/>
          <w:rtl/>
        </w:rPr>
        <w:t>)</w:t>
      </w:r>
      <w:r>
        <w:rPr>
          <w:rFonts w:hint="cs"/>
          <w:rtl/>
        </w:rPr>
        <w:t>، عل</w:t>
      </w:r>
      <w:r w:rsidR="00E106F2">
        <w:rPr>
          <w:rFonts w:hint="cs"/>
          <w:rtl/>
        </w:rPr>
        <w:t>ى</w:t>
      </w:r>
      <w:r>
        <w:rPr>
          <w:rFonts w:hint="cs"/>
          <w:rtl/>
        </w:rPr>
        <w:t xml:space="preserve"> خلاف الزيدي</w:t>
      </w:r>
      <w:r w:rsidR="00E106F2">
        <w:rPr>
          <w:rFonts w:hint="cs"/>
          <w:rtl/>
        </w:rPr>
        <w:t>ّة والإ</w:t>
      </w:r>
      <w:r>
        <w:rPr>
          <w:rFonts w:hint="cs"/>
          <w:rtl/>
        </w:rPr>
        <w:t>سماعيلي</w:t>
      </w:r>
      <w:r w:rsidR="00E106F2">
        <w:rPr>
          <w:rFonts w:hint="cs"/>
          <w:rtl/>
        </w:rPr>
        <w:t>ّة، فتح</w:t>
      </w:r>
      <w:r>
        <w:rPr>
          <w:rFonts w:hint="cs"/>
          <w:rtl/>
        </w:rPr>
        <w:t>ويل الإمام الحسين إلى رجل معارضة مسل</w:t>
      </w:r>
      <w:r w:rsidR="00E106F2">
        <w:rPr>
          <w:rFonts w:hint="cs"/>
          <w:rtl/>
        </w:rPr>
        <w:t>ّح</w:t>
      </w:r>
      <w:r>
        <w:rPr>
          <w:rFonts w:hint="cs"/>
          <w:rtl/>
        </w:rPr>
        <w:t>ة</w:t>
      </w:r>
      <w:r w:rsidR="00E106F2">
        <w:rPr>
          <w:rFonts w:hint="cs"/>
          <w:rtl/>
        </w:rPr>
        <w:t>،</w:t>
      </w:r>
      <w:r>
        <w:rPr>
          <w:rFonts w:hint="cs"/>
          <w:rtl/>
        </w:rPr>
        <w:t xml:space="preserve"> يمكنه أن يهشّم هذه الصورة</w:t>
      </w:r>
      <w:r w:rsidR="00E106F2">
        <w:rPr>
          <w:rFonts w:hint="cs"/>
          <w:rtl/>
        </w:rPr>
        <w:t>،</w:t>
      </w:r>
      <w:r>
        <w:rPr>
          <w:rFonts w:hint="cs"/>
          <w:rtl/>
        </w:rPr>
        <w:t xml:space="preserve"> وي</w:t>
      </w:r>
      <w:r w:rsidR="00E106F2">
        <w:rPr>
          <w:rFonts w:hint="cs"/>
          <w:rtl/>
        </w:rPr>
        <w:t>ُ</w:t>
      </w:r>
      <w:r>
        <w:rPr>
          <w:rFonts w:hint="cs"/>
          <w:rtl/>
        </w:rPr>
        <w:t>طالب بحضور المؤس</w:t>
      </w:r>
      <w:r w:rsidR="00E106F2">
        <w:rPr>
          <w:rFonts w:hint="cs"/>
          <w:rtl/>
        </w:rPr>
        <w:t>ّ</w:t>
      </w:r>
      <w:r>
        <w:rPr>
          <w:rFonts w:hint="cs"/>
          <w:rtl/>
        </w:rPr>
        <w:t>سة الديني</w:t>
      </w:r>
      <w:r w:rsidR="00E106F2">
        <w:rPr>
          <w:rFonts w:hint="cs"/>
          <w:rtl/>
        </w:rPr>
        <w:t>ّ</w:t>
      </w:r>
      <w:r>
        <w:rPr>
          <w:rFonts w:hint="cs"/>
          <w:rtl/>
        </w:rPr>
        <w:t>ة في الحياة السياسي</w:t>
      </w:r>
      <w:r w:rsidR="00E106F2">
        <w:rPr>
          <w:rFonts w:hint="cs"/>
          <w:rtl/>
        </w:rPr>
        <w:t>ّ</w:t>
      </w:r>
      <w:r>
        <w:rPr>
          <w:rFonts w:hint="cs"/>
          <w:rtl/>
        </w:rPr>
        <w:t>ة المعارضة، الأمر الذي يمكنه أن يشكّل تحوّلاً غير عادي عبر التاريخ.</w:t>
      </w:r>
    </w:p>
    <w:p w14:paraId="40AE67DA" w14:textId="77777777" w:rsidR="00330B89" w:rsidRDefault="00330B89" w:rsidP="00530033">
      <w:pPr>
        <w:pStyle w:val="Space2"/>
        <w:rPr>
          <w:rtl/>
        </w:rPr>
      </w:pPr>
      <w:r>
        <w:rPr>
          <w:rFonts w:hint="cs"/>
          <w:rtl/>
        </w:rPr>
        <w:t>ونتيجة هذا الأمر</w:t>
      </w:r>
      <w:r w:rsidR="00CD77E9">
        <w:rPr>
          <w:rFonts w:hint="cs"/>
          <w:rtl/>
        </w:rPr>
        <w:t xml:space="preserve"> </w:t>
      </w:r>
      <w:r>
        <w:rPr>
          <w:rFonts w:hint="cs"/>
          <w:rtl/>
        </w:rPr>
        <w:t>صار</w:t>
      </w:r>
      <w:r w:rsidR="00530033">
        <w:rPr>
          <w:rFonts w:hint="cs"/>
          <w:rtl/>
        </w:rPr>
        <w:t>ت</w:t>
      </w:r>
      <w:r>
        <w:rPr>
          <w:rFonts w:hint="cs"/>
          <w:rtl/>
        </w:rPr>
        <w:t xml:space="preserve"> قضية الكتاب عنواناً للصراع بين تيارات الإسلا</w:t>
      </w:r>
      <w:r w:rsidR="00530033">
        <w:rPr>
          <w:rFonts w:hint="cs"/>
          <w:rtl/>
        </w:rPr>
        <w:t>م</w:t>
      </w:r>
      <w:r>
        <w:rPr>
          <w:rFonts w:hint="cs"/>
          <w:rtl/>
        </w:rPr>
        <w:t xml:space="preserve"> السي</w:t>
      </w:r>
      <w:r w:rsidR="00530033">
        <w:rPr>
          <w:rFonts w:hint="cs"/>
          <w:rtl/>
        </w:rPr>
        <w:t>ا</w:t>
      </w:r>
      <w:r>
        <w:rPr>
          <w:rFonts w:hint="cs"/>
          <w:rtl/>
        </w:rPr>
        <w:t>سي ال</w:t>
      </w:r>
      <w:r w:rsidR="00530033">
        <w:rPr>
          <w:rFonts w:hint="cs"/>
          <w:rtl/>
        </w:rPr>
        <w:t>من</w:t>
      </w:r>
      <w:r>
        <w:rPr>
          <w:rFonts w:hint="cs"/>
          <w:rtl/>
        </w:rPr>
        <w:t>ا</w:t>
      </w:r>
      <w:r w:rsidR="00530033">
        <w:rPr>
          <w:rFonts w:hint="cs"/>
          <w:rtl/>
        </w:rPr>
        <w:t>ه</w:t>
      </w:r>
      <w:r>
        <w:rPr>
          <w:rFonts w:hint="cs"/>
          <w:rtl/>
        </w:rPr>
        <w:t>ضة للشاه في إيران والتيارات النمطية في المؤس</w:t>
      </w:r>
      <w:r w:rsidR="00530033">
        <w:rPr>
          <w:rFonts w:hint="cs"/>
          <w:rtl/>
        </w:rPr>
        <w:t>ّ</w:t>
      </w:r>
      <w:r>
        <w:rPr>
          <w:rFonts w:hint="cs"/>
          <w:rtl/>
        </w:rPr>
        <w:t>سة الدينيّة، ولهذا فأغلب غير الثوريّين كانوا ضدّ الكتاب، في حين تيّار غير قليل من الثوريّين، وعلى رأسهم الشيخ حسين علي المنتظري، كانوا معه</w:t>
      </w:r>
      <w:r w:rsidR="00530033">
        <w:rPr>
          <w:rFonts w:hint="cs"/>
          <w:rtl/>
        </w:rPr>
        <w:t>.</w:t>
      </w:r>
      <w:r>
        <w:rPr>
          <w:rFonts w:hint="cs"/>
          <w:rtl/>
        </w:rPr>
        <w:t xml:space="preserve"> وقد كان المنتظري والشيخ علي المشكيني كتبا تقديماً </w:t>
      </w:r>
      <w:r w:rsidR="00530033">
        <w:rPr>
          <w:rFonts w:hint="cs"/>
          <w:rtl/>
        </w:rPr>
        <w:t xml:space="preserve">وتقريظاً </w:t>
      </w:r>
      <w:r>
        <w:rPr>
          <w:rFonts w:hint="cs"/>
          <w:rtl/>
        </w:rPr>
        <w:t>للكتاب، ثمّ سحب المشكيني ما كتبه بفعل ـ على ما قيل ـ ضغوط شديدة.</w:t>
      </w:r>
      <w:r w:rsidR="00A37B01">
        <w:rPr>
          <w:rFonts w:hint="cs"/>
          <w:rtl/>
        </w:rPr>
        <w:t xml:space="preserve"> بل نقل </w:t>
      </w:r>
      <w:r w:rsidR="00530033">
        <w:rPr>
          <w:rFonts w:hint="cs"/>
          <w:rtl/>
        </w:rPr>
        <w:t xml:space="preserve">شفاهاً </w:t>
      </w:r>
      <w:r w:rsidR="00A37B01">
        <w:rPr>
          <w:rFonts w:hint="cs"/>
          <w:rtl/>
        </w:rPr>
        <w:t>عن المنتظري أنّه كتب المقدّمة دون أن يقرأ الكتاب!</w:t>
      </w:r>
    </w:p>
    <w:p w14:paraId="7DD2E517" w14:textId="77777777" w:rsidR="00273FEB" w:rsidRDefault="00E106F2" w:rsidP="00530033">
      <w:pPr>
        <w:pStyle w:val="Space2"/>
        <w:rPr>
          <w:rtl/>
        </w:rPr>
      </w:pPr>
      <w:r w:rsidRPr="00273FEB">
        <w:rPr>
          <w:rFonts w:hint="cs"/>
          <w:b/>
          <w:bCs/>
          <w:rtl/>
        </w:rPr>
        <w:t>ج ـ</w:t>
      </w:r>
      <w:r>
        <w:rPr>
          <w:rFonts w:hint="cs"/>
          <w:rtl/>
        </w:rPr>
        <w:t xml:space="preserve"> </w:t>
      </w:r>
      <w:r w:rsidR="00273FEB">
        <w:rPr>
          <w:rFonts w:hint="cs"/>
          <w:rtl/>
        </w:rPr>
        <w:t xml:space="preserve">تضمّنت رؤية نجف آبادي نقداً للتصوّر النمطي الموجود عند الشيعة حول قضيّة الحسين، إذ اعتبر أنّ هذا التصوّر قائم على المظلوميّة، وأنّ من أهداف حركة الحسين هو إبراز المظلوميّة، بمعنى أنّ نشاطاته وخطواته كانت تريد الوصول لإبراز هذه المظلوميّة بأكبر شكل ممكن، وأنّه كان يريد أن يُقتل بأبشع صورة ممكنة، ومن ذلك إخراج النساء والأطفال معه كي تكون قضيّته من أبرز مظاهر المظلوميّة عبر التاريخ، فالمظلوميّة هدفٌ حسينيّ، وليست نتاجاً فقط لسلوك بين أميّة وأعوانهم في كربلاء وما بعدها. وقد انتقد صالحي نجف آبادي هذا التفسير انتقاداً مركّزاً، </w:t>
      </w:r>
      <w:r w:rsidR="001A23EB">
        <w:rPr>
          <w:rFonts w:hint="cs"/>
          <w:rtl/>
        </w:rPr>
        <w:t>واعتبر أنّ الشهادة في سبيل الله ليست هدفاً في نفسها، بل الدفاع عن الدين هو الهدف وتحقيق النصر، لكن لو واجه الإنسان أثناء ذلك الموت</w:t>
      </w:r>
      <w:r w:rsidR="00530033">
        <w:rPr>
          <w:rFonts w:hint="cs"/>
          <w:rtl/>
        </w:rPr>
        <w:t>َ</w:t>
      </w:r>
      <w:r w:rsidR="001A23EB">
        <w:rPr>
          <w:rFonts w:hint="cs"/>
          <w:rtl/>
        </w:rPr>
        <w:t xml:space="preserve"> في سبيل الله فهذا أمر طبيعي، لا أنّه ذاهبٌ للموت، فهذه ثقافة غير إسلاميّة. </w:t>
      </w:r>
      <w:r w:rsidR="00273FEB">
        <w:rPr>
          <w:rFonts w:hint="cs"/>
          <w:rtl/>
        </w:rPr>
        <w:t>وهو ما يترك تأثيراً أيضاً على النظريّة الرابعة الآتية من نظريّات تفسير الحركة الحسينيّة (الشهادة لأجل إحياء الأمّة)، ويمهّد الطريق لنجف آبادي كي يجعل مركز الهدف في حركة الحسين هو تحقيق الدولة الصالحة.</w:t>
      </w:r>
      <w:r w:rsidR="00734AF8">
        <w:rPr>
          <w:rFonts w:hint="cs"/>
          <w:rtl/>
        </w:rPr>
        <w:t xml:space="preserve"> إنّ نجف آبادي يعتبر أنّ هذه </w:t>
      </w:r>
      <w:r w:rsidR="00734AF8">
        <w:rPr>
          <w:rFonts w:hint="cs"/>
          <w:rtl/>
        </w:rPr>
        <w:lastRenderedPageBreak/>
        <w:t>الفكرة استغلّها نقّاد الإمام الحسين كي يشنّعوا عليه</w:t>
      </w:r>
      <w:r w:rsidR="00530033">
        <w:rPr>
          <w:rFonts w:hint="cs"/>
          <w:rtl/>
        </w:rPr>
        <w:t xml:space="preserve"> ويصفوه بالساذج</w:t>
      </w:r>
      <w:r w:rsidR="00734AF8">
        <w:rPr>
          <w:rFonts w:hint="cs"/>
          <w:rtl/>
        </w:rPr>
        <w:t>.</w:t>
      </w:r>
    </w:p>
    <w:p w14:paraId="1EABADD3" w14:textId="77777777" w:rsidR="00BE37DC" w:rsidRDefault="00BE37DC" w:rsidP="00FF1596">
      <w:pPr>
        <w:pStyle w:val="normal870"/>
        <w:rPr>
          <w:b/>
          <w:bCs/>
          <w:rtl/>
        </w:rPr>
      </w:pPr>
      <w:r w:rsidRPr="00BE37DC">
        <w:rPr>
          <w:rFonts w:hint="cs"/>
          <w:b/>
          <w:bCs/>
          <w:rtl/>
        </w:rPr>
        <w:t>في هذا السياق، كان تجنّب تعريض الإمام الحسين للنقد هو الآخر أحد العناصر،</w:t>
      </w:r>
      <w:r>
        <w:rPr>
          <w:rFonts w:hint="cs"/>
          <w:rtl/>
        </w:rPr>
        <w:t xml:space="preserve"> حيث شعر الفريق الرافض للنظريّة السياسيّة ـ كما سوف نلاحظ من بعض انتقاداتهم ـ أنّ جعل الحسين صاحب مشروع سياسي يساوي أنّه قد فشل، وأنّ ما يقوله عنه خصومه ونقّاده من أنّه ساذج سياسياً ولم يحسب الأمور بطريقة صحيحة، سوف يصبح أمراً صحيحاً، أمّا لو قلنا بأنّ هدفه الشهادة عالماً بها؛ لإبداء مظلوميّته أو لإحياء ضمير الأمّة وما شابه ذلك، فإنّنا بذلك نكون قد جنّبنا الحسين النقدَ الموجّه ضدّه، وكأنّ النظريّة السياسية تعرّض الحسين لمخاطر النقد والتشويه</w:t>
      </w:r>
      <w:r w:rsidR="00CD77E9">
        <w:rPr>
          <w:rFonts w:hint="cs"/>
          <w:rtl/>
        </w:rPr>
        <w:t>، فيما سائر النظريّات تنزّهه عن الفشل والإخفاق و</w:t>
      </w:r>
      <w:r w:rsidR="00C16B54">
        <w:rPr>
          <w:rFonts w:hint="cs"/>
          <w:rtl/>
        </w:rPr>
        <w:t>الغباء السياسي</w:t>
      </w:r>
      <w:r>
        <w:rPr>
          <w:rFonts w:hint="cs"/>
          <w:rtl/>
        </w:rPr>
        <w:t>.</w:t>
      </w:r>
    </w:p>
    <w:p w14:paraId="3B3844E7" w14:textId="77777777" w:rsidR="001F6067" w:rsidRDefault="00273FEB" w:rsidP="00FF1596">
      <w:pPr>
        <w:pStyle w:val="normal870"/>
        <w:rPr>
          <w:rtl/>
        </w:rPr>
      </w:pPr>
      <w:r w:rsidRPr="00530033">
        <w:rPr>
          <w:rFonts w:hint="cs"/>
          <w:b/>
          <w:bCs/>
          <w:rtl/>
        </w:rPr>
        <w:t>د ـ</w:t>
      </w:r>
      <w:r>
        <w:rPr>
          <w:rFonts w:hint="cs"/>
          <w:rtl/>
        </w:rPr>
        <w:t xml:space="preserve"> كون صالحي نجف آبادي عموماً نقّاداً للتراث الإمامي ومحارباً مشهوراً معادياً لنزعات الغلوّ بين الشيعة</w:t>
      </w:r>
      <w:r w:rsidR="00D87A1E">
        <w:rPr>
          <w:rFonts w:hint="cs"/>
          <w:rtl/>
        </w:rPr>
        <w:t>، وكونه قد تعر</w:t>
      </w:r>
      <w:r w:rsidR="00530033">
        <w:rPr>
          <w:rFonts w:hint="cs"/>
          <w:rtl/>
        </w:rPr>
        <w:t>ّ</w:t>
      </w:r>
      <w:r w:rsidR="00D87A1E">
        <w:rPr>
          <w:rFonts w:hint="cs"/>
          <w:rtl/>
        </w:rPr>
        <w:t>ض للكثير من وقائع الحركة الحسينية بالنقد التاريخي</w:t>
      </w:r>
      <w:r w:rsidR="00530033">
        <w:rPr>
          <w:rFonts w:hint="cs"/>
          <w:rtl/>
        </w:rPr>
        <w:t>،</w:t>
      </w:r>
      <w:r w:rsidR="00D87A1E">
        <w:rPr>
          <w:rFonts w:hint="cs"/>
          <w:rtl/>
        </w:rPr>
        <w:t xml:space="preserve"> وذكر أنّ الكثير من المنقولات التاريخي</w:t>
      </w:r>
      <w:r w:rsidR="00530033">
        <w:rPr>
          <w:rFonts w:hint="cs"/>
          <w:rtl/>
        </w:rPr>
        <w:t>ّ</w:t>
      </w:r>
      <w:r w:rsidR="00D87A1E">
        <w:rPr>
          <w:rFonts w:hint="cs"/>
          <w:rtl/>
        </w:rPr>
        <w:t>ة لم تثبت</w:t>
      </w:r>
      <w:r w:rsidR="0023313F">
        <w:rPr>
          <w:rFonts w:hint="cs"/>
          <w:rtl/>
        </w:rPr>
        <w:t>، وكانت له انتقادات كثيرة جداً على ما يُتلى على المنابر والمآتم، وملاحظات نقديّة على قرّاء العزاء والمدّاحين معاً</w:t>
      </w:r>
      <w:r w:rsidR="00D87A1E">
        <w:rPr>
          <w:rFonts w:hint="cs"/>
          <w:rtl/>
        </w:rPr>
        <w:t xml:space="preserve">، </w:t>
      </w:r>
      <w:r w:rsidR="00D87A1E" w:rsidRPr="00530033">
        <w:rPr>
          <w:rFonts w:hint="cs"/>
          <w:b/>
          <w:bCs/>
          <w:rtl/>
        </w:rPr>
        <w:t xml:space="preserve">وبسبب هذه النقطة والنقطة الأولى المتقدّمة (علم الإمام بالغيب)، اعتبر الكثير من النقّاد أنّ هذا الكتاب يعبّر عن نفوذ التفكير الوهابي بين الشيعة </w:t>
      </w:r>
      <w:r w:rsidR="00330B89" w:rsidRPr="00530033">
        <w:rPr>
          <w:rFonts w:hint="cs"/>
          <w:b/>
          <w:bCs/>
          <w:rtl/>
        </w:rPr>
        <w:t xml:space="preserve">ـ وبخاصّة التيار الثوري ـ </w:t>
      </w:r>
      <w:r w:rsidR="00D87A1E" w:rsidRPr="00530033">
        <w:rPr>
          <w:rFonts w:hint="cs"/>
          <w:b/>
          <w:bCs/>
          <w:rtl/>
        </w:rPr>
        <w:t>في العصر الحديث،</w:t>
      </w:r>
      <w:r w:rsidR="00D87A1E">
        <w:rPr>
          <w:rFonts w:hint="cs"/>
          <w:rtl/>
        </w:rPr>
        <w:t xml:space="preserve"> ونحن نعرف أنّ هناك ظاهرة </w:t>
      </w:r>
      <w:r w:rsidR="00D87A1E">
        <w:rPr>
          <w:rFonts w:cs="Cambria" w:hint="cs"/>
          <w:rtl/>
        </w:rPr>
        <w:t>"</w:t>
      </w:r>
      <w:r w:rsidR="00D87A1E">
        <w:rPr>
          <w:rFonts w:hint="cs"/>
          <w:rtl/>
        </w:rPr>
        <w:t>نقد إصلاحي</w:t>
      </w:r>
      <w:r w:rsidR="00D87A1E">
        <w:rPr>
          <w:rFonts w:cs="Cambria" w:hint="cs"/>
          <w:rtl/>
        </w:rPr>
        <w:t>"</w:t>
      </w:r>
      <w:r w:rsidR="00D87A1E">
        <w:rPr>
          <w:rFonts w:hint="cs"/>
          <w:rtl/>
        </w:rPr>
        <w:t xml:space="preserve"> للتفكير الشيعي في الوسط الشيعي ظهرت منذ ثلاثينيات القرن العشرين مع شخصيّات عدّة من أمثال أبي الفضل البرقعي وحيدر علي قلمداران وشريعت سنغلجي وعبد الوهاب فريد وغيرهم.</w:t>
      </w:r>
    </w:p>
    <w:p w14:paraId="78B8362B" w14:textId="77777777" w:rsidR="008D0B2D" w:rsidRDefault="004E22B3" w:rsidP="00FF1596">
      <w:pPr>
        <w:pStyle w:val="normal870"/>
        <w:rPr>
          <w:rtl/>
        </w:rPr>
      </w:pPr>
      <w:r>
        <w:rPr>
          <w:rFonts w:hint="cs"/>
          <w:rtl/>
        </w:rPr>
        <w:t>بهذا كلّه نكتشف أنّ قضيّة تفسير الحركة الحسينيّة ليست مسألة جزئيّة مورديّة، بل حملت معها منهجاً مختلفاً في قراءة التراث والتاريخ</w:t>
      </w:r>
      <w:r w:rsidR="00837A28">
        <w:rPr>
          <w:rFonts w:hint="cs"/>
          <w:rtl/>
        </w:rPr>
        <w:t xml:space="preserve"> والحديث</w:t>
      </w:r>
      <w:r>
        <w:rPr>
          <w:rFonts w:hint="cs"/>
          <w:rtl/>
        </w:rPr>
        <w:t>، وفي التفكير الكلامي أيضاً، فهي أنتجت منهجاً في داخل التطبيقات، بعكس كثيرين ممن ينتجون مناهج، ويعلنونها غير أنّك عندما تذهب إلى تطبيقاتهم في الفقه والتاريخ والأصول والكلام، تجد النتائج عينها، فصناعة المنهج في داخل التجربة والتطبيق يظلّ أمراً له قيمته العلميّة.</w:t>
      </w:r>
      <w:r w:rsidR="009B20FB">
        <w:rPr>
          <w:rFonts w:hint="cs"/>
          <w:rtl/>
        </w:rPr>
        <w:t xml:space="preserve"> إنّ صالحي نجف آبادي كانت له قراءات كثيرة أيضاً في علم الكلام الإمامي، مثل آية المودّة في القربى وآية التطهير وغير ذلك</w:t>
      </w:r>
      <w:r w:rsidR="008B0EC6" w:rsidRPr="00763E4E">
        <w:rPr>
          <w:rFonts w:cs="Taher"/>
          <w:vertAlign w:val="superscript"/>
          <w:rtl/>
        </w:rPr>
        <w:t>(</w:t>
      </w:r>
      <w:r w:rsidR="008B0EC6" w:rsidRPr="00763E4E">
        <w:rPr>
          <w:rFonts w:cs="Taher"/>
          <w:vertAlign w:val="superscript"/>
          <w:rtl/>
        </w:rPr>
        <w:footnoteReference w:id="248"/>
      </w:r>
      <w:r w:rsidR="008B0EC6" w:rsidRPr="00763E4E">
        <w:rPr>
          <w:rFonts w:cs="Taher"/>
          <w:vertAlign w:val="superscript"/>
          <w:rtl/>
        </w:rPr>
        <w:t>)</w:t>
      </w:r>
      <w:r w:rsidR="009B20FB">
        <w:rPr>
          <w:rFonts w:hint="cs"/>
          <w:rtl/>
        </w:rPr>
        <w:t>.</w:t>
      </w:r>
    </w:p>
    <w:p w14:paraId="4E03112C" w14:textId="77777777" w:rsidR="00DA6DF7" w:rsidRPr="00DA6DF7" w:rsidRDefault="008D7B11" w:rsidP="003370AC">
      <w:pPr>
        <w:pStyle w:val="Space2"/>
      </w:pPr>
      <w:r>
        <w:rPr>
          <w:rFonts w:hint="cs"/>
          <w:b/>
          <w:bCs/>
          <w:rtl/>
        </w:rPr>
        <w:lastRenderedPageBreak/>
        <w:t>ي</w:t>
      </w:r>
      <w:r w:rsidR="00DA6DF7" w:rsidRPr="003370AC">
        <w:rPr>
          <w:b/>
          <w:bCs/>
          <w:rtl/>
        </w:rPr>
        <w:t>ذهب الشيخ صالحي نجف آبادي في كتابه الشهير: «الشهي</w:t>
      </w:r>
      <w:r w:rsidR="003370AC" w:rsidRPr="003370AC">
        <w:rPr>
          <w:b/>
          <w:bCs/>
          <w:rtl/>
        </w:rPr>
        <w:t>د الخالد» إلى أنّ لحركة الحسين</w:t>
      </w:r>
      <w:r w:rsidR="00DA6DF7" w:rsidRPr="003370AC">
        <w:rPr>
          <w:b/>
          <w:bCs/>
          <w:rtl/>
        </w:rPr>
        <w:t xml:space="preserve"> ثلاثة أهداف بينها ترتيب طوليّ، </w:t>
      </w:r>
      <w:r w:rsidR="00DA6DF7" w:rsidRPr="003370AC">
        <w:rPr>
          <w:rtl/>
        </w:rPr>
        <w:t>بعد أن يقسّم الثورة الحسينيّة وتحركات الإمام إلى مراحل أربع، ويضع الفترة الواقعة بين عزم الإمام على السفر إلى الكوفة إلى حين لقائه بالحرّ بن يزيد الرياحي في إطار المرحلة الثانية:</w:t>
      </w:r>
    </w:p>
    <w:p w14:paraId="66B6A112" w14:textId="77777777" w:rsidR="00DA6DF7" w:rsidRPr="00DA6DF7" w:rsidRDefault="00DA6DF7" w:rsidP="003370AC">
      <w:pPr>
        <w:pStyle w:val="Space2"/>
        <w:rPr>
          <w:rtl/>
        </w:rPr>
      </w:pPr>
      <w:r w:rsidRPr="003370AC">
        <w:rPr>
          <w:b/>
          <w:bCs/>
          <w:rtl/>
        </w:rPr>
        <w:t>الهدف الأوّل</w:t>
      </w:r>
      <w:r w:rsidR="003370AC" w:rsidRPr="003370AC">
        <w:rPr>
          <w:rFonts w:hint="cs"/>
          <w:b/>
          <w:bCs/>
          <w:rtl/>
        </w:rPr>
        <w:t>:</w:t>
      </w:r>
      <w:r w:rsidRPr="00DA6DF7">
        <w:rPr>
          <w:rtl/>
        </w:rPr>
        <w:t xml:space="preserve"> </w:t>
      </w:r>
      <w:r w:rsidR="003370AC">
        <w:rPr>
          <w:rFonts w:hint="cs"/>
          <w:rtl/>
        </w:rPr>
        <w:t xml:space="preserve">هو </w:t>
      </w:r>
      <w:r w:rsidRPr="00DA6DF7">
        <w:rPr>
          <w:rtl/>
        </w:rPr>
        <w:t xml:space="preserve">ـ مضافاً إلى رفض بيعة يزيد </w:t>
      </w:r>
      <w:r w:rsidR="00E8434A">
        <w:rPr>
          <w:rFonts w:hint="cs"/>
          <w:rtl/>
        </w:rPr>
        <w:t xml:space="preserve">ومقاومة ذلك واحتمال تصفيته </w:t>
      </w:r>
      <w:r w:rsidRPr="00DA6DF7">
        <w:rPr>
          <w:rtl/>
        </w:rPr>
        <w:t>ـ تشكيل حكومة إسلاميّة قويّة كما هو مطمح رؤى الأحرار في العراق، وكسر سيادة الظلم والفساد وقلعها من الجذور، وبذلك ينجّي المسلمين ويحيي سنّة الرسول الأكرم</w:t>
      </w:r>
      <w:r w:rsidR="003370AC">
        <w:rPr>
          <w:rFonts w:hint="cs"/>
          <w:rtl/>
        </w:rPr>
        <w:t>‘</w:t>
      </w:r>
      <w:r w:rsidRPr="00DA6DF7">
        <w:rPr>
          <w:rtl/>
        </w:rPr>
        <w:t>.</w:t>
      </w:r>
    </w:p>
    <w:p w14:paraId="074E1273" w14:textId="77777777" w:rsidR="00DA6DF7" w:rsidRPr="00DA6DF7" w:rsidRDefault="00DA6DF7" w:rsidP="00FF1596">
      <w:pPr>
        <w:pStyle w:val="normal870"/>
        <w:rPr>
          <w:rtl/>
        </w:rPr>
      </w:pPr>
      <w:r w:rsidRPr="003370AC">
        <w:rPr>
          <w:b/>
          <w:bCs/>
          <w:rtl/>
        </w:rPr>
        <w:t>الهدف الثاني</w:t>
      </w:r>
      <w:r w:rsidR="003370AC" w:rsidRPr="003370AC">
        <w:rPr>
          <w:rFonts w:hint="cs"/>
          <w:b/>
          <w:bCs/>
          <w:rtl/>
        </w:rPr>
        <w:t>:</w:t>
      </w:r>
      <w:r w:rsidRPr="00DA6DF7">
        <w:rPr>
          <w:rtl/>
        </w:rPr>
        <w:t xml:space="preserve"> الانصراف، أي بعد أن تضعضعت الأوضاع في العراق وتسلّط عبيد الله بن زياد على الكوفة؛ بحيث أدّى ذلك إلى عدم إمكانيّة الانتصار العسكري، وجد الإمام نفسه مضطراً للدعوة للانصراف.</w:t>
      </w:r>
    </w:p>
    <w:p w14:paraId="59267043" w14:textId="77777777" w:rsidR="00DA6DF7" w:rsidRDefault="00DA6DF7" w:rsidP="00FF1596">
      <w:pPr>
        <w:pStyle w:val="normal870"/>
        <w:rPr>
          <w:rtl/>
        </w:rPr>
      </w:pPr>
      <w:r w:rsidRPr="003370AC">
        <w:rPr>
          <w:b/>
          <w:bCs/>
          <w:rtl/>
        </w:rPr>
        <w:t>الهدف الثالث</w:t>
      </w:r>
      <w:r w:rsidR="003370AC" w:rsidRPr="003370AC">
        <w:rPr>
          <w:rFonts w:hint="cs"/>
          <w:b/>
          <w:bCs/>
          <w:rtl/>
        </w:rPr>
        <w:t>:</w:t>
      </w:r>
      <w:r w:rsidRPr="003370AC">
        <w:rPr>
          <w:b/>
          <w:bCs/>
          <w:rtl/>
        </w:rPr>
        <w:t xml:space="preserve"> </w:t>
      </w:r>
      <w:r w:rsidRPr="00DA6DF7">
        <w:rPr>
          <w:rtl/>
        </w:rPr>
        <w:t xml:space="preserve">الشهادة؛ وذلك لأنّ </w:t>
      </w:r>
      <w:r w:rsidR="003370AC">
        <w:rPr>
          <w:rFonts w:hint="cs"/>
          <w:rtl/>
        </w:rPr>
        <w:t xml:space="preserve">الحسين </w:t>
      </w:r>
      <w:r w:rsidRPr="00DA6DF7">
        <w:rPr>
          <w:rtl/>
        </w:rPr>
        <w:t>بعد ما رأى إصرار عمّال حكومة يزيد على عدم قبول طلبه بالانصراف، وتيقّن أيضا</w:t>
      </w:r>
      <w:r w:rsidR="003370AC">
        <w:rPr>
          <w:rtl/>
        </w:rPr>
        <w:t>ً أنّ خضوعه يعني التعامل معه بذ</w:t>
      </w:r>
      <w:r w:rsidRPr="00DA6DF7">
        <w:rPr>
          <w:rtl/>
        </w:rPr>
        <w:t>ل</w:t>
      </w:r>
      <w:r w:rsidR="003370AC">
        <w:rPr>
          <w:rFonts w:hint="cs"/>
          <w:rtl/>
        </w:rPr>
        <w:t>ّ</w:t>
      </w:r>
      <w:r w:rsidRPr="00DA6DF7">
        <w:rPr>
          <w:rtl/>
        </w:rPr>
        <w:t>ة ومهانة، كما هو الأمر مع مسلم بن عقيل، حينها كان الدفاع أمام هجوم الأعداء ضرورياً، فقدّم نفسه شهيداً بعزّ وافتخار، فالانتصار العسكري هو الهدف الأوّل؛ والصلح مع الكرامة هو الهدف الثاني؛ والاستشهاد هو الهدف الثالث</w:t>
      </w:r>
      <w:r w:rsidR="003370AC" w:rsidRPr="00763E4E">
        <w:rPr>
          <w:rFonts w:cs="Taher"/>
          <w:vertAlign w:val="superscript"/>
          <w:rtl/>
        </w:rPr>
        <w:t>(</w:t>
      </w:r>
      <w:r w:rsidR="003370AC" w:rsidRPr="00763E4E">
        <w:rPr>
          <w:rFonts w:cs="Taher"/>
          <w:vertAlign w:val="superscript"/>
          <w:rtl/>
        </w:rPr>
        <w:footnoteReference w:id="249"/>
      </w:r>
      <w:r w:rsidR="003370AC" w:rsidRPr="00763E4E">
        <w:rPr>
          <w:rFonts w:cs="Taher"/>
          <w:vertAlign w:val="superscript"/>
          <w:rtl/>
        </w:rPr>
        <w:t>)</w:t>
      </w:r>
      <w:r w:rsidR="003370AC">
        <w:rPr>
          <w:rFonts w:hint="cs"/>
          <w:rtl/>
        </w:rPr>
        <w:t>.</w:t>
      </w:r>
    </w:p>
    <w:p w14:paraId="32AD93CE" w14:textId="77777777" w:rsidR="000D424B" w:rsidRDefault="00DD6401" w:rsidP="00DE1358">
      <w:pPr>
        <w:pStyle w:val="Space2"/>
        <w:rPr>
          <w:rtl/>
        </w:rPr>
      </w:pPr>
      <w:r w:rsidRPr="000D424B">
        <w:rPr>
          <w:rFonts w:hint="cs"/>
          <w:b/>
          <w:bCs/>
          <w:rtl/>
        </w:rPr>
        <w:t>والشواهد لهذه النظرية ـ غير أنّ هذا هو المتبادر عقلانياً من دراسة أيّ حركة ثوري</w:t>
      </w:r>
      <w:r w:rsidR="000D424B" w:rsidRPr="000D424B">
        <w:rPr>
          <w:rFonts w:hint="cs"/>
          <w:b/>
          <w:bCs/>
          <w:rtl/>
        </w:rPr>
        <w:t>ّ</w:t>
      </w:r>
      <w:r w:rsidRPr="000D424B">
        <w:rPr>
          <w:rFonts w:hint="cs"/>
          <w:b/>
          <w:bCs/>
          <w:rtl/>
        </w:rPr>
        <w:t>ة ـ لا تكاد تعدّ ولا تحصى؛</w:t>
      </w:r>
      <w:r w:rsidRPr="00E4028C">
        <w:rPr>
          <w:rFonts w:hint="cs"/>
          <w:rtl/>
        </w:rPr>
        <w:t xml:space="preserve"> فأخذه× أهل بيته معه معناه أنه كان يريد الاستقرار في مكانٍ ما، وكذا أخذه الأموال الكثيرة على ما جاء في بعض النصوص، وتنسيقه مع أهل الكوفة لا ي</w:t>
      </w:r>
      <w:r w:rsidR="00DE1358">
        <w:rPr>
          <w:rFonts w:hint="cs"/>
          <w:rtl/>
        </w:rPr>
        <w:t>ُ</w:t>
      </w:r>
      <w:r w:rsidRPr="00E4028C">
        <w:rPr>
          <w:rFonts w:hint="cs"/>
          <w:rtl/>
        </w:rPr>
        <w:t xml:space="preserve">فهم سوى على هذه الطريقة، </w:t>
      </w:r>
      <w:r w:rsidR="000D424B">
        <w:rPr>
          <w:rFonts w:hint="cs"/>
          <w:rtl/>
        </w:rPr>
        <w:t>و</w:t>
      </w:r>
      <w:r w:rsidRPr="00E4028C">
        <w:rPr>
          <w:rFonts w:hint="cs"/>
          <w:rtl/>
        </w:rPr>
        <w:t>لا</w:t>
      </w:r>
      <w:r w:rsidR="000D424B">
        <w:rPr>
          <w:rFonts w:hint="cs"/>
          <w:rtl/>
        </w:rPr>
        <w:t xml:space="preserve"> </w:t>
      </w:r>
      <w:r w:rsidRPr="00E4028C">
        <w:rPr>
          <w:rFonts w:hint="cs"/>
          <w:rtl/>
        </w:rPr>
        <w:t>سي</w:t>
      </w:r>
      <w:r w:rsidR="000D424B">
        <w:rPr>
          <w:rFonts w:hint="cs"/>
          <w:rtl/>
        </w:rPr>
        <w:t>ّ</w:t>
      </w:r>
      <w:r w:rsidRPr="00E4028C">
        <w:rPr>
          <w:rFonts w:hint="cs"/>
          <w:rtl/>
        </w:rPr>
        <w:t>ما أن</w:t>
      </w:r>
      <w:r w:rsidR="000D424B">
        <w:rPr>
          <w:rFonts w:hint="cs"/>
          <w:rtl/>
        </w:rPr>
        <w:t>ّ</w:t>
      </w:r>
      <w:r w:rsidRPr="00E4028C">
        <w:rPr>
          <w:rFonts w:hint="cs"/>
          <w:rtl/>
        </w:rPr>
        <w:t>ه طالبهم وذكّرهم بخذلانه والتخلّي عنه، فما معنى ذلك كلّه إلا أنه أراد إسقاط الفساد في نظام الحكم عند المسلمين</w:t>
      </w:r>
      <w:r w:rsidR="000D424B">
        <w:rPr>
          <w:rFonts w:hint="cs"/>
          <w:rtl/>
        </w:rPr>
        <w:t>.</w:t>
      </w:r>
      <w:r w:rsidRPr="00E4028C">
        <w:rPr>
          <w:rFonts w:hint="cs"/>
          <w:rtl/>
        </w:rPr>
        <w:t xml:space="preserve"> يضاف إلى ذلك النصوص السابقة التي ذكرناها </w:t>
      </w:r>
      <w:r w:rsidRPr="00E4028C">
        <w:rPr>
          <w:rFonts w:hint="cs"/>
          <w:rtl/>
        </w:rPr>
        <w:lastRenderedPageBreak/>
        <w:t>والتي يطرح فيها الإمام مشروعه بطريقة عقلانية من الأمر بالمعروف والنهي عن المنكر والسير بسيرة رسول الله وتغيير الوضع القائم</w:t>
      </w:r>
      <w:r w:rsidR="00756722">
        <w:rPr>
          <w:rFonts w:hint="cs"/>
          <w:rtl/>
        </w:rPr>
        <w:t xml:space="preserve"> و</w:t>
      </w:r>
      <w:r w:rsidR="00DE1358">
        <w:rPr>
          <w:rFonts w:hint="cs"/>
          <w:rtl/>
        </w:rPr>
        <w:t xml:space="preserve">رفع </w:t>
      </w:r>
      <w:r w:rsidR="00756722">
        <w:rPr>
          <w:rFonts w:hint="cs"/>
          <w:rtl/>
        </w:rPr>
        <w:t>الظلم و</w:t>
      </w:r>
      <w:r w:rsidR="00DE1358">
        <w:rPr>
          <w:rFonts w:hint="cs"/>
          <w:rtl/>
        </w:rPr>
        <w:t xml:space="preserve">وقف </w:t>
      </w:r>
      <w:r w:rsidR="00756722">
        <w:rPr>
          <w:rFonts w:hint="cs"/>
          <w:rtl/>
        </w:rPr>
        <w:t>العدوان على بيت المال وغير ذلك.</w:t>
      </w:r>
    </w:p>
    <w:p w14:paraId="480C1B07" w14:textId="77777777" w:rsidR="00756722" w:rsidRDefault="00756722" w:rsidP="00DE1358">
      <w:pPr>
        <w:pStyle w:val="Space2"/>
        <w:rPr>
          <w:rtl/>
        </w:rPr>
      </w:pPr>
      <w:r w:rsidRPr="00756722">
        <w:rPr>
          <w:rFonts w:hint="cs"/>
          <w:b/>
          <w:bCs/>
          <w:rtl/>
        </w:rPr>
        <w:t>ي</w:t>
      </w:r>
      <w:r w:rsidR="00DE1358">
        <w:rPr>
          <w:rFonts w:hint="cs"/>
          <w:b/>
          <w:bCs/>
          <w:rtl/>
        </w:rPr>
        <w:t>ُ</w:t>
      </w:r>
      <w:r w:rsidRPr="00756722">
        <w:rPr>
          <w:rFonts w:hint="cs"/>
          <w:b/>
          <w:bCs/>
          <w:rtl/>
        </w:rPr>
        <w:t xml:space="preserve">ضاف </w:t>
      </w:r>
      <w:r>
        <w:rPr>
          <w:rFonts w:hint="cs"/>
          <w:b/>
          <w:bCs/>
          <w:rtl/>
        </w:rPr>
        <w:t>إ</w:t>
      </w:r>
      <w:r w:rsidRPr="00756722">
        <w:rPr>
          <w:rFonts w:hint="cs"/>
          <w:b/>
          <w:bCs/>
          <w:rtl/>
        </w:rPr>
        <w:t>لى ذلك الوقائع والمجريات،</w:t>
      </w:r>
      <w:r>
        <w:rPr>
          <w:rFonts w:hint="cs"/>
          <w:rtl/>
        </w:rPr>
        <w:t xml:space="preserve"> فإذا كان الإمام الحسين لا يهدف تحقيق شيء في العراق، فلماذا قامت الدولة الأمويّة بالاستنفار وإرسال عبيد الله بن زياد لإخماد التحرّك قبل وصول الحسين عبر استخدام ثنائي الترغيب والترهيب؟! </w:t>
      </w:r>
      <w:r w:rsidR="00DE1358">
        <w:rPr>
          <w:rFonts w:hint="cs"/>
          <w:rtl/>
        </w:rPr>
        <w:t xml:space="preserve">هل كان ذلك كلّه لمنع الحسين فقط من مجرّد الإقامة في الكوفة دون أي نشاط سياسيّ؟! </w:t>
      </w:r>
      <w:r>
        <w:rPr>
          <w:rFonts w:hint="cs"/>
          <w:rtl/>
        </w:rPr>
        <w:t xml:space="preserve">وإذا لم تكن هناك إرادة فعلٍ سياسي، فما معنى إرسال مسلم بن عقيل سفيراً له لترتيب الأوضاع ومختلف المجريات التي حصلت مع مسلم؟! بل حتى رسائل مسلم للحسين كلّها تُعطي هذا المعنى. يضاف </w:t>
      </w:r>
      <w:r w:rsidR="00DE1358">
        <w:rPr>
          <w:rFonts w:hint="cs"/>
          <w:rtl/>
        </w:rPr>
        <w:t>إلى ذلمك رسائل أهل ال</w:t>
      </w:r>
      <w:r>
        <w:rPr>
          <w:rFonts w:hint="cs"/>
          <w:rtl/>
        </w:rPr>
        <w:t>كوفة له</w:t>
      </w:r>
      <w:r w:rsidR="00DE1358">
        <w:rPr>
          <w:rFonts w:hint="cs"/>
          <w:rtl/>
        </w:rPr>
        <w:t>؛</w:t>
      </w:r>
      <w:r>
        <w:rPr>
          <w:rFonts w:hint="cs"/>
          <w:rtl/>
        </w:rPr>
        <w:t xml:space="preserve"> إذ كلّ</w:t>
      </w:r>
      <w:r w:rsidR="00DE1358">
        <w:rPr>
          <w:rFonts w:hint="cs"/>
          <w:rtl/>
        </w:rPr>
        <w:t>ه</w:t>
      </w:r>
      <w:r>
        <w:rPr>
          <w:rFonts w:hint="cs"/>
          <w:rtl/>
        </w:rPr>
        <w:t>ا تتضمّ</w:t>
      </w:r>
      <w:r w:rsidR="00DE1358">
        <w:rPr>
          <w:rFonts w:hint="cs"/>
          <w:rtl/>
        </w:rPr>
        <w:t>ن</w:t>
      </w:r>
      <w:r>
        <w:rPr>
          <w:rFonts w:hint="cs"/>
          <w:rtl/>
        </w:rPr>
        <w:t xml:space="preserve"> مفاهيم سياسي</w:t>
      </w:r>
      <w:r w:rsidR="00DE1358">
        <w:rPr>
          <w:rFonts w:hint="cs"/>
          <w:rtl/>
        </w:rPr>
        <w:t>ّ</w:t>
      </w:r>
      <w:r>
        <w:rPr>
          <w:rFonts w:hint="cs"/>
          <w:rtl/>
        </w:rPr>
        <w:t>ة وإرادات تغييري</w:t>
      </w:r>
      <w:r w:rsidR="00DE1358">
        <w:rPr>
          <w:rFonts w:hint="cs"/>
          <w:rtl/>
        </w:rPr>
        <w:t>ّ</w:t>
      </w:r>
      <w:r>
        <w:rPr>
          <w:rFonts w:hint="cs"/>
          <w:rtl/>
        </w:rPr>
        <w:t>ة في الواقع السياسي في ال</w:t>
      </w:r>
      <w:r w:rsidR="00DE1358">
        <w:rPr>
          <w:rFonts w:hint="cs"/>
          <w:rtl/>
        </w:rPr>
        <w:t>عراق</w:t>
      </w:r>
      <w:r>
        <w:rPr>
          <w:rFonts w:hint="cs"/>
          <w:rtl/>
        </w:rPr>
        <w:t>، والم</w:t>
      </w:r>
      <w:r w:rsidR="00DE1358">
        <w:rPr>
          <w:rFonts w:hint="cs"/>
          <w:rtl/>
        </w:rPr>
        <w:t>فروض أنّ الح</w:t>
      </w:r>
      <w:r>
        <w:rPr>
          <w:rFonts w:hint="cs"/>
          <w:rtl/>
        </w:rPr>
        <w:t xml:space="preserve">سين قد بنى علاقته بهم على هذا الأساس، مضافاً </w:t>
      </w:r>
      <w:r w:rsidR="00DE1358">
        <w:rPr>
          <w:rFonts w:hint="cs"/>
          <w:rtl/>
        </w:rPr>
        <w:t>لبعض الاحتجاجات التي ذكرها بعض الذين نصحوا الحسين بعدم الخروج، فإنّ جملةً منها كانت تذكّره بما فعله أهل الكوفه مع أبيه وأخيه، وهذا معناه أنّهم تصوّروا موقع الحسين مشابهاً لموقع عليّ والحسن، وهذا كافٍ في أنّهم فهموا الموقعيّة السياسية والقياديّة للحسين في الكوفة عقب وصوله إليها.</w:t>
      </w:r>
    </w:p>
    <w:p w14:paraId="1375C98A" w14:textId="77777777" w:rsidR="00D43C61" w:rsidRDefault="00D43C61" w:rsidP="00FF1596">
      <w:pPr>
        <w:pStyle w:val="normal930"/>
        <w:rPr>
          <w:rtl/>
        </w:rPr>
      </w:pPr>
      <w:r>
        <w:rPr>
          <w:rFonts w:hint="cs"/>
          <w:rtl/>
        </w:rPr>
        <w:t xml:space="preserve">بل ما معنى إرسال الحرّ الرياحي في جيشٍ لمنع الحسين من دخول الكوفة وإجباره على التوجّه شمالاً؟! هل كانت مشكلة الدولة الأمويّة معه أنّه ممنوع من النزول في </w:t>
      </w:r>
      <w:r>
        <w:rPr>
          <w:rFonts w:cs="Cambria" w:hint="cs"/>
          <w:rtl/>
        </w:rPr>
        <w:t>"</w:t>
      </w:r>
      <w:r>
        <w:rPr>
          <w:rFonts w:hint="cs"/>
          <w:rtl/>
        </w:rPr>
        <w:t>فندق</w:t>
      </w:r>
      <w:r>
        <w:rPr>
          <w:rFonts w:cs="Cambria" w:hint="cs"/>
          <w:rtl/>
        </w:rPr>
        <w:t>"</w:t>
      </w:r>
      <w:r>
        <w:rPr>
          <w:rFonts w:hint="cs"/>
          <w:rtl/>
        </w:rPr>
        <w:t xml:space="preserve"> في الكوفة مثلاً، أو أنّ القضية أنّ السياق هو سياق أنّ وجوده في الكوفة معناه قيامة المعارضة ضدّ بني أميّة؟</w:t>
      </w:r>
    </w:p>
    <w:p w14:paraId="28C17F7D" w14:textId="5303C080" w:rsidR="000D424B" w:rsidRDefault="00DD6401" w:rsidP="000D424B">
      <w:pPr>
        <w:pStyle w:val="Space2"/>
        <w:rPr>
          <w:rtl/>
        </w:rPr>
      </w:pPr>
      <w:r w:rsidRPr="000D424B">
        <w:rPr>
          <w:rFonts w:hint="cs"/>
          <w:b/>
          <w:bCs/>
          <w:rtl/>
        </w:rPr>
        <w:t>بل في واحدة من أواخر رسائله لأهل الكوفة،</w:t>
      </w:r>
      <w:r w:rsidRPr="00E4028C">
        <w:rPr>
          <w:rFonts w:hint="cs"/>
          <w:rtl/>
        </w:rPr>
        <w:t xml:space="preserve"> قال: </w:t>
      </w:r>
      <w:r w:rsidR="00D537A9" w:rsidRPr="00822CE9">
        <w:rPr>
          <w:rFonts w:hint="cs"/>
          <w:rtl/>
        </w:rPr>
        <w:t>«</w:t>
      </w:r>
      <w:r w:rsidRPr="00E4028C">
        <w:rPr>
          <w:rFonts w:hint="cs"/>
          <w:rtl/>
        </w:rPr>
        <w:t>..وقد بعثت إليكم أخي وابن عمي وثقتي من أهل بيتي وأمرته أن يكتب إليّ بحالكم وأمركم ورأيكم، فإن كتب إليّ أنّه قد أجمع رأي ملأكم وذوي الفضل والحجى منكم على مثل ما قدمت عليّ به رسلكم وقرأت في كتبكم، أقدم عليكم وشيكاً إن شاء الله، فلعمري ما الإمام إلا العامل بالكتاب، والآخذ بالقسط، والدائن بالحق</w:t>
      </w:r>
      <w:r w:rsidR="000948C5">
        <w:rPr>
          <w:rFonts w:hint="cs"/>
          <w:rtl/>
        </w:rPr>
        <w:t>ّ</w:t>
      </w:r>
      <w:r w:rsidRPr="00E4028C">
        <w:rPr>
          <w:rFonts w:hint="cs"/>
          <w:rtl/>
        </w:rPr>
        <w:t>، والحابس نفسه على ذات الله، والسلام</w:t>
      </w:r>
      <w:r w:rsidR="00D537A9" w:rsidRPr="00822CE9">
        <w:rPr>
          <w:rFonts w:hint="cs"/>
          <w:rtl/>
        </w:rPr>
        <w:t>»</w:t>
      </w:r>
      <w:r w:rsidR="00D537A9" w:rsidRPr="00763E4E">
        <w:rPr>
          <w:rFonts w:cs="Taher"/>
          <w:vertAlign w:val="superscript"/>
          <w:rtl/>
        </w:rPr>
        <w:t xml:space="preserve"> </w:t>
      </w:r>
      <w:r w:rsidRPr="00763E4E">
        <w:rPr>
          <w:rFonts w:cs="Taher"/>
          <w:vertAlign w:val="superscript"/>
          <w:rtl/>
        </w:rPr>
        <w:t>(</w:t>
      </w:r>
      <w:r w:rsidRPr="00763E4E">
        <w:rPr>
          <w:rFonts w:cs="Taher"/>
          <w:vertAlign w:val="superscript"/>
          <w:rtl/>
        </w:rPr>
        <w:footnoteReference w:id="250"/>
      </w:r>
      <w:r w:rsidRPr="00763E4E">
        <w:rPr>
          <w:rFonts w:cs="Taher"/>
          <w:vertAlign w:val="superscript"/>
          <w:rtl/>
        </w:rPr>
        <w:t>)</w:t>
      </w:r>
      <w:r w:rsidRPr="00E4028C">
        <w:rPr>
          <w:rFonts w:hint="cs"/>
          <w:rtl/>
        </w:rPr>
        <w:t xml:space="preserve">؛ فهذا النص واضح في أنّه كان يريد </w:t>
      </w:r>
      <w:r w:rsidRPr="00E4028C">
        <w:rPr>
          <w:rFonts w:hint="cs"/>
          <w:rtl/>
        </w:rPr>
        <w:lastRenderedPageBreak/>
        <w:t>العمل بالكتاب والأخذ بالقسط و..</w:t>
      </w:r>
    </w:p>
    <w:p w14:paraId="22449569" w14:textId="14DEAB77" w:rsidR="00DD6401" w:rsidRDefault="00DD6401" w:rsidP="00FF1596">
      <w:pPr>
        <w:pStyle w:val="normal930"/>
        <w:rPr>
          <w:rtl/>
        </w:rPr>
      </w:pPr>
      <w:r w:rsidRPr="000D424B">
        <w:rPr>
          <w:rFonts w:hint="cs"/>
          <w:b/>
          <w:bCs/>
          <w:rtl/>
        </w:rPr>
        <w:t>بل في كتابه إلى أهل البصرة قال:</w:t>
      </w:r>
      <w:r w:rsidRPr="00E4028C">
        <w:rPr>
          <w:rFonts w:hint="cs"/>
          <w:rtl/>
        </w:rPr>
        <w:t xml:space="preserve"> </w:t>
      </w:r>
      <w:r w:rsidR="00D537A9" w:rsidRPr="00822CE9">
        <w:rPr>
          <w:rFonts w:hint="cs"/>
          <w:rtl/>
        </w:rPr>
        <w:t>«</w:t>
      </w:r>
      <w:r w:rsidRPr="00E4028C">
        <w:rPr>
          <w:rFonts w:hint="cs"/>
          <w:rtl/>
        </w:rPr>
        <w:t>..وكن</w:t>
      </w:r>
      <w:r w:rsidR="00877F55">
        <w:rPr>
          <w:rFonts w:hint="cs"/>
          <w:rtl/>
        </w:rPr>
        <w:t>ّ</w:t>
      </w:r>
      <w:r w:rsidRPr="00E4028C">
        <w:rPr>
          <w:rFonts w:hint="cs"/>
          <w:rtl/>
        </w:rPr>
        <w:t>ا أهله وأولياءه، وأوصياءه وورثته، وأحقّ الناس بمقامه في الناس، فاستأثر علينا قومنا بذلك، فرضينا، وكرهنا الفرقة.. وقد بعثت رسولي إليكم بهذا الكتاب، وأنا أدعوكم إلى كتاب الله وسنّة نبيّه؛ فإنّ السنّة قد أميتت، وإنّ البدعة قد أحييت، وإن تسمعوا قولي وتطيعوا أمري أهدكم سبيل الرشاد</w:t>
      </w:r>
      <w:r w:rsidR="00D537A9" w:rsidRPr="00822CE9">
        <w:rPr>
          <w:rFonts w:hint="cs"/>
          <w:rtl/>
        </w:rPr>
        <w:t>»</w:t>
      </w:r>
      <w:r w:rsidR="00D537A9" w:rsidRPr="00763E4E">
        <w:rPr>
          <w:rFonts w:cs="Taher"/>
          <w:vertAlign w:val="superscript"/>
          <w:rtl/>
        </w:rPr>
        <w:t xml:space="preserve"> </w:t>
      </w:r>
      <w:r w:rsidRPr="00763E4E">
        <w:rPr>
          <w:rFonts w:cs="Taher"/>
          <w:vertAlign w:val="superscript"/>
          <w:rtl/>
        </w:rPr>
        <w:t>(</w:t>
      </w:r>
      <w:r w:rsidRPr="00763E4E">
        <w:rPr>
          <w:rFonts w:cs="Taher"/>
          <w:vertAlign w:val="superscript"/>
          <w:rtl/>
        </w:rPr>
        <w:footnoteReference w:id="251"/>
      </w:r>
      <w:r w:rsidRPr="00763E4E">
        <w:rPr>
          <w:rFonts w:cs="Taher"/>
          <w:vertAlign w:val="superscript"/>
          <w:rtl/>
        </w:rPr>
        <w:t>)</w:t>
      </w:r>
      <w:r w:rsidRPr="00E4028C">
        <w:rPr>
          <w:rFonts w:hint="cs"/>
          <w:rtl/>
        </w:rPr>
        <w:t>، وهذا النص صريح في التذكير بأمر الإمامة بعد رسول الله، وبالإطاعة والولاية وغيرها من المفاهيم التي تتص</w:t>
      </w:r>
      <w:r w:rsidR="00877F55">
        <w:rPr>
          <w:rFonts w:hint="cs"/>
          <w:rtl/>
        </w:rPr>
        <w:t>ل بالتفسير السياسي</w:t>
      </w:r>
      <w:r w:rsidRPr="00E4028C">
        <w:rPr>
          <w:rFonts w:hint="cs"/>
          <w:rtl/>
        </w:rPr>
        <w:t>.</w:t>
      </w:r>
    </w:p>
    <w:p w14:paraId="3C249D0F" w14:textId="77777777" w:rsidR="00DD6401" w:rsidRDefault="0080185A" w:rsidP="0096148C">
      <w:pPr>
        <w:pStyle w:val="Heading3"/>
        <w:rPr>
          <w:rtl/>
        </w:rPr>
      </w:pPr>
      <w:bookmarkStart w:id="124" w:name="_Toc307009620"/>
      <w:bookmarkStart w:id="125" w:name="_Toc143804147"/>
      <w:bookmarkStart w:id="126" w:name="_Toc238123272"/>
      <w:r>
        <w:rPr>
          <w:rFonts w:hint="cs"/>
          <w:rtl/>
        </w:rPr>
        <w:t>مط</w:t>
      </w:r>
      <w:r w:rsidR="00DD6401" w:rsidRPr="00236AA7">
        <w:rPr>
          <w:rFonts w:hint="cs"/>
          <w:rtl/>
        </w:rPr>
        <w:t>العة تقويمية في التفسير السياسي</w:t>
      </w:r>
      <w:bookmarkEnd w:id="124"/>
      <w:bookmarkEnd w:id="125"/>
      <w:bookmarkEnd w:id="126"/>
    </w:p>
    <w:p w14:paraId="63AA1FF7" w14:textId="77777777" w:rsidR="00D87005" w:rsidRPr="00FF1596" w:rsidRDefault="003B0BB6" w:rsidP="00FF1596">
      <w:pPr>
        <w:pStyle w:val="normal930"/>
        <w:rPr>
          <w:b/>
          <w:bCs/>
          <w:rtl/>
        </w:rPr>
      </w:pPr>
      <w:r w:rsidRPr="00FF1596">
        <w:rPr>
          <w:rFonts w:hint="cs"/>
          <w:b/>
          <w:bCs/>
          <w:rtl/>
        </w:rPr>
        <w:t>يمكن الحديث عن تقويم هذه النظريّة والقراءت النقديّة لها عبر الآتي:</w:t>
      </w:r>
    </w:p>
    <w:p w14:paraId="10992691" w14:textId="77777777" w:rsidR="00DD6401" w:rsidRPr="00236AA7" w:rsidRDefault="00DD6401" w:rsidP="0096148C">
      <w:pPr>
        <w:pStyle w:val="Heading4"/>
        <w:rPr>
          <w:rtl/>
        </w:rPr>
      </w:pPr>
      <w:bookmarkStart w:id="127" w:name="_Toc307009621"/>
      <w:bookmarkStart w:id="128" w:name="_Toc143804148"/>
      <w:bookmarkStart w:id="129" w:name="_Toc238123273"/>
      <w:r w:rsidRPr="00236AA7">
        <w:rPr>
          <w:rFonts w:hint="cs"/>
          <w:rtl/>
        </w:rPr>
        <w:t>أ ـ القراءة النقدية الكلامية ـ الأيديولوجية لنظرية التعقيل السياسي</w:t>
      </w:r>
      <w:bookmarkEnd w:id="127"/>
      <w:r w:rsidR="0083396A">
        <w:rPr>
          <w:rFonts w:hint="cs"/>
          <w:rtl/>
        </w:rPr>
        <w:t>، عرضٌ وردّ</w:t>
      </w:r>
      <w:bookmarkEnd w:id="128"/>
      <w:bookmarkEnd w:id="129"/>
    </w:p>
    <w:p w14:paraId="5E69485D" w14:textId="77777777" w:rsidR="00DD6401" w:rsidRPr="00E4028C" w:rsidRDefault="00DD6401" w:rsidP="00FF1596">
      <w:pPr>
        <w:pStyle w:val="normal930"/>
        <w:rPr>
          <w:rtl/>
        </w:rPr>
      </w:pPr>
      <w:r w:rsidRPr="00E4028C">
        <w:rPr>
          <w:rFonts w:hint="cs"/>
          <w:rtl/>
        </w:rPr>
        <w:t>ورغم الطابع الإيجابي الذي تعطيه العناصر المترابطة لهذه النظرية، لكنّها ـ في واقع الأمر ـ تواجه مشكلين اثنين: أحدهما كلامي والآخر تاريخي.</w:t>
      </w:r>
    </w:p>
    <w:p w14:paraId="080A00C3" w14:textId="77777777" w:rsidR="00DD6401" w:rsidRPr="00E4028C" w:rsidRDefault="00DD6401" w:rsidP="00FF1596">
      <w:pPr>
        <w:pStyle w:val="normal870"/>
        <w:rPr>
          <w:rtl/>
        </w:rPr>
      </w:pPr>
      <w:r w:rsidRPr="00E4028C">
        <w:rPr>
          <w:rFonts w:hint="cs"/>
          <w:b/>
          <w:bCs/>
          <w:rtl/>
        </w:rPr>
        <w:t>1 ـ أما المشكلة الكلامية،</w:t>
      </w:r>
      <w:r w:rsidRPr="00E4028C">
        <w:rPr>
          <w:rFonts w:hint="cs"/>
          <w:rtl/>
        </w:rPr>
        <w:t xml:space="preserve"> فتتمثل في الاعتقاد الإمامي بأنّ الإمام يعلم ما كان وما يكون إلى يوم القيامة، وأنهم يعرفون موتهم وما يطرأ عليهم عبر علوم لدنية غير كسبية، فطبقاً لهذه النظرية الكلامية كيف يقدم الحسين على ثورة تهدف تغيير النظام وهو يعلم بفشلها مسبقاً، وبأنها سوف تودي به وبأهل بيته، وهل يكون غرض شخص من ذلك هو الاستيلاء على السلطة وإسقاط السلطة القائمة؟</w:t>
      </w:r>
      <w:r w:rsidR="00877F55">
        <w:rPr>
          <w:rFonts w:hint="cs"/>
          <w:rtl/>
        </w:rPr>
        <w:t>!</w:t>
      </w:r>
      <w:r w:rsidRPr="00E4028C">
        <w:rPr>
          <w:rFonts w:hint="cs"/>
          <w:rtl/>
        </w:rPr>
        <w:t xml:space="preserve"> وحيث قد ثبتت هذه النظرية الكلامية بالأدلّة العقلية والسمعية القاطعة فلا مفرّ من إبطال هذا التفسير، كونه لا يصمد في وجهها.</w:t>
      </w:r>
    </w:p>
    <w:p w14:paraId="02CBFEAD" w14:textId="77777777" w:rsidR="00DD6401" w:rsidRPr="00E4028C" w:rsidRDefault="00DD6401" w:rsidP="00FF1596">
      <w:pPr>
        <w:pStyle w:val="normal84"/>
        <w:rPr>
          <w:rtl/>
        </w:rPr>
      </w:pPr>
      <w:r w:rsidRPr="00E4028C">
        <w:rPr>
          <w:rFonts w:hint="cs"/>
          <w:rtl/>
        </w:rPr>
        <w:t xml:space="preserve">وهذه المشكلة التي تمثل واحدة من أعقد المشكلات عند ناقضي النظرية السياسية، لا مجال لبحث أصلها ـ أي علم المعصوم ـ هنا، </w:t>
      </w:r>
      <w:r w:rsidR="00877F55">
        <w:rPr>
          <w:rFonts w:hint="cs"/>
          <w:rtl/>
        </w:rPr>
        <w:t>وإن كنّا لا نؤمن بفكرة علم الأئمّة بالغيب بنحو القاعدة المطلقة إلا ما خرج بالدليل، وتفصيله في محلّه</w:t>
      </w:r>
      <w:r w:rsidR="00CA47BA" w:rsidRPr="00763E4E">
        <w:rPr>
          <w:rFonts w:cs="Taher"/>
          <w:vertAlign w:val="superscript"/>
          <w:rtl/>
        </w:rPr>
        <w:t>(</w:t>
      </w:r>
      <w:r w:rsidR="00CA47BA" w:rsidRPr="00763E4E">
        <w:rPr>
          <w:rFonts w:cs="Taher"/>
          <w:vertAlign w:val="superscript"/>
          <w:rtl/>
        </w:rPr>
        <w:footnoteReference w:id="252"/>
      </w:r>
      <w:r w:rsidR="00CA47BA" w:rsidRPr="00763E4E">
        <w:rPr>
          <w:rFonts w:cs="Taher"/>
          <w:vertAlign w:val="superscript"/>
          <w:rtl/>
        </w:rPr>
        <w:t>)</w:t>
      </w:r>
      <w:r w:rsidR="00877F55">
        <w:rPr>
          <w:rFonts w:hint="cs"/>
          <w:rtl/>
        </w:rPr>
        <w:t xml:space="preserve">، </w:t>
      </w:r>
      <w:r w:rsidRPr="00E4028C">
        <w:rPr>
          <w:rFonts w:hint="cs"/>
          <w:rtl/>
        </w:rPr>
        <w:t>لكن مع القول بأن</w:t>
      </w:r>
      <w:r w:rsidR="00A1745C">
        <w:rPr>
          <w:rFonts w:hint="cs"/>
          <w:rtl/>
        </w:rPr>
        <w:t>ّ</w:t>
      </w:r>
      <w:r w:rsidRPr="00E4028C">
        <w:rPr>
          <w:rFonts w:hint="cs"/>
          <w:rtl/>
        </w:rPr>
        <w:t xml:space="preserve"> علم المعصوم كذلك، وليس </w:t>
      </w:r>
      <w:r w:rsidRPr="00E4028C">
        <w:rPr>
          <w:rFonts w:hint="cs"/>
          <w:rtl/>
        </w:rPr>
        <w:lastRenderedPageBreak/>
        <w:t>بعزيز على الله، ثم</w:t>
      </w:r>
      <w:r w:rsidR="000948C5">
        <w:rPr>
          <w:rFonts w:hint="cs"/>
          <w:rtl/>
        </w:rPr>
        <w:t>ّ</w:t>
      </w:r>
      <w:r w:rsidRPr="00E4028C">
        <w:rPr>
          <w:rFonts w:hint="cs"/>
          <w:rtl/>
        </w:rPr>
        <w:t xml:space="preserve">ة جواب يقدّمه </w:t>
      </w:r>
      <w:r w:rsidR="00A1745C">
        <w:rPr>
          <w:rFonts w:hint="cs"/>
          <w:rtl/>
        </w:rPr>
        <w:t xml:space="preserve">بعض </w:t>
      </w:r>
      <w:r w:rsidRPr="00E4028C">
        <w:rPr>
          <w:rFonts w:hint="cs"/>
          <w:rtl/>
        </w:rPr>
        <w:t xml:space="preserve">أنصار هذه النظرية عادةً ـ أي نظرية علم المعصوم ـ لدى إيراد بعض الإشكالات عليهم، ويمكن لهذا الجواب أن يجري هنا أيضاً لصالح النظرية السياسية؛ فنظرية العلم الوسيع للإمام تواجه عادةً بأسئلة حرجة، مثل كيف يقضي الرسول والأئمة بين الناس بالأيمان والبيّنات الظنية ولديهم العلم بالواقع؟ أليس في ذلك ظلم وإجحاف في بعض الحالات حيث لا يصيب حكم القاضي الواقع؟ كيف نفسّر الكثير من الروايات التي </w:t>
      </w:r>
      <w:r w:rsidRPr="00E4028C">
        <w:rPr>
          <w:rFonts w:hint="cs"/>
          <w:rtl/>
        </w:rPr>
        <w:lastRenderedPageBreak/>
        <w:t>يفيد ظاهرها جهل الإمام بشيءٍ ما، كما في أكله× لطعامٍ من مال غير شرعي، ثم لما أخبروه دعا بطشت فقاء الطعام فيه، أو بحثه عن شيء لا يعرف أين هو وما شابه ذلك..؟</w:t>
      </w:r>
    </w:p>
    <w:p w14:paraId="66F5F169" w14:textId="77777777" w:rsidR="00DD6401" w:rsidRPr="00E4028C" w:rsidRDefault="00DD6401" w:rsidP="00A1745C">
      <w:pPr>
        <w:pStyle w:val="Space"/>
        <w:rPr>
          <w:rtl/>
        </w:rPr>
      </w:pPr>
      <w:r w:rsidRPr="00A1745C">
        <w:rPr>
          <w:rFonts w:hint="cs"/>
          <w:b/>
          <w:bCs/>
          <w:rtl/>
        </w:rPr>
        <w:t>وقد ردّ أنصار نظرية العلم اللدني المطلق هنا بجواب حاصله:</w:t>
      </w:r>
      <w:r w:rsidRPr="00E4028C">
        <w:rPr>
          <w:rFonts w:hint="cs"/>
          <w:rtl/>
        </w:rPr>
        <w:t xml:space="preserve"> إن</w:t>
      </w:r>
      <w:r w:rsidR="00A1745C">
        <w:rPr>
          <w:rFonts w:hint="cs"/>
          <w:rtl/>
        </w:rPr>
        <w:t>ّ</w:t>
      </w:r>
      <w:r w:rsidRPr="00E4028C">
        <w:rPr>
          <w:rFonts w:hint="cs"/>
          <w:rtl/>
        </w:rPr>
        <w:t xml:space="preserve"> </w:t>
      </w:r>
      <w:r w:rsidR="00A1745C">
        <w:rPr>
          <w:rFonts w:hint="cs"/>
          <w:rtl/>
        </w:rPr>
        <w:t xml:space="preserve">النبيّ أو </w:t>
      </w:r>
      <w:r w:rsidRPr="00E4028C">
        <w:rPr>
          <w:rFonts w:hint="cs"/>
          <w:rtl/>
        </w:rPr>
        <w:t>الإمام يعلم الواقع لكنّه مكلّفٌ بالظاهر، أي أنه وإن علم بواقع الحال غير أنه في مقام العمل الخارجي يتعاطى على أنه إنسان طبيعي، يعمل بالطرق الطبيعية في الوصول إلى الواقع والحقيقة؛ ولهذا يقضي بالأيمان والبيّنات رغم علمه اللدني بأنّها هنا أو هناك لا تطابق الواقع، ومهما كان السبب في فعله هذا، إلا أنه هو التفسير الطبيعي الجامع بين هذه المعطيات عن حياة النبي والإمام وبين ما ثبت في علم الكلام من العلوم اللدنية الكثيرة التي عنده.</w:t>
      </w:r>
    </w:p>
    <w:p w14:paraId="043B3CB1" w14:textId="77777777" w:rsidR="00DD6401" w:rsidRPr="00E4028C" w:rsidRDefault="00DD6401" w:rsidP="00FF1596">
      <w:pPr>
        <w:pStyle w:val="Space2"/>
        <w:spacing w:line="209" w:lineRule="auto"/>
        <w:rPr>
          <w:rtl/>
        </w:rPr>
      </w:pPr>
      <w:r w:rsidRPr="00877F55">
        <w:rPr>
          <w:rFonts w:hint="cs"/>
          <w:b/>
          <w:bCs/>
          <w:rtl/>
        </w:rPr>
        <w:t>والذي نقوله هنا: إنّ بالإمكان رفع التناقض بين علم الإمام وبين هذه النظرية السياسي</w:t>
      </w:r>
      <w:r w:rsidR="00A1745C">
        <w:rPr>
          <w:rFonts w:hint="cs"/>
          <w:b/>
          <w:bCs/>
          <w:rtl/>
        </w:rPr>
        <w:t>ّ</w:t>
      </w:r>
      <w:r w:rsidRPr="00877F55">
        <w:rPr>
          <w:rFonts w:hint="cs"/>
          <w:b/>
          <w:bCs/>
          <w:rtl/>
        </w:rPr>
        <w:t>ة في تفسير ال</w:t>
      </w:r>
      <w:r w:rsidR="00877F55" w:rsidRPr="00877F55">
        <w:rPr>
          <w:rFonts w:hint="cs"/>
          <w:b/>
          <w:bCs/>
          <w:rtl/>
        </w:rPr>
        <w:t xml:space="preserve">حركة </w:t>
      </w:r>
      <w:r w:rsidRPr="00877F55">
        <w:rPr>
          <w:rFonts w:hint="cs"/>
          <w:b/>
          <w:bCs/>
          <w:rtl/>
        </w:rPr>
        <w:t>طبقاً للمنهج عينه الذي يسير عليه كثير من أنصار هذه النظرية أنفسهم،</w:t>
      </w:r>
      <w:r w:rsidRPr="00E4028C">
        <w:rPr>
          <w:rFonts w:hint="cs"/>
          <w:rtl/>
        </w:rPr>
        <w:t xml:space="preserve"> فالإمام وإن علم بشهادته وما سيحلّ به وبأهل بيته، إلا أن</w:t>
      </w:r>
      <w:r w:rsidR="00877F55">
        <w:rPr>
          <w:rFonts w:hint="cs"/>
          <w:rtl/>
        </w:rPr>
        <w:t>ّ</w:t>
      </w:r>
      <w:r w:rsidRPr="00E4028C">
        <w:rPr>
          <w:rFonts w:hint="cs"/>
          <w:rtl/>
        </w:rPr>
        <w:t xml:space="preserve">ه كان مكلّفاً على مستوى الظاهر بالتعاطي الظاهري مع الأمور، فعندما تصله آلاف الرسائل من الكوفة ـ بل ومن غيرها أيضاً ـ تعلن الاستعداد للجهاد، فإنّ التعاطي الطبيعي حينئذ أن يستجيب لها انطلاقاً من الموقف الشرعي في هذا المجال، متجاهلاً علمه اللدني بخذلانهم فهو يتعامل مع الظاهر، ومتجاهلاً علمه اللدني بشهادته؛ لأنه أيضاً يتعامل مع الظاهر، </w:t>
      </w:r>
      <w:r w:rsidRPr="00A1745C">
        <w:rPr>
          <w:rFonts w:hint="cs"/>
          <w:b/>
          <w:bCs/>
          <w:rtl/>
        </w:rPr>
        <w:t>فالنظرية السياسية المذكورة تعدّ تفسيراً ظاهرياً لل</w:t>
      </w:r>
      <w:r w:rsidR="00877F55" w:rsidRPr="00A1745C">
        <w:rPr>
          <w:rFonts w:hint="cs"/>
          <w:b/>
          <w:bCs/>
          <w:rtl/>
        </w:rPr>
        <w:t xml:space="preserve">حركة </w:t>
      </w:r>
      <w:r w:rsidRPr="00A1745C">
        <w:rPr>
          <w:rFonts w:hint="cs"/>
          <w:b/>
          <w:bCs/>
          <w:rtl/>
        </w:rPr>
        <w:t>بهذا المعنى، دون أن تضطرّ إلى إنكار علم الإمام اللدني،</w:t>
      </w:r>
      <w:r w:rsidRPr="00E4028C">
        <w:rPr>
          <w:rFonts w:hint="cs"/>
          <w:rtl/>
        </w:rPr>
        <w:t xml:space="preserve"> وعبر ذلك يمكن الجمع بين المعتقد الشيعي في علم الإمام من جهة وبين التفسير السياسي الذي قد يخرج به الباحث في تحليله لأحداث هذه ال</w:t>
      </w:r>
      <w:r w:rsidR="00877F55">
        <w:rPr>
          <w:rFonts w:hint="cs"/>
          <w:rtl/>
        </w:rPr>
        <w:t xml:space="preserve">حركة </w:t>
      </w:r>
      <w:r w:rsidRPr="00E4028C">
        <w:rPr>
          <w:rFonts w:hint="cs"/>
          <w:rtl/>
        </w:rPr>
        <w:t>من جهة ثانية.</w:t>
      </w:r>
    </w:p>
    <w:p w14:paraId="6F93F9DC" w14:textId="77777777" w:rsidR="00DD6401" w:rsidRPr="00E4028C" w:rsidRDefault="00DD6401" w:rsidP="00FF1596">
      <w:pPr>
        <w:pStyle w:val="normal930"/>
        <w:rPr>
          <w:rtl/>
        </w:rPr>
      </w:pPr>
      <w:r w:rsidRPr="00A1745C">
        <w:rPr>
          <w:rFonts w:hint="cs"/>
          <w:b/>
          <w:bCs/>
          <w:rtl/>
        </w:rPr>
        <w:t>وبعبارة</w:t>
      </w:r>
      <w:r w:rsidR="00A1745C">
        <w:rPr>
          <w:rFonts w:hint="cs"/>
          <w:b/>
          <w:bCs/>
          <w:rtl/>
        </w:rPr>
        <w:t>ٍ</w:t>
      </w:r>
      <w:r w:rsidRPr="00A1745C">
        <w:rPr>
          <w:rFonts w:hint="cs"/>
          <w:b/>
          <w:bCs/>
          <w:rtl/>
        </w:rPr>
        <w:t xml:space="preserve"> جامعة:</w:t>
      </w:r>
      <w:r w:rsidRPr="00E4028C">
        <w:rPr>
          <w:rFonts w:hint="cs"/>
          <w:rtl/>
        </w:rPr>
        <w:t xml:space="preserve"> أيّ جواب يجيب به القائلون بعلم الإمام هناك يمكن لأنصار النظرية السياسية أن يجيبوه هنا، فالمشكلة الكلامية قابلة للحلّ، بلا حاجة لا إلى إنكار أصل المعتقد الكلامي ولا إلى إنكار النظري</w:t>
      </w:r>
      <w:r w:rsidR="00A1745C">
        <w:rPr>
          <w:rFonts w:hint="cs"/>
          <w:rtl/>
        </w:rPr>
        <w:t>ّ</w:t>
      </w:r>
      <w:r w:rsidRPr="00E4028C">
        <w:rPr>
          <w:rFonts w:hint="cs"/>
          <w:rtl/>
        </w:rPr>
        <w:t>ة السياسية المذكورة هنا.</w:t>
      </w:r>
    </w:p>
    <w:p w14:paraId="1AE56988" w14:textId="77777777" w:rsidR="00DD6401" w:rsidRPr="00E4028C" w:rsidRDefault="00DD6401" w:rsidP="00222770">
      <w:pPr>
        <w:pStyle w:val="Space2"/>
        <w:rPr>
          <w:rtl/>
        </w:rPr>
      </w:pPr>
      <w:r w:rsidRPr="00A1745C">
        <w:rPr>
          <w:rFonts w:hint="cs"/>
          <w:b/>
          <w:bCs/>
          <w:rtl/>
        </w:rPr>
        <w:t>والملفت أنّني وجدت من أثار فكرة وجود تكليفين للإمام هنا؛ أحدهما ظاهري والآخر باطني،</w:t>
      </w:r>
      <w:r w:rsidRPr="00E4028C">
        <w:rPr>
          <w:rFonts w:hint="cs"/>
          <w:rtl/>
        </w:rPr>
        <w:t xml:space="preserve"> ومنهم الشيخ جعفر التستري (1303هـ) والسيد محمد الصدر (1999م)</w:t>
      </w:r>
      <w:r w:rsidRPr="00763E4E">
        <w:rPr>
          <w:rFonts w:cs="Taher"/>
          <w:vertAlign w:val="superscript"/>
          <w:rtl/>
        </w:rPr>
        <w:t>(</w:t>
      </w:r>
      <w:r w:rsidRPr="00763E4E">
        <w:rPr>
          <w:rFonts w:cs="Taher"/>
          <w:vertAlign w:val="superscript"/>
          <w:rtl/>
        </w:rPr>
        <w:footnoteReference w:id="253"/>
      </w:r>
      <w:r w:rsidRPr="00763E4E">
        <w:rPr>
          <w:rFonts w:cs="Taher"/>
          <w:vertAlign w:val="superscript"/>
          <w:rtl/>
        </w:rPr>
        <w:t>)</w:t>
      </w:r>
      <w:r w:rsidRPr="00E4028C">
        <w:rPr>
          <w:rFonts w:hint="cs"/>
          <w:rtl/>
        </w:rPr>
        <w:t xml:space="preserve">، وإن لم </w:t>
      </w:r>
      <w:r w:rsidRPr="00E4028C">
        <w:rPr>
          <w:rFonts w:hint="cs"/>
          <w:rtl/>
        </w:rPr>
        <w:lastRenderedPageBreak/>
        <w:t>يكن قصدهما الشكل الذي ذكرناه تماماً.</w:t>
      </w:r>
    </w:p>
    <w:p w14:paraId="6E0E3C94" w14:textId="77777777" w:rsidR="00DD6401" w:rsidRPr="00E4028C" w:rsidRDefault="00DD6401" w:rsidP="00A1745C">
      <w:pPr>
        <w:pStyle w:val="Space1"/>
        <w:rPr>
          <w:rtl/>
        </w:rPr>
      </w:pPr>
      <w:r w:rsidRPr="00E4028C">
        <w:rPr>
          <w:rFonts w:hint="cs"/>
          <w:b/>
          <w:bCs/>
          <w:rtl/>
        </w:rPr>
        <w:t>2 ـ وأم</w:t>
      </w:r>
      <w:r w:rsidR="00A1745C">
        <w:rPr>
          <w:rFonts w:hint="cs"/>
          <w:b/>
          <w:bCs/>
          <w:rtl/>
        </w:rPr>
        <w:t>ّ</w:t>
      </w:r>
      <w:r w:rsidRPr="00E4028C">
        <w:rPr>
          <w:rFonts w:hint="cs"/>
          <w:b/>
          <w:bCs/>
          <w:rtl/>
        </w:rPr>
        <w:t>ا المشكلة التاريخي</w:t>
      </w:r>
      <w:r w:rsidR="00A1745C">
        <w:rPr>
          <w:rFonts w:hint="cs"/>
          <w:b/>
          <w:bCs/>
          <w:rtl/>
        </w:rPr>
        <w:t>ّ</w:t>
      </w:r>
      <w:r w:rsidRPr="00E4028C">
        <w:rPr>
          <w:rFonts w:hint="cs"/>
          <w:b/>
          <w:bCs/>
          <w:rtl/>
        </w:rPr>
        <w:t>ة ـ الأيديولوجية،</w:t>
      </w:r>
      <w:r w:rsidRPr="00E4028C">
        <w:rPr>
          <w:rFonts w:hint="cs"/>
          <w:rtl/>
        </w:rPr>
        <w:t xml:space="preserve"> فتتمثل في العديد من النصوص التي تت</w:t>
      </w:r>
      <w:r w:rsidR="00877F55">
        <w:rPr>
          <w:rFonts w:hint="cs"/>
          <w:rtl/>
        </w:rPr>
        <w:t>حدّث عن تنبؤ الرسول| وأهل البيت</w:t>
      </w:r>
      <w:r w:rsidRPr="00E4028C">
        <w:rPr>
          <w:rFonts w:hint="cs"/>
          <w:rtl/>
        </w:rPr>
        <w:t>، وحتى الإمام الحسين بشهادته، مثل تلك الروايات التي مرّت في النظري</w:t>
      </w:r>
      <w:r w:rsidR="00A1745C">
        <w:rPr>
          <w:rFonts w:hint="cs"/>
          <w:rtl/>
        </w:rPr>
        <w:t>ّ</w:t>
      </w:r>
      <w:r w:rsidRPr="00E4028C">
        <w:rPr>
          <w:rFonts w:hint="cs"/>
          <w:rtl/>
        </w:rPr>
        <w:t>ة الأولى، وهي نصوص كثيرة موجودة في المصادر الحديثي</w:t>
      </w:r>
      <w:r w:rsidR="00877F55">
        <w:rPr>
          <w:rFonts w:hint="cs"/>
          <w:rtl/>
        </w:rPr>
        <w:t>ّ</w:t>
      </w:r>
      <w:r w:rsidRPr="00E4028C">
        <w:rPr>
          <w:rFonts w:hint="cs"/>
          <w:rtl/>
        </w:rPr>
        <w:t>ة</w:t>
      </w:r>
      <w:r w:rsidR="00A1745C">
        <w:rPr>
          <w:rFonts w:hint="cs"/>
          <w:rtl/>
        </w:rPr>
        <w:t>، ومنها</w:t>
      </w:r>
      <w:r w:rsidR="00A1745C" w:rsidRPr="00A1745C">
        <w:rPr>
          <w:rFonts w:hint="cs"/>
          <w:rtl/>
        </w:rPr>
        <w:t xml:space="preserve"> التي أخبرت بأنّ الحسين ابني هذا شهيد، وسيُقتل في أرض كذا وكذا، وستكون نهايته الشهادة، وأنّ أمّتي تقتله وما شابه ذلك، ورواية أمّ سلمة</w:t>
      </w:r>
      <w:r w:rsidR="00DB66A4" w:rsidRPr="00763E4E">
        <w:rPr>
          <w:rFonts w:cs="Taher"/>
          <w:vertAlign w:val="superscript"/>
          <w:rtl/>
        </w:rPr>
        <w:t>(</w:t>
      </w:r>
      <w:r w:rsidR="00DB66A4" w:rsidRPr="00763E4E">
        <w:rPr>
          <w:rFonts w:cs="Taher"/>
          <w:vertAlign w:val="superscript"/>
          <w:rtl/>
        </w:rPr>
        <w:footnoteReference w:id="254"/>
      </w:r>
      <w:r w:rsidR="00DB66A4" w:rsidRPr="00763E4E">
        <w:rPr>
          <w:rFonts w:cs="Taher"/>
          <w:vertAlign w:val="superscript"/>
          <w:rtl/>
        </w:rPr>
        <w:t>)</w:t>
      </w:r>
      <w:r w:rsidR="00A1745C" w:rsidRPr="00A1745C">
        <w:rPr>
          <w:rFonts w:hint="cs"/>
          <w:rtl/>
        </w:rPr>
        <w:t xml:space="preserve"> و</w:t>
      </w:r>
      <w:r w:rsidR="00A1745C">
        <w:rPr>
          <w:rFonts w:hint="cs"/>
          <w:rtl/>
        </w:rPr>
        <w:t>غير ذلك.</w:t>
      </w:r>
    </w:p>
    <w:p w14:paraId="3336E01E" w14:textId="77777777" w:rsidR="00DD6401" w:rsidRDefault="00DD6401" w:rsidP="00FF1596">
      <w:pPr>
        <w:rPr>
          <w:rtl/>
        </w:rPr>
      </w:pPr>
      <w:r w:rsidRPr="00E4028C">
        <w:rPr>
          <w:rFonts w:hint="cs"/>
          <w:rtl/>
        </w:rPr>
        <w:t>وقد حاول أنصار النظرية السياسية هنا معالجة هذه النصوص من الناحية السندية والتاريخي</w:t>
      </w:r>
      <w:r w:rsidR="00A1745C">
        <w:rPr>
          <w:rFonts w:hint="cs"/>
          <w:rtl/>
        </w:rPr>
        <w:t>ّ</w:t>
      </w:r>
      <w:r w:rsidRPr="00E4028C">
        <w:rPr>
          <w:rFonts w:hint="cs"/>
          <w:rtl/>
        </w:rPr>
        <w:t>ة، وذكروا أن</w:t>
      </w:r>
      <w:r w:rsidR="00A1745C">
        <w:rPr>
          <w:rFonts w:hint="cs"/>
          <w:rtl/>
        </w:rPr>
        <w:t>ّ</w:t>
      </w:r>
      <w:r w:rsidRPr="00E4028C">
        <w:rPr>
          <w:rFonts w:hint="cs"/>
          <w:rtl/>
        </w:rPr>
        <w:t xml:space="preserve">ها ضعيفة السند، ولسنا هنا بصدد استعراضها، لكنّها في الحقيقة عقبة أساسية عليهم حلّها لتتميم نظريّتهم، </w:t>
      </w:r>
      <w:r w:rsidR="00877F55">
        <w:rPr>
          <w:rFonts w:hint="cs"/>
          <w:rtl/>
        </w:rPr>
        <w:t xml:space="preserve">دون </w:t>
      </w:r>
      <w:r w:rsidRPr="00E4028C">
        <w:rPr>
          <w:rFonts w:hint="cs"/>
          <w:rtl/>
        </w:rPr>
        <w:t>المرور عليها عبر بعض الكلمات التي قد يطلقها بعض الباحثين الجدد في الأوساط الإسلامية كلّما جاءتهم نصوص ذات طابع غيبي، من اتهامها بالوضع والصنع الأسطوري للمخيلة الجماعية، وأنّها ردّ فعل القهر والحرمان في التاريخ الشيعي، فهذا وحده لا يكفي هنا.</w:t>
      </w:r>
    </w:p>
    <w:p w14:paraId="5B40BD88" w14:textId="77777777" w:rsidR="00877F55" w:rsidRDefault="00877F55" w:rsidP="00FF1596">
      <w:pPr>
        <w:pStyle w:val="normal870"/>
        <w:rPr>
          <w:rtl/>
        </w:rPr>
      </w:pPr>
      <w:r w:rsidRPr="00877F55">
        <w:rPr>
          <w:rFonts w:hint="cs"/>
          <w:b/>
          <w:bCs/>
          <w:rtl/>
        </w:rPr>
        <w:t xml:space="preserve">وما يمكن قوله </w:t>
      </w:r>
      <w:r>
        <w:rPr>
          <w:rFonts w:hint="cs"/>
          <w:b/>
          <w:bCs/>
          <w:rtl/>
        </w:rPr>
        <w:t xml:space="preserve">ـ </w:t>
      </w:r>
      <w:r w:rsidRPr="00877F55">
        <w:rPr>
          <w:rFonts w:hint="cs"/>
          <w:b/>
          <w:bCs/>
          <w:rtl/>
        </w:rPr>
        <w:t>نقداً على توظيف أغلب هذه النصوص</w:t>
      </w:r>
      <w:r>
        <w:rPr>
          <w:rFonts w:hint="cs"/>
          <w:rtl/>
        </w:rPr>
        <w:t xml:space="preserve"> ـ هو أنّ هذه النصوص تدلّ على أنّ النبيّ والحسين وأهل البيت كانوا يعلمون بأنّ نهاية الإمام الحسين في حياته هي الشهادة، لكنّ من النادر العثور على رواية ـ غير بعض الروايات التي مرّت في تبيين النظرية الأولى هنا وعلّقنا عليها ـ تحدّد زمان شهادته، وعليه فمن الممكن أنّه× خرج للعراق عالماً أنّ نهاية حياته هي الشهادة، لا أنّه بالضرورة عالم بأنّ نهايته الآن هي الشهادة، بل لعلّه سوف يحكم العراق لعشرين عاماً، ثمّ يكون منتهاه الشهادة، فيعمل الآن بوظيفته</w:t>
      </w:r>
      <w:r w:rsidR="00210130">
        <w:rPr>
          <w:rFonts w:hint="cs"/>
          <w:rtl/>
        </w:rPr>
        <w:t>، ولهذا لما حصل ما حصل معه في الطريق وأعلموه بأنّ هذه الأرض هي كربلاء أدرك أنّ ما وعده به النبيّ يُشرف الآن على التحقّق</w:t>
      </w:r>
      <w:r>
        <w:rPr>
          <w:rFonts w:hint="cs"/>
          <w:rtl/>
        </w:rPr>
        <w:t>.</w:t>
      </w:r>
    </w:p>
    <w:p w14:paraId="5DB3F40E" w14:textId="77777777" w:rsidR="00A1745C" w:rsidRPr="00A1745C" w:rsidRDefault="00A1745C" w:rsidP="00FF1596">
      <w:pPr>
        <w:rPr>
          <w:rtl/>
        </w:rPr>
      </w:pPr>
      <w:r w:rsidRPr="00A1745C">
        <w:rPr>
          <w:rFonts w:hint="cs"/>
          <w:b/>
          <w:bCs/>
          <w:rtl/>
        </w:rPr>
        <w:t>بعبارة ثانية:</w:t>
      </w:r>
      <w:r>
        <w:rPr>
          <w:rFonts w:hint="cs"/>
          <w:rtl/>
        </w:rPr>
        <w:t xml:space="preserve"> </w:t>
      </w:r>
      <w:r w:rsidR="0059664E">
        <w:rPr>
          <w:rFonts w:hint="cs"/>
          <w:rtl/>
        </w:rPr>
        <w:t xml:space="preserve">إنّ هذه الروايات التي </w:t>
      </w:r>
      <w:r w:rsidRPr="00A1745C">
        <w:rPr>
          <w:rFonts w:hint="cs"/>
          <w:rtl/>
        </w:rPr>
        <w:t xml:space="preserve">جُمع أغلبها في الجزء الرابع من كتاب (مع الركب الحسيني من المدينة إلى المدينة)، من تأليف الشيخ عزت مولائي والشيخ محمد جعفر الطبسي، </w:t>
      </w:r>
      <w:r w:rsidR="0059664E">
        <w:rPr>
          <w:rFonts w:hint="cs"/>
          <w:rtl/>
        </w:rPr>
        <w:t xml:space="preserve">تحتاج أنّ تُقرأ </w:t>
      </w:r>
      <w:r w:rsidRPr="00A1745C">
        <w:rPr>
          <w:rFonts w:hint="cs"/>
          <w:rtl/>
        </w:rPr>
        <w:t xml:space="preserve">من هذه الزاوية: هل هذه النصوص ـ بصرف النظر عن قيمتها التاريخية والحديثية ـ تقول </w:t>
      </w:r>
      <w:r w:rsidRPr="00A1745C">
        <w:rPr>
          <w:rFonts w:hint="cs"/>
          <w:rtl/>
        </w:rPr>
        <w:lastRenderedPageBreak/>
        <w:t xml:space="preserve">بأنّ نهاية الإمام الحسين هي الشهادة أم تقول بأنّ نهايته الشهادة بتاريخ كذا وكذا؟ فإذا كانت تحدّد الوقت بطريقةٍ أو بأخرى، كان </w:t>
      </w:r>
      <w:r w:rsidR="0059664E">
        <w:rPr>
          <w:rFonts w:hint="cs"/>
          <w:rtl/>
        </w:rPr>
        <w:t>ال</w:t>
      </w:r>
      <w:r w:rsidRPr="00A1745C">
        <w:rPr>
          <w:rFonts w:hint="cs"/>
          <w:rtl/>
        </w:rPr>
        <w:t>إشكا</w:t>
      </w:r>
      <w:r w:rsidR="0059664E">
        <w:rPr>
          <w:rFonts w:hint="cs"/>
          <w:rtl/>
        </w:rPr>
        <w:t>ل</w:t>
      </w:r>
      <w:r w:rsidRPr="00A1745C">
        <w:rPr>
          <w:rFonts w:hint="cs"/>
          <w:rtl/>
        </w:rPr>
        <w:t xml:space="preserve"> وارداً، وأمّا إذا كانت تقول فقط بأنّ نهاية هذا الإمام هي الشهادة، فهذا المعطى لا يحدّد الزمان، بمعنى أنّه من الممكن أن يكون الإمام عالماً بأنّ نهايته الشهادة بموجب الإخبار النبوي ـ بصرف النظر عن علم الإمام بالغيب ـ لكنّه ليس عالماً بأنّ الشهادة الموعود بها ستقع في هذا العام</w:t>
      </w:r>
      <w:r w:rsidR="0059664E">
        <w:rPr>
          <w:rFonts w:hint="cs"/>
          <w:rtl/>
        </w:rPr>
        <w:t xml:space="preserve"> بالتحديد</w:t>
      </w:r>
      <w:r w:rsidRPr="00A1745C">
        <w:rPr>
          <w:rFonts w:hint="cs"/>
          <w:rtl/>
        </w:rPr>
        <w:t>.</w:t>
      </w:r>
    </w:p>
    <w:p w14:paraId="5BA69B45" w14:textId="77777777" w:rsidR="00A1745C" w:rsidRPr="00A1745C" w:rsidRDefault="002C6CEE" w:rsidP="00FF1596">
      <w:pPr>
        <w:rPr>
          <w:rtl/>
        </w:rPr>
      </w:pPr>
      <w:r>
        <w:rPr>
          <w:rFonts w:hint="cs"/>
          <w:rtl/>
        </w:rPr>
        <w:t>لا بدّ</w:t>
      </w:r>
      <w:r w:rsidR="0055216C">
        <w:rPr>
          <w:rFonts w:hint="cs"/>
          <w:rtl/>
        </w:rPr>
        <w:t xml:space="preserve"> </w:t>
      </w:r>
      <w:r w:rsidR="00A1745C" w:rsidRPr="00A1745C">
        <w:rPr>
          <w:rFonts w:hint="cs"/>
          <w:rtl/>
        </w:rPr>
        <w:t>أن نتوقّف قليلاً عند هذه القضيّة المهمّة في تحليل المسألة، فإذا قلتُ</w:t>
      </w:r>
      <w:r w:rsidR="0055216C">
        <w:rPr>
          <w:rFonts w:hint="cs"/>
          <w:rtl/>
        </w:rPr>
        <w:t xml:space="preserve"> لشخصٍ:</w:t>
      </w:r>
      <w:r w:rsidR="00A1745C" w:rsidRPr="00A1745C">
        <w:rPr>
          <w:rFonts w:hint="cs"/>
          <w:rtl/>
        </w:rPr>
        <w:t xml:space="preserve"> </w:t>
      </w:r>
      <w:r w:rsidR="0055216C">
        <w:rPr>
          <w:rFonts w:hint="cs"/>
          <w:rtl/>
        </w:rPr>
        <w:t>إ</w:t>
      </w:r>
      <w:r w:rsidR="00A1745C" w:rsidRPr="00A1745C">
        <w:rPr>
          <w:rFonts w:hint="cs"/>
          <w:rtl/>
        </w:rPr>
        <w:t>نّ نهايتك في هذه الحياة ه</w:t>
      </w:r>
      <w:r w:rsidR="0055216C">
        <w:rPr>
          <w:rFonts w:hint="cs"/>
          <w:rtl/>
        </w:rPr>
        <w:t>و</w:t>
      </w:r>
      <w:r w:rsidR="00A1745C" w:rsidRPr="00A1745C">
        <w:rPr>
          <w:rFonts w:hint="cs"/>
          <w:rtl/>
        </w:rPr>
        <w:t xml:space="preserve"> الموت والقتل من قبل الأتراك، وك</w:t>
      </w:r>
      <w:r w:rsidR="0055216C">
        <w:rPr>
          <w:rFonts w:hint="cs"/>
          <w:rtl/>
        </w:rPr>
        <w:t>ان</w:t>
      </w:r>
      <w:r w:rsidR="00A1745C" w:rsidRPr="00A1745C">
        <w:rPr>
          <w:rFonts w:hint="cs"/>
          <w:rtl/>
        </w:rPr>
        <w:t xml:space="preserve"> </w:t>
      </w:r>
      <w:r w:rsidR="0055216C">
        <w:rPr>
          <w:rFonts w:hint="cs"/>
          <w:rtl/>
        </w:rPr>
        <w:t xml:space="preserve">هذا الشخص </w:t>
      </w:r>
      <w:r w:rsidR="00A1745C" w:rsidRPr="00A1745C">
        <w:rPr>
          <w:rFonts w:hint="cs"/>
          <w:rtl/>
        </w:rPr>
        <w:t>من أهل العراق، وسافر هذا العام إلى تركيا، فهل يعني الإخبار السابق أنّ</w:t>
      </w:r>
      <w:r w:rsidR="0055216C">
        <w:rPr>
          <w:rFonts w:hint="cs"/>
          <w:rtl/>
        </w:rPr>
        <w:t>ه</w:t>
      </w:r>
      <w:r w:rsidR="00A1745C" w:rsidRPr="00A1745C">
        <w:rPr>
          <w:rFonts w:hint="cs"/>
          <w:rtl/>
        </w:rPr>
        <w:t xml:space="preserve"> س</w:t>
      </w:r>
      <w:r w:rsidR="0055216C">
        <w:rPr>
          <w:rFonts w:hint="cs"/>
          <w:rtl/>
        </w:rPr>
        <w:t>ي</w:t>
      </w:r>
      <w:r w:rsidR="00A1745C" w:rsidRPr="00A1745C">
        <w:rPr>
          <w:rFonts w:hint="cs"/>
          <w:rtl/>
        </w:rPr>
        <w:t>علم بمقتل</w:t>
      </w:r>
      <w:r w:rsidR="0055216C">
        <w:rPr>
          <w:rFonts w:hint="cs"/>
          <w:rtl/>
        </w:rPr>
        <w:t>ه</w:t>
      </w:r>
      <w:r w:rsidR="00A1745C" w:rsidRPr="00A1745C">
        <w:rPr>
          <w:rFonts w:hint="cs"/>
          <w:rtl/>
        </w:rPr>
        <w:t xml:space="preserve"> هذا العام أ</w:t>
      </w:r>
      <w:r w:rsidR="0055216C">
        <w:rPr>
          <w:rFonts w:hint="cs"/>
          <w:rtl/>
        </w:rPr>
        <w:t>و</w:t>
      </w:r>
      <w:r w:rsidR="00A1745C" w:rsidRPr="00A1745C">
        <w:rPr>
          <w:rFonts w:hint="cs"/>
          <w:rtl/>
        </w:rPr>
        <w:t xml:space="preserve"> سيكون مجرّد احتمال ولو فيه بعض القوّة؟! ألا يمكن أن يكون الإمام الحسين عالماً بأنّ نهايته في العراق هي الشهادة لكن قد يحصل ذلك بعد عشرين سنة من ذهابه إليها وانتصاره وتحقيق الأهداف الكبرى بإقامة شرع الله فيه؟ فهل من ترابط بين إخبار النبي بمبدأ قتل فلان من قبل الجماعة الفلانية وبين أن يصبح هذا الشخص عندما خرج إلى تلك الجماعة عالماً بموته في هذه السنة؟! هذا يحتاج إلى معطى إضافي. ألم يقل الرسول لعمّار بن ياسر: يا عمار تقتلك الفئة الباغية، ومع ذلك لم يقل أحد لعمّار عندما خرج للقتال في صفين بأنّك ستقتل في هذه المعركة؟</w:t>
      </w:r>
    </w:p>
    <w:p w14:paraId="219F8C45" w14:textId="77777777" w:rsidR="00A1745C" w:rsidRPr="00A1745C" w:rsidRDefault="00A1745C" w:rsidP="00FF1596">
      <w:pPr>
        <w:rPr>
          <w:rtl/>
        </w:rPr>
      </w:pPr>
      <w:r w:rsidRPr="00A1745C">
        <w:rPr>
          <w:rFonts w:hint="cs"/>
          <w:rtl/>
        </w:rPr>
        <w:t xml:space="preserve">بل </w:t>
      </w:r>
      <w:r w:rsidR="0055216C">
        <w:rPr>
          <w:rFonts w:hint="cs"/>
          <w:rtl/>
        </w:rPr>
        <w:t xml:space="preserve">علينا ملاحظة </w:t>
      </w:r>
      <w:r w:rsidRPr="00A1745C">
        <w:rPr>
          <w:rFonts w:hint="cs"/>
          <w:rtl/>
        </w:rPr>
        <w:t>النصوص والروايات التي تحكي عن مناقشات بعض الصحابة للإمام الحسين</w:t>
      </w:r>
      <w:r w:rsidR="0055216C">
        <w:rPr>
          <w:rFonts w:hint="cs"/>
          <w:rtl/>
        </w:rPr>
        <w:t>،</w:t>
      </w:r>
      <w:r w:rsidRPr="00A1745C">
        <w:rPr>
          <w:rFonts w:hint="cs"/>
          <w:rtl/>
        </w:rPr>
        <w:t xml:space="preserve"> وبعض هذه الروايات استُدلّ به لصالح التفسير الغيبي لقضيّة الثورة، فإنّنا نجد أنّ الصحابة لا يقولون للإمام بأنّك ستقتل هناك كما أخبرنا النبيّ، بل يذكرون له أنّك ست</w:t>
      </w:r>
      <w:r w:rsidR="0055216C">
        <w:rPr>
          <w:rFonts w:hint="cs"/>
          <w:rtl/>
        </w:rPr>
        <w:t>ُ</w:t>
      </w:r>
      <w:r w:rsidRPr="00A1745C">
        <w:rPr>
          <w:rFonts w:hint="cs"/>
          <w:rtl/>
        </w:rPr>
        <w:t xml:space="preserve">خذل؛ وذلك من خلال المعطيات التي حصلت مع والدك </w:t>
      </w:r>
      <w:r w:rsidR="0055216C">
        <w:rPr>
          <w:rFonts w:hint="cs"/>
          <w:rtl/>
        </w:rPr>
        <w:t xml:space="preserve">وأخيك </w:t>
      </w:r>
      <w:r w:rsidRPr="00A1745C">
        <w:rPr>
          <w:rFonts w:hint="cs"/>
          <w:rtl/>
        </w:rPr>
        <w:t>مع أهل الكوفة، فهم يبرّرون قولتهم بمعطيات تاريخية وميدانيّة، ولا يقولون له بأنّ النبي أخبر بشهادتك في هذا الخروج، كيف ولو كان النبي</w:t>
      </w:r>
      <w:r w:rsidR="0055216C">
        <w:rPr>
          <w:rFonts w:hint="cs"/>
          <w:rtl/>
        </w:rPr>
        <w:t>ُّ</w:t>
      </w:r>
      <w:r w:rsidRPr="00A1745C">
        <w:rPr>
          <w:rFonts w:hint="cs"/>
          <w:rtl/>
        </w:rPr>
        <w:t xml:space="preserve"> أخبر بشهادته في هذا الخروج بالذات فلماذا لم يقل لهم الحسين ذلك؟! ولماذا لم يذكّرهم بقول النبي</w:t>
      </w:r>
      <w:r w:rsidR="0055216C">
        <w:rPr>
          <w:rFonts w:hint="cs"/>
          <w:rtl/>
        </w:rPr>
        <w:t>ّ</w:t>
      </w:r>
      <w:r w:rsidRPr="00A1745C">
        <w:rPr>
          <w:rFonts w:hint="cs"/>
          <w:rtl/>
        </w:rPr>
        <w:t xml:space="preserve"> في هذه المسألة لي</w:t>
      </w:r>
      <w:r w:rsidR="0055216C">
        <w:rPr>
          <w:rFonts w:hint="cs"/>
          <w:rtl/>
        </w:rPr>
        <w:t>ُ</w:t>
      </w:r>
      <w:r w:rsidRPr="00A1745C">
        <w:rPr>
          <w:rFonts w:hint="cs"/>
          <w:rtl/>
        </w:rPr>
        <w:t>سكتهم في اعتراضهم وي</w:t>
      </w:r>
      <w:r w:rsidR="0055216C">
        <w:rPr>
          <w:rFonts w:hint="cs"/>
          <w:rtl/>
        </w:rPr>
        <w:t>ُ</w:t>
      </w:r>
      <w:r w:rsidRPr="00A1745C">
        <w:rPr>
          <w:rFonts w:hint="cs"/>
          <w:rtl/>
        </w:rPr>
        <w:t>قنعهم بخروجه امتثالاً للقدر وما أخبر به الرسول الصادق من أنّه سيخرج إلى العراق وسيقتل هناك؟!</w:t>
      </w:r>
    </w:p>
    <w:p w14:paraId="00D5039E" w14:textId="77777777" w:rsidR="00A1745C" w:rsidRPr="00A1745C" w:rsidRDefault="00A1745C" w:rsidP="00FF1596">
      <w:pPr>
        <w:rPr>
          <w:rtl/>
        </w:rPr>
      </w:pPr>
      <w:r w:rsidRPr="00A1745C">
        <w:rPr>
          <w:rFonts w:hint="cs"/>
          <w:rtl/>
        </w:rPr>
        <w:t>ولعلّه لكلّ هذا الذي قلناه</w:t>
      </w:r>
      <w:r w:rsidR="0055216C">
        <w:rPr>
          <w:rFonts w:hint="cs"/>
          <w:rtl/>
        </w:rPr>
        <w:t>،</w:t>
      </w:r>
      <w:r w:rsidRPr="00A1745C">
        <w:rPr>
          <w:rFonts w:hint="cs"/>
          <w:rtl/>
        </w:rPr>
        <w:t xml:space="preserve"> ذكر الشيخ المفيد </w:t>
      </w:r>
      <w:r w:rsidR="0055216C">
        <w:rPr>
          <w:rFonts w:hint="cs"/>
          <w:rtl/>
        </w:rPr>
        <w:t xml:space="preserve">ـ كما أشرنا في الهامش آنفاً ـ </w:t>
      </w:r>
      <w:r w:rsidRPr="00A1745C">
        <w:rPr>
          <w:rFonts w:hint="cs"/>
          <w:rtl/>
        </w:rPr>
        <w:t xml:space="preserve">أنّ الإمام لا يملك </w:t>
      </w:r>
      <w:r w:rsidRPr="00A1745C">
        <w:rPr>
          <w:rFonts w:hint="cs"/>
          <w:rtl/>
        </w:rPr>
        <w:lastRenderedPageBreak/>
        <w:t>العلم المطلق هنا، بل هو يعلم ما يكون من مقتله، دون أن يعلم التفاصيل. فلو كان هناك في الروايات ما يفيد تحديد الزمان والتفاصيل وكان ذلك معتدّاً به ـ لا مثل رواية واحدة متأخّرة المصدر يتيمة مثلاً ـ فهو ينفع، وإلا فالحسين ولو علم أنّ نهايته الموت في العراق لكن ما دام لم يحدّد الزمن من قبل النبي</w:t>
      </w:r>
      <w:r w:rsidR="0055216C">
        <w:rPr>
          <w:rFonts w:hint="cs"/>
          <w:rtl/>
        </w:rPr>
        <w:t>ّ</w:t>
      </w:r>
      <w:r w:rsidRPr="00A1745C">
        <w:rPr>
          <w:rFonts w:hint="cs"/>
          <w:rtl/>
        </w:rPr>
        <w:t xml:space="preserve"> الأعظم، فهذا يعني أنّه مُلزم بأداء تكليفه؛ إذ قد تكون شهادته بعد ثلاثين سنة من مشروعه التغييري هذا، ومجرّد أنّه عالم بشهادته من حيث المبدأ لا يسقط ذلك قيمة مشروعه التغييري هذا، تماماً كما كان علي</w:t>
      </w:r>
      <w:r w:rsidR="0055216C">
        <w:rPr>
          <w:rFonts w:hint="cs"/>
          <w:rtl/>
        </w:rPr>
        <w:t>ٌّ</w:t>
      </w:r>
      <w:r w:rsidRPr="00A1745C">
        <w:rPr>
          <w:rFonts w:hint="cs"/>
          <w:rtl/>
        </w:rPr>
        <w:t xml:space="preserve"> عالماً بما ستؤول إليه أخبار الخارجين عليه، وأنّه سي</w:t>
      </w:r>
      <w:r w:rsidR="0055216C">
        <w:rPr>
          <w:rFonts w:hint="cs"/>
          <w:rtl/>
        </w:rPr>
        <w:t>ُ</w:t>
      </w:r>
      <w:r w:rsidRPr="00A1745C">
        <w:rPr>
          <w:rFonts w:hint="cs"/>
          <w:rtl/>
        </w:rPr>
        <w:t>قتل في لحظة ما، ومع ذلك قام بواجبه وأسّس لتجربة ممتازة، حتى لو سقطت بعد ذلك بفعل المتخاذلين والمتآمرين، فلو نجح الحسين في إقامة دين الله لثلاثين سنة، كنّا اليوم نملك رصيداً كبيراً في الفكر والممارسة والتجربة، كما امتلكنا ذلك مع العصر النبوي والعصر العلوي حتى لو كانت المآلات مؤلمة ومفجعة.</w:t>
      </w:r>
      <w:r w:rsidR="0055216C">
        <w:rPr>
          <w:rFonts w:hint="cs"/>
          <w:rtl/>
        </w:rPr>
        <w:t xml:space="preserve"> </w:t>
      </w:r>
      <w:r w:rsidRPr="00A1745C">
        <w:rPr>
          <w:rFonts w:hint="cs"/>
          <w:rtl/>
        </w:rPr>
        <w:t xml:space="preserve">ولهذا </w:t>
      </w:r>
      <w:r w:rsidR="0055216C">
        <w:rPr>
          <w:rFonts w:hint="cs"/>
          <w:rtl/>
        </w:rPr>
        <w:t xml:space="preserve">يلاحَظ كيف أنّ </w:t>
      </w:r>
      <w:r w:rsidRPr="00A1745C">
        <w:rPr>
          <w:rFonts w:hint="cs"/>
          <w:rtl/>
        </w:rPr>
        <w:t>الروايات التاريخي</w:t>
      </w:r>
      <w:r w:rsidR="0055216C">
        <w:rPr>
          <w:rFonts w:hint="cs"/>
          <w:rtl/>
        </w:rPr>
        <w:t>ّ</w:t>
      </w:r>
      <w:r w:rsidRPr="00A1745C">
        <w:rPr>
          <w:rFonts w:hint="cs"/>
          <w:rtl/>
        </w:rPr>
        <w:t xml:space="preserve">ة </w:t>
      </w:r>
      <w:r w:rsidR="0055216C">
        <w:rPr>
          <w:rFonts w:hint="cs"/>
          <w:rtl/>
        </w:rPr>
        <w:t xml:space="preserve">تقول بأنّ </w:t>
      </w:r>
      <w:r w:rsidRPr="00A1745C">
        <w:rPr>
          <w:rFonts w:hint="cs"/>
          <w:rtl/>
        </w:rPr>
        <w:t>الإمام الحسين عندما علم أنّه وصل إلى كربلاء، وازدادت الشدّة، كأنّه أعلم أصحابه بأنّ هذا هو موطن شهادتنا، فطبّق العنوان على المصداق الزمكاني عندما تعاضدت القرائن</w:t>
      </w:r>
      <w:r w:rsidR="0055216C">
        <w:rPr>
          <w:rFonts w:hint="cs"/>
          <w:rtl/>
        </w:rPr>
        <w:t xml:space="preserve"> عنده</w:t>
      </w:r>
      <w:r w:rsidRPr="00A1745C">
        <w:rPr>
          <w:rFonts w:hint="cs"/>
          <w:rtl/>
        </w:rPr>
        <w:t>.</w:t>
      </w:r>
    </w:p>
    <w:p w14:paraId="06F881FE" w14:textId="77777777" w:rsidR="00A1745C" w:rsidRPr="00A1745C" w:rsidRDefault="0055216C" w:rsidP="0055216C">
      <w:pPr>
        <w:pStyle w:val="Space"/>
        <w:rPr>
          <w:rtl/>
        </w:rPr>
      </w:pPr>
      <w:r w:rsidRPr="00E15E8A">
        <w:rPr>
          <w:rFonts w:hint="cs"/>
          <w:b/>
          <w:bCs/>
          <w:rtl/>
        </w:rPr>
        <w:t xml:space="preserve">إنّ </w:t>
      </w:r>
      <w:r w:rsidR="00A1745C" w:rsidRPr="00E15E8A">
        <w:rPr>
          <w:rFonts w:hint="cs"/>
          <w:b/>
          <w:bCs/>
          <w:rtl/>
        </w:rPr>
        <w:t>المهم في دراسة الأحداث التاريخية أن لا نقرأها بعيون الذين أتوا بعدها فقط، بل نحاول أن نكون وكأنّنا نعيش في تلك اللحظة الزمنيّة،</w:t>
      </w:r>
      <w:r w:rsidR="00A1745C" w:rsidRPr="00A1745C">
        <w:rPr>
          <w:rFonts w:hint="cs"/>
          <w:rtl/>
        </w:rPr>
        <w:t xml:space="preserve"> فنحن نعلم اليوم بما حصل وتفاصيله، لكن فلنحاول أن نكون قبل شهادة الإمام، ونفكّر بعقليّة تلك اللحظة الزمنيّة، حيث الأفراد لا علم لهم بتفاصيل الشهادة، كلّ ما يعرفونه أنّ الإمام الحسين ستقتله الفئة المنحرفة عن الإسلام، أمّا كيف ومتى وما التفاصيل؟ فهذا نحن نعلمه، لكن من غير المعلوم أنّ أبناء تلك اللحظة يعلمونه من إخبار النبيّ</w:t>
      </w:r>
      <w:r>
        <w:rPr>
          <w:rFonts w:hint="cs"/>
          <w:rtl/>
        </w:rPr>
        <w:t>‘</w:t>
      </w:r>
      <w:r w:rsidR="00A1745C" w:rsidRPr="00A1745C">
        <w:rPr>
          <w:rFonts w:hint="cs"/>
          <w:rtl/>
        </w:rPr>
        <w:t>، إذ هم يعلمون المبدأ دون التفاصيل الزمنيّة، فإذا قرأنا الأمور بهذه الطريقة فقد نكتشف الخيارات بطريقةٍ أفضل.</w:t>
      </w:r>
    </w:p>
    <w:p w14:paraId="069FAC98" w14:textId="77777777" w:rsidR="00210130" w:rsidRPr="00E4028C" w:rsidRDefault="0055216C" w:rsidP="00FF1596">
      <w:pPr>
        <w:pStyle w:val="normal930"/>
        <w:rPr>
          <w:rtl/>
        </w:rPr>
      </w:pPr>
      <w:r>
        <w:rPr>
          <w:rFonts w:hint="cs"/>
          <w:rtl/>
        </w:rPr>
        <w:t xml:space="preserve">هذا، </w:t>
      </w:r>
      <w:r w:rsidR="00210130">
        <w:rPr>
          <w:rFonts w:hint="cs"/>
          <w:rtl/>
        </w:rPr>
        <w:t xml:space="preserve">وكلامنا </w:t>
      </w:r>
      <w:r>
        <w:rPr>
          <w:rFonts w:hint="cs"/>
          <w:rtl/>
        </w:rPr>
        <w:t>كلّ</w:t>
      </w:r>
      <w:r w:rsidR="00210130">
        <w:rPr>
          <w:rFonts w:hint="cs"/>
          <w:rtl/>
        </w:rPr>
        <w:t xml:space="preserve">ه </w:t>
      </w:r>
      <w:r>
        <w:rPr>
          <w:rFonts w:hint="cs"/>
          <w:rtl/>
        </w:rPr>
        <w:t xml:space="preserve">هنا </w:t>
      </w:r>
      <w:r w:rsidR="00210130">
        <w:rPr>
          <w:rFonts w:hint="cs"/>
          <w:rtl/>
        </w:rPr>
        <w:t>بصرف النظر عن كليّة نظريّة العلم الغيبي للإمام، بل هو مبنيٌّ على خصوصية النصوص النبويّة وأمثالها الدالّة على شهادته× من حيث المبدأ.</w:t>
      </w:r>
    </w:p>
    <w:p w14:paraId="36ACEE7E" w14:textId="77777777" w:rsidR="00DD6401" w:rsidRPr="00236AA7" w:rsidRDefault="00DD6401" w:rsidP="0096148C">
      <w:pPr>
        <w:pStyle w:val="Heading4"/>
        <w:rPr>
          <w:rtl/>
        </w:rPr>
      </w:pPr>
      <w:bookmarkStart w:id="130" w:name="_Toc307009622"/>
      <w:bookmarkStart w:id="131" w:name="_Toc143804149"/>
      <w:bookmarkStart w:id="132" w:name="_Toc238123274"/>
      <w:r w:rsidRPr="00236AA7">
        <w:rPr>
          <w:rFonts w:hint="cs"/>
          <w:rtl/>
        </w:rPr>
        <w:t>ب ـ القراءة النقدي</w:t>
      </w:r>
      <w:r w:rsidR="0034475E">
        <w:rPr>
          <w:rFonts w:hint="cs"/>
          <w:rtl/>
        </w:rPr>
        <w:t>ّ</w:t>
      </w:r>
      <w:r w:rsidRPr="00236AA7">
        <w:rPr>
          <w:rFonts w:hint="cs"/>
          <w:rtl/>
        </w:rPr>
        <w:t>ة التاريخية ـ التحليلي</w:t>
      </w:r>
      <w:r w:rsidR="0034475E">
        <w:rPr>
          <w:rFonts w:hint="cs"/>
          <w:rtl/>
        </w:rPr>
        <w:t>ّ</w:t>
      </w:r>
      <w:r w:rsidRPr="00236AA7">
        <w:rPr>
          <w:rFonts w:hint="cs"/>
          <w:rtl/>
        </w:rPr>
        <w:t>ة للتفسير السياسي، وقفات وتأم</w:t>
      </w:r>
      <w:r w:rsidR="0034475E">
        <w:rPr>
          <w:rFonts w:hint="cs"/>
          <w:rtl/>
        </w:rPr>
        <w:t>ّ</w:t>
      </w:r>
      <w:r w:rsidRPr="00236AA7">
        <w:rPr>
          <w:rFonts w:hint="cs"/>
          <w:rtl/>
        </w:rPr>
        <w:t>لات</w:t>
      </w:r>
      <w:bookmarkEnd w:id="130"/>
      <w:bookmarkEnd w:id="131"/>
      <w:bookmarkEnd w:id="132"/>
    </w:p>
    <w:p w14:paraId="23461A80" w14:textId="77777777" w:rsidR="00DD6401" w:rsidRPr="00E4028C" w:rsidRDefault="00DD6401" w:rsidP="00DD6401">
      <w:pPr>
        <w:pStyle w:val="Space"/>
        <w:rPr>
          <w:rtl/>
        </w:rPr>
      </w:pPr>
      <w:r w:rsidRPr="00E4028C">
        <w:rPr>
          <w:rFonts w:hint="cs"/>
          <w:rtl/>
        </w:rPr>
        <w:t xml:space="preserve">وبقطع النظر عن هذه المشكلة التاريخية ـ الأيديولوجية التي يرى الفريق الناقد للنظرية </w:t>
      </w:r>
      <w:r w:rsidRPr="00E4028C">
        <w:rPr>
          <w:rFonts w:hint="cs"/>
          <w:rtl/>
        </w:rPr>
        <w:lastRenderedPageBreak/>
        <w:t>السياسي</w:t>
      </w:r>
      <w:r w:rsidR="0034475E">
        <w:rPr>
          <w:rFonts w:hint="cs"/>
          <w:rtl/>
        </w:rPr>
        <w:t>ّ</w:t>
      </w:r>
      <w:r w:rsidRPr="00E4028C">
        <w:rPr>
          <w:rFonts w:hint="cs"/>
          <w:rtl/>
        </w:rPr>
        <w:t>ة أن</w:t>
      </w:r>
      <w:r w:rsidR="0034475E">
        <w:rPr>
          <w:rFonts w:hint="cs"/>
          <w:rtl/>
        </w:rPr>
        <w:t>ّ</w:t>
      </w:r>
      <w:r w:rsidRPr="00E4028C">
        <w:rPr>
          <w:rFonts w:hint="cs"/>
          <w:rtl/>
        </w:rPr>
        <w:t xml:space="preserve"> الضعف السندي في هذه الروايات ـ لو سلّمناه، وسلّمنا أنّه يشملها برمّتها ـ لا يضرّ بها بعد كثرتها وتظافرها وشهرتها وأخذ المشهور بها، ثمة ملاحظات أخرى أثيرت على هذه النظرية، وإن كن</w:t>
      </w:r>
      <w:r w:rsidR="0034475E">
        <w:rPr>
          <w:rFonts w:hint="cs"/>
          <w:rtl/>
        </w:rPr>
        <w:t>ّ</w:t>
      </w:r>
      <w:r w:rsidRPr="00E4028C">
        <w:rPr>
          <w:rFonts w:hint="cs"/>
          <w:rtl/>
        </w:rPr>
        <w:t>ا نعتقد بأن المشكلتين المتقدّمتين هما الأكثر إشكالي</w:t>
      </w:r>
      <w:r w:rsidR="0034475E">
        <w:rPr>
          <w:rFonts w:hint="cs"/>
          <w:rtl/>
        </w:rPr>
        <w:t>ّ</w:t>
      </w:r>
      <w:r w:rsidRPr="00E4028C">
        <w:rPr>
          <w:rFonts w:hint="cs"/>
          <w:rtl/>
        </w:rPr>
        <w:t>ة</w:t>
      </w:r>
      <w:r w:rsidR="0034475E">
        <w:rPr>
          <w:rFonts w:hint="cs"/>
          <w:rtl/>
        </w:rPr>
        <w:t>ً</w:t>
      </w:r>
      <w:r w:rsidRPr="00E4028C">
        <w:rPr>
          <w:rFonts w:hint="cs"/>
          <w:rtl/>
        </w:rPr>
        <w:t xml:space="preserve"> أمام أصحاب النظرية السياسي</w:t>
      </w:r>
      <w:r w:rsidR="00F755C9">
        <w:rPr>
          <w:rFonts w:hint="cs"/>
          <w:rtl/>
        </w:rPr>
        <w:t>ّ</w:t>
      </w:r>
      <w:r w:rsidRPr="00E4028C">
        <w:rPr>
          <w:rFonts w:hint="cs"/>
          <w:rtl/>
        </w:rPr>
        <w:t>ة.</w:t>
      </w:r>
    </w:p>
    <w:p w14:paraId="53735DA4" w14:textId="77777777" w:rsidR="00DD6401" w:rsidRDefault="00DD6401" w:rsidP="00DD6401">
      <w:pPr>
        <w:rPr>
          <w:b/>
          <w:bCs/>
          <w:rtl/>
        </w:rPr>
      </w:pPr>
      <w:r w:rsidRPr="00E4028C">
        <w:rPr>
          <w:rFonts w:hint="cs"/>
          <w:b/>
          <w:bCs/>
          <w:rtl/>
        </w:rPr>
        <w:t>وعلى أية حال، فهذه الملاحظات هي:</w:t>
      </w:r>
    </w:p>
    <w:p w14:paraId="0BDC3ED0" w14:textId="77777777" w:rsidR="0083396A" w:rsidRPr="0083396A" w:rsidRDefault="009125AB" w:rsidP="0096148C">
      <w:pPr>
        <w:pStyle w:val="Heading5"/>
        <w:rPr>
          <w:rtl/>
        </w:rPr>
      </w:pPr>
      <w:bookmarkStart w:id="133" w:name="_Toc143804150"/>
      <w:bookmarkStart w:id="134" w:name="_Toc238123275"/>
      <w:r>
        <w:rPr>
          <w:rFonts w:hint="cs"/>
          <w:rtl/>
        </w:rPr>
        <w:t xml:space="preserve">أً ـ </w:t>
      </w:r>
      <w:r w:rsidR="0083396A" w:rsidRPr="0083396A">
        <w:rPr>
          <w:rFonts w:hint="cs"/>
          <w:rtl/>
        </w:rPr>
        <w:t>عدم منطقي</w:t>
      </w:r>
      <w:r w:rsidR="0083396A">
        <w:rPr>
          <w:rFonts w:hint="cs"/>
          <w:rtl/>
        </w:rPr>
        <w:t>ّة تصوّر إمكان سقوط ال</w:t>
      </w:r>
      <w:r w:rsidR="0083396A" w:rsidRPr="0083396A">
        <w:rPr>
          <w:rFonts w:hint="cs"/>
          <w:rtl/>
        </w:rPr>
        <w:t>دولة الأموي</w:t>
      </w:r>
      <w:r w:rsidR="0083396A">
        <w:rPr>
          <w:rFonts w:hint="cs"/>
          <w:rtl/>
        </w:rPr>
        <w:t>ّ</w:t>
      </w:r>
      <w:r w:rsidR="0083396A" w:rsidRPr="0083396A">
        <w:rPr>
          <w:rFonts w:hint="cs"/>
          <w:rtl/>
        </w:rPr>
        <w:t>ة في عصر الحسين</w:t>
      </w:r>
      <w:r w:rsidR="0083396A">
        <w:rPr>
          <w:rFonts w:hint="cs"/>
          <w:rtl/>
        </w:rPr>
        <w:t>، نقد وتعليقات</w:t>
      </w:r>
      <w:bookmarkEnd w:id="133"/>
      <w:bookmarkEnd w:id="134"/>
    </w:p>
    <w:p w14:paraId="1B626A10" w14:textId="77777777" w:rsidR="00DD6401" w:rsidRPr="00E4028C" w:rsidRDefault="00DD6401" w:rsidP="00FF1596">
      <w:pPr>
        <w:pStyle w:val="normal930"/>
        <w:rPr>
          <w:rtl/>
        </w:rPr>
      </w:pPr>
      <w:r w:rsidRPr="00E4028C">
        <w:rPr>
          <w:rFonts w:hint="cs"/>
          <w:rtl/>
        </w:rPr>
        <w:t>إن</w:t>
      </w:r>
      <w:r w:rsidR="0034475E">
        <w:rPr>
          <w:rFonts w:hint="cs"/>
          <w:rtl/>
        </w:rPr>
        <w:t>ّ</w:t>
      </w:r>
      <w:r w:rsidRPr="00E4028C">
        <w:rPr>
          <w:rFonts w:hint="cs"/>
          <w:rtl/>
        </w:rPr>
        <w:t xml:space="preserve"> التحليل التاريخي العقلاني يجعل أيّ خطوة في عصر الإمام الحسين تحاول إسقاط الحكم الأموي، فاشلةً؛ لأن</w:t>
      </w:r>
      <w:r w:rsidR="0034475E">
        <w:rPr>
          <w:rFonts w:hint="cs"/>
          <w:rtl/>
        </w:rPr>
        <w:t>ّ</w:t>
      </w:r>
      <w:r w:rsidRPr="00E4028C">
        <w:rPr>
          <w:rFonts w:hint="cs"/>
          <w:rtl/>
        </w:rPr>
        <w:t xml:space="preserve"> الدولة الأموية كانت في عزّ سلطانها وقدرتها آنذاك، وقد كان معاوية قد أنهى قوّة أنصار عليّ في العراق، وأحكم قبضته على بلاد المسلمين، بل لاحظنا ـ كشاهد مؤكّد على ذلك ـ أن معاوية نصب ابنه للخلافة رغم غرابة القضية، ورغم انقسام بعض وجوه المسلمين في الأمر دون أن نسمع كلمةً واحدة واجهته مواجهة حقيقية في خطوة كهذه، مما يكشف عن استتاب الأمر له بشكل كامل، كما لم يكن الإمام الحسين بذاك القادر على جمع الجيوش والمال والعتاد في ظلّ ظروف كهذه، ولم يكن ذلك خافياً عليه، كما أنّ اختيار الكوفة ـ رغم كل</w:t>
      </w:r>
      <w:r w:rsidR="00F755C9">
        <w:rPr>
          <w:rFonts w:hint="cs"/>
          <w:rtl/>
        </w:rPr>
        <w:t>ّ</w:t>
      </w:r>
      <w:r w:rsidRPr="00E4028C">
        <w:rPr>
          <w:rFonts w:hint="cs"/>
          <w:rtl/>
        </w:rPr>
        <w:t xml:space="preserve"> تاريخها المظلم مع علي والحسن</w:t>
      </w:r>
      <w:r w:rsidR="0034475E">
        <w:rPr>
          <w:rFonts w:hint="cs"/>
          <w:rtl/>
        </w:rPr>
        <w:t>،</w:t>
      </w:r>
      <w:r w:rsidRPr="00E4028C">
        <w:rPr>
          <w:rFonts w:hint="cs"/>
          <w:rtl/>
        </w:rPr>
        <w:t xml:space="preserve"> وليس بالتاريخ البعيد، بل هو تاريخ قريب عايشه الحسين نفسه ـ يكشف عن أن الخطّة لم تكن إسقاط نظام بني أمية، وإلا كان فشلها واضحاً، ولهذا نصح الحسينَ عددٌ من وجوه المسلمين وذكّروه بحال أهل الكوفة، مثل عبد الله بن عباس، كما يذكر ابن الأعثم في الفتوح والخوارزمي في المقتل، ونصحه أيضاً عمر بن عبدالرحمن المخزومي، بل في تاريخ الطبري وابن الأثير والفتوح وإرشاد المفيد ما يفيد تحفظ عبد الله بن جعفر أيضاً، بل تشير بعض النصوص أحياناً إلى أن</w:t>
      </w:r>
      <w:r w:rsidR="00F755C9">
        <w:rPr>
          <w:rFonts w:hint="cs"/>
          <w:rtl/>
        </w:rPr>
        <w:t>ّ</w:t>
      </w:r>
      <w:r w:rsidRPr="00E4028C">
        <w:rPr>
          <w:rFonts w:hint="cs"/>
          <w:rtl/>
        </w:rPr>
        <w:t xml:space="preserve"> الحسين</w:t>
      </w:r>
      <w:r w:rsidR="00F755C9">
        <w:rPr>
          <w:rFonts w:hint="cs"/>
          <w:rtl/>
        </w:rPr>
        <w:t>َ</w:t>
      </w:r>
      <w:r w:rsidRPr="00E4028C">
        <w:rPr>
          <w:rFonts w:hint="cs"/>
          <w:rtl/>
        </w:rPr>
        <w:t xml:space="preserve"> كان يوافق من ينصحه في رأيهم بعدم وفاء القوم، كما جاء في حديثه إلى الفرزدق الشاعر وإلى بشر بن غالب الأسدي، طبقاً لما جاء في تاريخ الطبري وبحار الأنوار وإرشاد المفيد وفتوح ابن الأعثم و</w:t>
      </w:r>
      <w:r w:rsidR="00F755C9">
        <w:rPr>
          <w:rFonts w:hint="cs"/>
          <w:rtl/>
        </w:rPr>
        <w:t>غير ذلك.</w:t>
      </w:r>
    </w:p>
    <w:p w14:paraId="298B99A4" w14:textId="77777777" w:rsidR="00DD6401" w:rsidRPr="00E4028C" w:rsidRDefault="00DD6401" w:rsidP="00FF1596">
      <w:pPr>
        <w:rPr>
          <w:rtl/>
        </w:rPr>
      </w:pPr>
      <w:r w:rsidRPr="00E4028C">
        <w:rPr>
          <w:rFonts w:hint="cs"/>
          <w:rtl/>
        </w:rPr>
        <w:t>إنّ هذه المعطيات بأجمعها تؤك</w:t>
      </w:r>
      <w:r w:rsidR="0034475E">
        <w:rPr>
          <w:rFonts w:hint="cs"/>
          <w:rtl/>
        </w:rPr>
        <w:t>ّ</w:t>
      </w:r>
      <w:r w:rsidRPr="00E4028C">
        <w:rPr>
          <w:rFonts w:hint="cs"/>
          <w:rtl/>
        </w:rPr>
        <w:t xml:space="preserve">د أنّ الحسين لو كان ينظر بعين الإمساك بالسلطة لما أقدم في </w:t>
      </w:r>
      <w:r w:rsidRPr="00E4028C">
        <w:rPr>
          <w:rFonts w:hint="cs"/>
          <w:rtl/>
        </w:rPr>
        <w:lastRenderedPageBreak/>
        <w:t>ظلّ مناخ كهذا على التحرّك، وهذا ما يؤكد أنّه كان له هدف آخر من ثورته</w:t>
      </w:r>
      <w:r w:rsidRPr="00763E4E">
        <w:rPr>
          <w:rFonts w:cs="Taher"/>
          <w:vertAlign w:val="superscript"/>
          <w:rtl/>
        </w:rPr>
        <w:t>(</w:t>
      </w:r>
      <w:r w:rsidRPr="00763E4E">
        <w:rPr>
          <w:rFonts w:cs="Taher"/>
          <w:vertAlign w:val="superscript"/>
          <w:rtl/>
        </w:rPr>
        <w:footnoteReference w:id="255"/>
      </w:r>
      <w:r w:rsidRPr="00763E4E">
        <w:rPr>
          <w:rFonts w:cs="Taher"/>
          <w:vertAlign w:val="superscript"/>
          <w:rtl/>
        </w:rPr>
        <w:t>)</w:t>
      </w:r>
      <w:r w:rsidRPr="00E4028C">
        <w:rPr>
          <w:rFonts w:hint="cs"/>
          <w:rtl/>
        </w:rPr>
        <w:t>.</w:t>
      </w:r>
    </w:p>
    <w:p w14:paraId="6B91FA66" w14:textId="77777777" w:rsidR="00DD6401" w:rsidRPr="00E4028C" w:rsidRDefault="00DD6401" w:rsidP="00F755C9">
      <w:pPr>
        <w:rPr>
          <w:b/>
          <w:bCs/>
          <w:rtl/>
        </w:rPr>
      </w:pPr>
      <w:r w:rsidRPr="00E4028C">
        <w:rPr>
          <w:rFonts w:hint="cs"/>
          <w:b/>
          <w:bCs/>
          <w:rtl/>
        </w:rPr>
        <w:t>وهذه الملاحظة ليست معطياتها بهذا الوضوح ح</w:t>
      </w:r>
      <w:r w:rsidR="00F755C9">
        <w:rPr>
          <w:rFonts w:hint="cs"/>
          <w:b/>
          <w:bCs/>
          <w:rtl/>
        </w:rPr>
        <w:t>تى نرجّحها على التفسير السياسي</w:t>
      </w:r>
      <w:r w:rsidRPr="00E4028C">
        <w:rPr>
          <w:rFonts w:hint="cs"/>
          <w:b/>
          <w:bCs/>
          <w:rtl/>
        </w:rPr>
        <w:t>؛ وذلك:</w:t>
      </w:r>
    </w:p>
    <w:p w14:paraId="5A400261" w14:textId="77777777" w:rsidR="00DD6401" w:rsidRPr="00E4028C" w:rsidRDefault="00DD6401" w:rsidP="00FF1596">
      <w:pPr>
        <w:pStyle w:val="normal930"/>
        <w:rPr>
          <w:rtl/>
        </w:rPr>
      </w:pPr>
      <w:r w:rsidRPr="00E4028C">
        <w:rPr>
          <w:rFonts w:hint="cs"/>
          <w:b/>
          <w:bCs/>
          <w:rtl/>
        </w:rPr>
        <w:t>أو</w:t>
      </w:r>
      <w:r w:rsidR="0034475E">
        <w:rPr>
          <w:rFonts w:hint="cs"/>
          <w:b/>
          <w:bCs/>
          <w:rtl/>
        </w:rPr>
        <w:t>ّ</w:t>
      </w:r>
      <w:r w:rsidRPr="00E4028C">
        <w:rPr>
          <w:rFonts w:hint="cs"/>
          <w:b/>
          <w:bCs/>
          <w:rtl/>
        </w:rPr>
        <w:t>لاً:</w:t>
      </w:r>
      <w:r w:rsidRPr="00E4028C">
        <w:rPr>
          <w:rFonts w:hint="cs"/>
          <w:rtl/>
        </w:rPr>
        <w:t xml:space="preserve"> لا شك</w:t>
      </w:r>
      <w:r w:rsidR="0034475E">
        <w:rPr>
          <w:rFonts w:hint="cs"/>
          <w:rtl/>
        </w:rPr>
        <w:t>ّ</w:t>
      </w:r>
      <w:r w:rsidRPr="00E4028C">
        <w:rPr>
          <w:rFonts w:hint="cs"/>
          <w:rtl/>
        </w:rPr>
        <w:t xml:space="preserve"> في أن</w:t>
      </w:r>
      <w:r w:rsidR="0034475E">
        <w:rPr>
          <w:rFonts w:hint="cs"/>
          <w:rtl/>
        </w:rPr>
        <w:t>ّ</w:t>
      </w:r>
      <w:r w:rsidRPr="00E4028C">
        <w:rPr>
          <w:rFonts w:hint="cs"/>
          <w:rtl/>
        </w:rPr>
        <w:t xml:space="preserve"> عهد معاوية كان عهداً ذهبياً في دولة بني أمية، إلا أنّ الحال لم تكن كذلك في عهد يزيد؛ إذ من يحسب الأمور في تلك الأوقات، يعرف أن المسلمين لم يكونوا موافقين جميعاً على يزيد، وكان شاباً غير خبير بقضايا السلطة، ويعرف أن الصحابة والوجوه قد اختلفوا في أمره، فإذا جاءت الحسين</w:t>
      </w:r>
      <w:r w:rsidR="00F755C9">
        <w:rPr>
          <w:rFonts w:hint="cs"/>
          <w:rtl/>
        </w:rPr>
        <w:t>َ</w:t>
      </w:r>
      <w:r w:rsidRPr="00E4028C">
        <w:rPr>
          <w:rFonts w:hint="cs"/>
          <w:rtl/>
        </w:rPr>
        <w:t xml:space="preserve"> ـ في ظلّ ظروف كهذه ـ آلاف الرسائل ليحكم قبضته على العراق في الحدّ الأدنى، وليكن إسقاط الدولة الأموية مرحلةً أخرى، فإن من الطبيعي في ظروف كهذه أن تغدو الحركة معقولةً، لا أمراً ميؤوساً منه، ولعلّ مرور الزمن هو الذي أوحى لنا بقوّة سلطان بني أمية، فيما المفترض أن نضع أنفسنا في ذلك الزمان وظروفه.</w:t>
      </w:r>
    </w:p>
    <w:p w14:paraId="64A82FA8" w14:textId="77777777" w:rsidR="00DD6401" w:rsidRPr="00E4028C" w:rsidRDefault="00DD6401" w:rsidP="00FF1596">
      <w:pPr>
        <w:rPr>
          <w:rtl/>
        </w:rPr>
      </w:pPr>
      <w:r w:rsidRPr="00E4028C">
        <w:rPr>
          <w:rFonts w:hint="cs"/>
          <w:b/>
          <w:bCs/>
          <w:rtl/>
        </w:rPr>
        <w:t>ثانياً:</w:t>
      </w:r>
      <w:r w:rsidRPr="00E4028C">
        <w:rPr>
          <w:rFonts w:hint="cs"/>
          <w:rtl/>
        </w:rPr>
        <w:t xml:space="preserve"> كيف لم يكن الإمام الحسين بقادر على جمع الجيوش والمال، مع أن</w:t>
      </w:r>
      <w:r w:rsidR="00C34E28">
        <w:rPr>
          <w:rFonts w:hint="cs"/>
          <w:rtl/>
        </w:rPr>
        <w:t>ّ</w:t>
      </w:r>
      <w:r w:rsidRPr="00E4028C">
        <w:rPr>
          <w:rFonts w:hint="cs"/>
          <w:rtl/>
        </w:rPr>
        <w:t>ه تهيأ له آلاف المقاتلين في جنوب العراق، فأرسل إليهم مسلم بن عقيل، وسار هو بما عنده من أموال؟! وليس من الضروري أن نتصوّر حركة الحسين محاولةً مباشرة لشنّ حرب بجيش شامل على بلاد الشام، فقد تكون هناك مراحلية في العمل، والجيوش في تلك الأيام كان يغلب في تجهيزها ـ أو على الأقل يمكن في ذلك ـ أن يقوم كل فرد بتجهيز نفسه وسيفه ودرعه وفرسه إن أمكنه، وليس كحالنا اليوم، ثمة حاجة لتدخل الدولة لدعم الجيش كي يستمرّ.</w:t>
      </w:r>
    </w:p>
    <w:p w14:paraId="233939DE" w14:textId="77777777" w:rsidR="00DD6401" w:rsidRPr="00E4028C" w:rsidRDefault="00DD6401" w:rsidP="00FF1596">
      <w:pPr>
        <w:rPr>
          <w:rtl/>
        </w:rPr>
      </w:pPr>
      <w:r w:rsidRPr="00E4028C">
        <w:rPr>
          <w:rFonts w:hint="cs"/>
          <w:b/>
          <w:bCs/>
          <w:rtl/>
        </w:rPr>
        <w:t>ثالثاً:</w:t>
      </w:r>
      <w:r w:rsidRPr="00E4028C">
        <w:rPr>
          <w:rFonts w:hint="cs"/>
          <w:rtl/>
        </w:rPr>
        <w:t xml:space="preserve"> إنّ مسألة أهل الكوفة وغدرهم بأبيه وأخيه لا</w:t>
      </w:r>
      <w:r w:rsidR="0034475E">
        <w:rPr>
          <w:rFonts w:hint="cs"/>
          <w:rtl/>
        </w:rPr>
        <w:t xml:space="preserve"> </w:t>
      </w:r>
      <w:r w:rsidRPr="00E4028C">
        <w:rPr>
          <w:rFonts w:hint="cs"/>
          <w:rtl/>
        </w:rPr>
        <w:t>بد ـ منطقياً</w:t>
      </w:r>
      <w:r w:rsidR="0034475E">
        <w:rPr>
          <w:rFonts w:hint="cs"/>
          <w:rtl/>
        </w:rPr>
        <w:t xml:space="preserve"> ـ أن تكون حاضرةً في وعي الحسين</w:t>
      </w:r>
      <w:r w:rsidRPr="00E4028C">
        <w:rPr>
          <w:rFonts w:hint="cs"/>
          <w:rtl/>
        </w:rPr>
        <w:t>، ولا يعني ذلك أن</w:t>
      </w:r>
      <w:r w:rsidR="0034475E">
        <w:rPr>
          <w:rFonts w:hint="cs"/>
          <w:rtl/>
        </w:rPr>
        <w:t>ّ</w:t>
      </w:r>
      <w:r w:rsidRPr="00E4028C">
        <w:rPr>
          <w:rFonts w:hint="cs"/>
          <w:rtl/>
        </w:rPr>
        <w:t>ه ـ والعياذ بالله ـ أقدم على حماقة على تقدير صحّة التفسير السياسي؛ لأن</w:t>
      </w:r>
      <w:r w:rsidR="0034475E">
        <w:rPr>
          <w:rFonts w:hint="cs"/>
          <w:rtl/>
        </w:rPr>
        <w:t>ّ</w:t>
      </w:r>
      <w:r w:rsidRPr="00E4028C">
        <w:rPr>
          <w:rFonts w:hint="cs"/>
          <w:rtl/>
        </w:rPr>
        <w:t xml:space="preserve"> حجم الرسائل والتأييد كان كبيراً، كما أن</w:t>
      </w:r>
      <w:r w:rsidR="0034475E">
        <w:rPr>
          <w:rFonts w:hint="cs"/>
          <w:rtl/>
        </w:rPr>
        <w:t>ّ</w:t>
      </w:r>
      <w:r w:rsidRPr="00E4028C">
        <w:rPr>
          <w:rFonts w:hint="cs"/>
          <w:rtl/>
        </w:rPr>
        <w:t xml:space="preserve"> الحسين أرسل إليهم رسوله كي يجهّز الأمر؛ ولعلّ الحسين لما تأك</w:t>
      </w:r>
      <w:r w:rsidR="0034475E">
        <w:rPr>
          <w:rFonts w:hint="cs"/>
          <w:rtl/>
        </w:rPr>
        <w:t>ّ</w:t>
      </w:r>
      <w:r w:rsidRPr="00E4028C">
        <w:rPr>
          <w:rFonts w:hint="cs"/>
          <w:rtl/>
        </w:rPr>
        <w:t>د من غدرهم كان قد فات الأوان ولو أن</w:t>
      </w:r>
      <w:r w:rsidR="00191D01">
        <w:rPr>
          <w:rFonts w:hint="cs"/>
          <w:rtl/>
        </w:rPr>
        <w:t>ّ</w:t>
      </w:r>
      <w:r w:rsidRPr="00E4028C">
        <w:rPr>
          <w:rFonts w:hint="cs"/>
          <w:rtl/>
        </w:rPr>
        <w:t>ه علم من حال رسله غدرهم قبل تحرّكه ما كان خرج من مكّة نحوهم، ولهذا ورد في بعض الروايات السابقة أنه طلب من جند يزيد أن يتركوه وشأنه فيذهب في ديار الله الواسعة؛ لكن</w:t>
      </w:r>
      <w:r w:rsidR="00191D01">
        <w:rPr>
          <w:rFonts w:hint="cs"/>
          <w:rtl/>
        </w:rPr>
        <w:t>ّ</w:t>
      </w:r>
      <w:r w:rsidRPr="00E4028C">
        <w:rPr>
          <w:rFonts w:hint="cs"/>
          <w:rtl/>
        </w:rPr>
        <w:t xml:space="preserve">هم رفضوا وأصرّوا على مقاتلته كما أوحت بعض النصوص المتقدّمة، هذا كلّه مع عدم القول ـ كما ذكره المرتضى والمفيد ـ أنّه لا دليل من عقل ولا </w:t>
      </w:r>
      <w:r w:rsidRPr="00E4028C">
        <w:rPr>
          <w:rFonts w:hint="cs"/>
          <w:rtl/>
        </w:rPr>
        <w:lastRenderedPageBreak/>
        <w:t>نقل على علم الحسين بغدر أهل الكوفة له</w:t>
      </w:r>
      <w:r w:rsidRPr="00763E4E">
        <w:rPr>
          <w:rFonts w:cs="Taher"/>
          <w:vertAlign w:val="superscript"/>
          <w:rtl/>
        </w:rPr>
        <w:t>(</w:t>
      </w:r>
      <w:r w:rsidRPr="00763E4E">
        <w:rPr>
          <w:rFonts w:cs="Taher"/>
          <w:vertAlign w:val="superscript"/>
          <w:rtl/>
        </w:rPr>
        <w:footnoteReference w:id="256"/>
      </w:r>
      <w:r w:rsidRPr="00763E4E">
        <w:rPr>
          <w:rFonts w:cs="Taher"/>
          <w:vertAlign w:val="superscript"/>
          <w:rtl/>
        </w:rPr>
        <w:t>)</w:t>
      </w:r>
      <w:r w:rsidRPr="00E4028C">
        <w:rPr>
          <w:rFonts w:hint="cs"/>
          <w:rtl/>
        </w:rPr>
        <w:t>، وعدم القول أيضاً بما قاله الشيخ محمد حسين آل كاشف الغطاء، من تعرّض البداء لعلمه</w:t>
      </w:r>
      <w:r w:rsidR="00191D01">
        <w:rPr>
          <w:rFonts w:hint="cs"/>
          <w:rtl/>
        </w:rPr>
        <w:t xml:space="preserve">م ـ عليهم السلام ـ </w:t>
      </w:r>
      <w:r w:rsidRPr="00E4028C">
        <w:rPr>
          <w:rFonts w:hint="cs"/>
          <w:rtl/>
        </w:rPr>
        <w:t>لهذا كانوا دائماً يحتملون عروضه</w:t>
      </w:r>
      <w:r w:rsidRPr="00763E4E">
        <w:rPr>
          <w:rFonts w:cs="Taher"/>
          <w:vertAlign w:val="superscript"/>
          <w:rtl/>
        </w:rPr>
        <w:t>(</w:t>
      </w:r>
      <w:r w:rsidRPr="00763E4E">
        <w:rPr>
          <w:rFonts w:cs="Taher"/>
          <w:vertAlign w:val="superscript"/>
          <w:rtl/>
        </w:rPr>
        <w:footnoteReference w:id="257"/>
      </w:r>
      <w:r w:rsidRPr="00763E4E">
        <w:rPr>
          <w:rFonts w:cs="Taher"/>
          <w:vertAlign w:val="superscript"/>
          <w:rtl/>
        </w:rPr>
        <w:t>)</w:t>
      </w:r>
      <w:r w:rsidRPr="00E4028C">
        <w:rPr>
          <w:rFonts w:hint="cs"/>
          <w:rtl/>
        </w:rPr>
        <w:t>.</w:t>
      </w:r>
    </w:p>
    <w:p w14:paraId="656DBA76" w14:textId="77777777" w:rsidR="00DD6401" w:rsidRDefault="00DD6401" w:rsidP="00C34E28">
      <w:pPr>
        <w:pStyle w:val="Space2"/>
        <w:rPr>
          <w:rtl/>
        </w:rPr>
      </w:pPr>
      <w:r w:rsidRPr="00E4028C">
        <w:rPr>
          <w:rFonts w:hint="cs"/>
          <w:b/>
          <w:bCs/>
          <w:rtl/>
        </w:rPr>
        <w:t>وجملة القول:</w:t>
      </w:r>
      <w:r w:rsidRPr="00E4028C">
        <w:rPr>
          <w:rFonts w:hint="cs"/>
          <w:rtl/>
        </w:rPr>
        <w:t xml:space="preserve"> إنّ من الصعب وفق معطيات هذه الملاحظة أن يحصل لنا تأك</w:t>
      </w:r>
      <w:r w:rsidR="00191D01">
        <w:rPr>
          <w:rFonts w:hint="cs"/>
          <w:rtl/>
        </w:rPr>
        <w:t>ّ</w:t>
      </w:r>
      <w:r w:rsidRPr="00E4028C">
        <w:rPr>
          <w:rFonts w:hint="cs"/>
          <w:rtl/>
        </w:rPr>
        <w:t>د من أن</w:t>
      </w:r>
      <w:r w:rsidR="00191D01">
        <w:rPr>
          <w:rFonts w:hint="cs"/>
          <w:rtl/>
        </w:rPr>
        <w:t>ّ</w:t>
      </w:r>
      <w:r w:rsidRPr="00E4028C">
        <w:rPr>
          <w:rFonts w:hint="cs"/>
          <w:rtl/>
        </w:rPr>
        <w:t xml:space="preserve"> هذه ال</w:t>
      </w:r>
      <w:r w:rsidR="00191D01">
        <w:rPr>
          <w:rFonts w:hint="cs"/>
          <w:rtl/>
        </w:rPr>
        <w:t xml:space="preserve">حركة </w:t>
      </w:r>
      <w:r w:rsidRPr="00E4028C">
        <w:rPr>
          <w:rFonts w:hint="cs"/>
          <w:rtl/>
        </w:rPr>
        <w:t xml:space="preserve">كانت محكومةً </w:t>
      </w:r>
      <w:r w:rsidR="00C34E28">
        <w:rPr>
          <w:rFonts w:hint="cs"/>
          <w:rtl/>
        </w:rPr>
        <w:t xml:space="preserve">مسبقاً </w:t>
      </w:r>
      <w:r w:rsidRPr="00E4028C">
        <w:rPr>
          <w:rFonts w:hint="cs"/>
          <w:rtl/>
        </w:rPr>
        <w:t>بالفشل، فكل</w:t>
      </w:r>
      <w:r w:rsidR="00191D01">
        <w:rPr>
          <w:rFonts w:hint="cs"/>
          <w:rtl/>
        </w:rPr>
        <w:t>ّ</w:t>
      </w:r>
      <w:r w:rsidRPr="00E4028C">
        <w:rPr>
          <w:rFonts w:hint="cs"/>
          <w:rtl/>
        </w:rPr>
        <w:t xml:space="preserve"> ثورة فيها احتمال الفشل. وسيأتي ـ إن شاء الله ـ ما يتصل بغير فقرة من فقرات هذه الملاحظة.</w:t>
      </w:r>
    </w:p>
    <w:p w14:paraId="3D971F47" w14:textId="77777777" w:rsidR="0083396A" w:rsidRPr="0083396A" w:rsidRDefault="009125AB" w:rsidP="0096148C">
      <w:pPr>
        <w:pStyle w:val="Heading5"/>
        <w:rPr>
          <w:rtl/>
        </w:rPr>
      </w:pPr>
      <w:bookmarkStart w:id="135" w:name="_Toc143804151"/>
      <w:bookmarkStart w:id="136" w:name="_Toc238123276"/>
      <w:r>
        <w:rPr>
          <w:rFonts w:hint="cs"/>
          <w:rtl/>
        </w:rPr>
        <w:t xml:space="preserve">بً ـ </w:t>
      </w:r>
      <w:r w:rsidR="0083396A" w:rsidRPr="0083396A">
        <w:rPr>
          <w:rFonts w:hint="cs"/>
          <w:rtl/>
        </w:rPr>
        <w:t xml:space="preserve">إخراج </w:t>
      </w:r>
      <w:r w:rsidR="0083396A">
        <w:rPr>
          <w:rFonts w:hint="cs"/>
          <w:rtl/>
        </w:rPr>
        <w:t>الحسين للأ</w:t>
      </w:r>
      <w:r w:rsidR="0083396A" w:rsidRPr="0083396A">
        <w:rPr>
          <w:rFonts w:hint="cs"/>
          <w:rtl/>
        </w:rPr>
        <w:t xml:space="preserve">هل والعيال بين التفسير </w:t>
      </w:r>
      <w:r w:rsidR="0083396A">
        <w:rPr>
          <w:rFonts w:hint="cs"/>
          <w:rtl/>
        </w:rPr>
        <w:t>ال</w:t>
      </w:r>
      <w:r w:rsidR="0083396A" w:rsidRPr="0083396A">
        <w:rPr>
          <w:rFonts w:hint="cs"/>
          <w:rtl/>
        </w:rPr>
        <w:t>سياسي والتفسير الرسالي</w:t>
      </w:r>
      <w:bookmarkEnd w:id="135"/>
      <w:bookmarkEnd w:id="136"/>
    </w:p>
    <w:p w14:paraId="6997BB89" w14:textId="77777777" w:rsidR="00DD6401" w:rsidRPr="00E4028C" w:rsidRDefault="00DD6401" w:rsidP="00FF1596">
      <w:pPr>
        <w:pStyle w:val="normal930"/>
        <w:rPr>
          <w:rtl/>
        </w:rPr>
      </w:pPr>
      <w:r w:rsidRPr="00E4028C">
        <w:rPr>
          <w:rFonts w:hint="cs"/>
          <w:rtl/>
        </w:rPr>
        <w:t>إنّ الشواهد التي يذكرها أنصار النظرية السياسية ليست دقيقة؛ فإخراج الحسين× أهله وعياله وأطفاله لا يصحّ تفسيره إلاّ لأجل علمه بحصول فاجعة يراد لها أن تضاعف حجم المأساة بغية إحياء ضمير الأمة، وإلا فلماذا يخرج قائد ثوري بأهله وأطفاله وهو ذاهب إلى الثورة؟!</w:t>
      </w:r>
    </w:p>
    <w:p w14:paraId="7D026150" w14:textId="77777777" w:rsidR="00DD6401" w:rsidRPr="00E4028C" w:rsidRDefault="00DD6401" w:rsidP="00FF1596">
      <w:pPr>
        <w:pStyle w:val="normal930"/>
        <w:rPr>
          <w:rtl/>
        </w:rPr>
      </w:pPr>
      <w:r w:rsidRPr="00E4028C">
        <w:rPr>
          <w:rFonts w:hint="cs"/>
          <w:rtl/>
        </w:rPr>
        <w:t>يُضاف إلى ذلك أنّ الحسين علم في الطريق بمقتل مسلم بن عقيل وغدر أهل الكوفة، كما أخبره الفرزدق في الطريق بأن</w:t>
      </w:r>
      <w:r w:rsidR="00191D01">
        <w:rPr>
          <w:rFonts w:hint="cs"/>
          <w:rtl/>
        </w:rPr>
        <w:t>ّ</w:t>
      </w:r>
      <w:r w:rsidRPr="00E4028C">
        <w:rPr>
          <w:rFonts w:hint="cs"/>
          <w:rtl/>
        </w:rPr>
        <w:t xml:space="preserve"> «قلوبهم معك وسيوفهم عليك»</w:t>
      </w:r>
      <w:r w:rsidRPr="00E4028C">
        <w:rPr>
          <w:rtl/>
        </w:rPr>
        <w:t xml:space="preserve">، </w:t>
      </w:r>
      <w:r w:rsidRPr="00E4028C">
        <w:rPr>
          <w:rFonts w:hint="cs"/>
          <w:rtl/>
        </w:rPr>
        <w:t>بل إن</w:t>
      </w:r>
      <w:r w:rsidR="00191D01">
        <w:rPr>
          <w:rFonts w:hint="cs"/>
          <w:rtl/>
        </w:rPr>
        <w:t>ّ</w:t>
      </w:r>
      <w:r w:rsidRPr="00E4028C">
        <w:rPr>
          <w:rFonts w:hint="cs"/>
          <w:rtl/>
        </w:rPr>
        <w:t xml:space="preserve"> بعض النصوص تفيد بأنّ الحسين يصرّح بأنّ القوم لن يتركوه إلا بعد أن يستخرجوا هذه العلقة من جوفه كما تقدّم ذكرها</w:t>
      </w:r>
      <w:r w:rsidRPr="00E4028C">
        <w:rPr>
          <w:rtl/>
        </w:rPr>
        <w:t xml:space="preserve">، </w:t>
      </w:r>
      <w:r w:rsidRPr="00E4028C">
        <w:rPr>
          <w:rFonts w:hint="cs"/>
          <w:rtl/>
        </w:rPr>
        <w:t>كناية عن قتله، مما يعني إدراكه لكونه ميتاً</w:t>
      </w:r>
      <w:r w:rsidRPr="00763E4E">
        <w:rPr>
          <w:rFonts w:cs="Taher"/>
          <w:vertAlign w:val="superscript"/>
          <w:rtl/>
        </w:rPr>
        <w:t>(</w:t>
      </w:r>
      <w:r w:rsidRPr="00763E4E">
        <w:rPr>
          <w:rFonts w:cs="Taher"/>
          <w:vertAlign w:val="superscript"/>
          <w:rtl/>
        </w:rPr>
        <w:footnoteReference w:id="258"/>
      </w:r>
      <w:r w:rsidRPr="00763E4E">
        <w:rPr>
          <w:rFonts w:cs="Taher"/>
          <w:vertAlign w:val="superscript"/>
          <w:rtl/>
        </w:rPr>
        <w:t>)</w:t>
      </w:r>
      <w:r w:rsidRPr="00E4028C">
        <w:rPr>
          <w:rFonts w:hint="cs"/>
          <w:rtl/>
        </w:rPr>
        <w:t>.</w:t>
      </w:r>
    </w:p>
    <w:p w14:paraId="5F5C4581" w14:textId="77777777" w:rsidR="00191D01" w:rsidRDefault="00DD6401" w:rsidP="00FF1596">
      <w:pPr>
        <w:pStyle w:val="normal870"/>
        <w:rPr>
          <w:rtl/>
        </w:rPr>
      </w:pPr>
      <w:r w:rsidRPr="00191D01">
        <w:rPr>
          <w:rFonts w:hint="cs"/>
          <w:b/>
          <w:bCs/>
          <w:rtl/>
        </w:rPr>
        <w:t>وهذه الملاحظة قابلة أيضاً للنقد؛</w:t>
      </w:r>
      <w:r w:rsidRPr="00E4028C">
        <w:rPr>
          <w:rFonts w:hint="cs"/>
          <w:rtl/>
        </w:rPr>
        <w:t xml:space="preserve"> فإن</w:t>
      </w:r>
      <w:r w:rsidR="00191D01">
        <w:rPr>
          <w:rFonts w:hint="cs"/>
          <w:rtl/>
        </w:rPr>
        <w:t>ّ</w:t>
      </w:r>
      <w:r w:rsidRPr="00E4028C">
        <w:rPr>
          <w:rFonts w:hint="cs"/>
          <w:rtl/>
        </w:rPr>
        <w:t xml:space="preserve"> إخراج الحسين أهله وأطفاله لا حاجة لتفسيره بأنه يريد ضخّ المزيد من المأساوي</w:t>
      </w:r>
      <w:r w:rsidR="00191D01">
        <w:rPr>
          <w:rFonts w:hint="cs"/>
          <w:rtl/>
        </w:rPr>
        <w:t>ّ</w:t>
      </w:r>
      <w:r w:rsidRPr="00E4028C">
        <w:rPr>
          <w:rFonts w:hint="cs"/>
          <w:rtl/>
        </w:rPr>
        <w:t>ة في المشهد؛ إذ من قال بأن</w:t>
      </w:r>
      <w:r w:rsidR="00191D01">
        <w:rPr>
          <w:rFonts w:hint="cs"/>
          <w:rtl/>
        </w:rPr>
        <w:t>ّ</w:t>
      </w:r>
      <w:r w:rsidRPr="00E4028C">
        <w:rPr>
          <w:rFonts w:hint="cs"/>
          <w:rtl/>
        </w:rPr>
        <w:t xml:space="preserve"> الحسين كان سيقاتل في الصحراء، فقد كان المفترض أن</w:t>
      </w:r>
      <w:r w:rsidR="00191D01">
        <w:rPr>
          <w:rFonts w:hint="cs"/>
          <w:rtl/>
        </w:rPr>
        <w:t>ّ</w:t>
      </w:r>
      <w:r w:rsidRPr="00E4028C">
        <w:rPr>
          <w:rFonts w:hint="cs"/>
          <w:rtl/>
        </w:rPr>
        <w:t>ه سوف يذهب إلى الكوفة التي ستسقط على يد آلاف المقاتلين الذين سوف يقاتلون فيها، وأهله وعياله سيكونون وسط حماية قوّة عسكرية تقد</w:t>
      </w:r>
      <w:r w:rsidR="00F755C9">
        <w:rPr>
          <w:rFonts w:hint="cs"/>
          <w:rtl/>
        </w:rPr>
        <w:t>ّ</w:t>
      </w:r>
      <w:r w:rsidRPr="00E4028C">
        <w:rPr>
          <w:rFonts w:hint="cs"/>
          <w:rtl/>
        </w:rPr>
        <w:t>ر بالآلاف، أفهل كانت أسرته في مأمن تحت رحمة ج</w:t>
      </w:r>
      <w:r w:rsidR="00191D01">
        <w:rPr>
          <w:rFonts w:hint="cs"/>
          <w:rtl/>
        </w:rPr>
        <w:t>ُ</w:t>
      </w:r>
      <w:r w:rsidRPr="00E4028C">
        <w:rPr>
          <w:rFonts w:hint="cs"/>
          <w:rtl/>
        </w:rPr>
        <w:t>ند يزيد في المدينة؟</w:t>
      </w:r>
      <w:r w:rsidR="00F755C9">
        <w:rPr>
          <w:rFonts w:hint="cs"/>
          <w:rtl/>
        </w:rPr>
        <w:t>!</w:t>
      </w:r>
      <w:r w:rsidRPr="00E4028C">
        <w:rPr>
          <w:rFonts w:hint="cs"/>
          <w:rtl/>
        </w:rPr>
        <w:t xml:space="preserve"> وكأننا نتصوّر مسبقاً ـ بصرف النظر عن المعتقد الكلامي ـ أن</w:t>
      </w:r>
      <w:r w:rsidR="00191D01">
        <w:rPr>
          <w:rFonts w:hint="cs"/>
          <w:rtl/>
        </w:rPr>
        <w:t>ّ</w:t>
      </w:r>
      <w:r w:rsidRPr="00E4028C">
        <w:rPr>
          <w:rFonts w:hint="cs"/>
          <w:rtl/>
        </w:rPr>
        <w:t xml:space="preserve"> الحسين كان على علم</w:t>
      </w:r>
      <w:r w:rsidR="00191D01">
        <w:rPr>
          <w:rFonts w:hint="cs"/>
          <w:rtl/>
        </w:rPr>
        <w:t>ٍ</w:t>
      </w:r>
      <w:r w:rsidRPr="00E4028C">
        <w:rPr>
          <w:rFonts w:hint="cs"/>
          <w:rtl/>
        </w:rPr>
        <w:t xml:space="preserve"> بأنّ المعركة ستقع في كربلاء وبهذه الطريقة، بل الصورة الطبيعي</w:t>
      </w:r>
      <w:r w:rsidR="00191D01">
        <w:rPr>
          <w:rFonts w:hint="cs"/>
          <w:rtl/>
        </w:rPr>
        <w:t>ّ</w:t>
      </w:r>
      <w:r w:rsidRPr="00E4028C">
        <w:rPr>
          <w:rFonts w:hint="cs"/>
          <w:rtl/>
        </w:rPr>
        <w:t>ة أن</w:t>
      </w:r>
      <w:r w:rsidR="00191D01">
        <w:rPr>
          <w:rFonts w:hint="cs"/>
          <w:rtl/>
        </w:rPr>
        <w:t>ّ</w:t>
      </w:r>
      <w:r w:rsidRPr="00E4028C">
        <w:rPr>
          <w:rFonts w:hint="cs"/>
          <w:rtl/>
        </w:rPr>
        <w:t xml:space="preserve">ه </w:t>
      </w:r>
      <w:r w:rsidRPr="00E4028C">
        <w:rPr>
          <w:rFonts w:hint="cs"/>
          <w:rtl/>
        </w:rPr>
        <w:lastRenderedPageBreak/>
        <w:t>كان سيصل إلى الكوفة سالماً، وأن</w:t>
      </w:r>
      <w:r w:rsidR="00191D01">
        <w:rPr>
          <w:rFonts w:hint="cs"/>
          <w:rtl/>
        </w:rPr>
        <w:t>ّ</w:t>
      </w:r>
      <w:r w:rsidRPr="00E4028C">
        <w:rPr>
          <w:rFonts w:hint="cs"/>
          <w:rtl/>
        </w:rPr>
        <w:t>ه من هناك سيبدأ العمل والامتداد، لا أن</w:t>
      </w:r>
      <w:r w:rsidR="00191D01">
        <w:rPr>
          <w:rFonts w:hint="cs"/>
          <w:rtl/>
        </w:rPr>
        <w:t>ّ</w:t>
      </w:r>
      <w:r w:rsidRPr="00E4028C">
        <w:rPr>
          <w:rFonts w:hint="cs"/>
          <w:rtl/>
        </w:rPr>
        <w:t>ه سوف يقاتل لكي يصل إلى الكوفة.</w:t>
      </w:r>
    </w:p>
    <w:p w14:paraId="71E3410C" w14:textId="77777777" w:rsidR="00DD6401" w:rsidRPr="00E4028C" w:rsidRDefault="00DD6401" w:rsidP="00FF1596">
      <w:pPr>
        <w:pStyle w:val="normal930"/>
        <w:rPr>
          <w:rtl/>
        </w:rPr>
      </w:pPr>
      <w:r w:rsidRPr="00B77DCC">
        <w:rPr>
          <w:rFonts w:hint="cs"/>
          <w:b/>
          <w:bCs/>
          <w:rtl/>
        </w:rPr>
        <w:t>وبعبارة أخرى:</w:t>
      </w:r>
      <w:r w:rsidRPr="00E4028C">
        <w:rPr>
          <w:rFonts w:hint="cs"/>
          <w:rtl/>
        </w:rPr>
        <w:t xml:space="preserve"> عندما يعزم قائد ثوري على إسقاط نظام الشام في بلاد العراق ـ ولو كمرحلة أولى ـ فمن الطبيعي أنّه سوف يجعل الكوفة عاصمةً له، فكيف يترك أهله وعياله وأمواله في المدينة أو مكّة تحت قبضة عدوّه فيما يستقرّ هو في عاصمة الخلافة الجديدة؟! فإخراج أهله وأمواله لا يعني أنّه يريد أن يضخّ المأساوية في المشهد</w:t>
      </w:r>
      <w:r w:rsidR="00191D01">
        <w:rPr>
          <w:rFonts w:hint="cs"/>
          <w:rtl/>
        </w:rPr>
        <w:t>.</w:t>
      </w:r>
      <w:r w:rsidRPr="00E4028C">
        <w:rPr>
          <w:rFonts w:hint="cs"/>
          <w:rtl/>
        </w:rPr>
        <w:t xml:space="preserve"> نعم هو احتمال أوّلي، فإن قصد هذا المقدار فهو جي</w:t>
      </w:r>
      <w:r w:rsidR="00191D01">
        <w:rPr>
          <w:rFonts w:hint="cs"/>
          <w:rtl/>
        </w:rPr>
        <w:t>ّ</w:t>
      </w:r>
      <w:r w:rsidRPr="00E4028C">
        <w:rPr>
          <w:rFonts w:hint="cs"/>
          <w:rtl/>
        </w:rPr>
        <w:t>د.</w:t>
      </w:r>
    </w:p>
    <w:p w14:paraId="36436BBC" w14:textId="77777777" w:rsidR="00DD6401" w:rsidRPr="00E4028C" w:rsidRDefault="00DD6401" w:rsidP="00FF1596">
      <w:pPr>
        <w:pStyle w:val="normal930"/>
        <w:rPr>
          <w:rtl/>
        </w:rPr>
      </w:pPr>
      <w:r w:rsidRPr="00E4028C">
        <w:rPr>
          <w:rFonts w:hint="cs"/>
          <w:rtl/>
        </w:rPr>
        <w:t>أمّا النصوص الدالّة على علمه فيما بعد بغدرهم، فسيأتي التعرّض لها إن شاء الله تعالى.</w:t>
      </w:r>
    </w:p>
    <w:p w14:paraId="5388E73C" w14:textId="77777777" w:rsidR="00DD6401" w:rsidRDefault="00DD6401" w:rsidP="00FF1596">
      <w:pPr>
        <w:pStyle w:val="normal930"/>
        <w:rPr>
          <w:rtl/>
        </w:rPr>
      </w:pPr>
      <w:r w:rsidRPr="00F755C9">
        <w:rPr>
          <w:rFonts w:hint="cs"/>
          <w:b/>
          <w:bCs/>
          <w:rtl/>
        </w:rPr>
        <w:t>وأم</w:t>
      </w:r>
      <w:r w:rsidR="00191D01" w:rsidRPr="00F755C9">
        <w:rPr>
          <w:rFonts w:hint="cs"/>
          <w:b/>
          <w:bCs/>
          <w:rtl/>
        </w:rPr>
        <w:t>ّ</w:t>
      </w:r>
      <w:r w:rsidRPr="00F755C9">
        <w:rPr>
          <w:rFonts w:hint="cs"/>
          <w:b/>
          <w:bCs/>
          <w:rtl/>
        </w:rPr>
        <w:t>ا حديث الحسين عن أنهم لن يتركوه حتى يستخرجوا هذه العلقة من جوفه، فهذا ليس دليلاً على علمه بالشهادة ونقض التفسير السياسي؛</w:t>
      </w:r>
      <w:r w:rsidRPr="00E4028C">
        <w:rPr>
          <w:rFonts w:hint="cs"/>
          <w:rtl/>
        </w:rPr>
        <w:t xml:space="preserve"> لأنّ هذا النصّ معناه أنهم سيظلّون وراءه، وأنّ عليه ـ إذاً ـ أن يواجه ليمنعهم، وليس معناه الإنباء بقتله، بل الإشارة إلى ضرورة المواجهة ودفاعي</w:t>
      </w:r>
      <w:r w:rsidR="00191D01">
        <w:rPr>
          <w:rFonts w:hint="cs"/>
          <w:rtl/>
        </w:rPr>
        <w:t>ّ</w:t>
      </w:r>
      <w:r w:rsidRPr="00E4028C">
        <w:rPr>
          <w:rFonts w:hint="cs"/>
          <w:rtl/>
        </w:rPr>
        <w:t>ة الموقف، فهذا الشاهد قد يقع لصالح التفسير السياسي أو تفسير الفرار من البيعة أكثر من غيره، ولهذا تعرّضنا له في النظري</w:t>
      </w:r>
      <w:r w:rsidR="00191D01">
        <w:rPr>
          <w:rFonts w:hint="cs"/>
          <w:rtl/>
        </w:rPr>
        <w:t>ّ</w:t>
      </w:r>
      <w:r w:rsidRPr="00E4028C">
        <w:rPr>
          <w:rFonts w:hint="cs"/>
          <w:rtl/>
        </w:rPr>
        <w:t>ة السابقة.</w:t>
      </w:r>
    </w:p>
    <w:p w14:paraId="461BBDC4" w14:textId="77777777" w:rsidR="0083396A" w:rsidRPr="0083396A" w:rsidRDefault="009125AB" w:rsidP="00FF1596">
      <w:pPr>
        <w:pStyle w:val="Heading5"/>
        <w:spacing w:before="320"/>
        <w:rPr>
          <w:rtl/>
        </w:rPr>
      </w:pPr>
      <w:bookmarkStart w:id="137" w:name="_Toc143804152"/>
      <w:bookmarkStart w:id="138" w:name="_Toc238123277"/>
      <w:r>
        <w:rPr>
          <w:rFonts w:hint="cs"/>
          <w:rtl/>
        </w:rPr>
        <w:t xml:space="preserve">جً ـ </w:t>
      </w:r>
      <w:r w:rsidR="0083396A" w:rsidRPr="0083396A">
        <w:rPr>
          <w:rFonts w:hint="cs"/>
          <w:rtl/>
        </w:rPr>
        <w:t>غياب التبرير السياسي عن كلمات الإمام الحسين، عرض وتفنيد</w:t>
      </w:r>
      <w:bookmarkEnd w:id="137"/>
      <w:bookmarkEnd w:id="138"/>
    </w:p>
    <w:p w14:paraId="314BE14B" w14:textId="77777777" w:rsidR="00DD6401" w:rsidRPr="00E4028C" w:rsidRDefault="00DD6401" w:rsidP="00FF1596">
      <w:pPr>
        <w:pStyle w:val="normal930"/>
        <w:rPr>
          <w:rtl/>
        </w:rPr>
      </w:pPr>
      <w:r w:rsidRPr="00E4028C">
        <w:rPr>
          <w:rFonts w:hint="cs"/>
          <w:rtl/>
        </w:rPr>
        <w:t>إنّ تتبع كلمات الحسين منذ لحظة خروجه، لا تكشف لنا في أيّ موضع عن نصّ صدر منه في إقامة نظام إسلامي أو إزالة سلطان بني أمية، مع أنّ طبيعة الأمور تستدعي أن يفصح عن موقفه وأهدافه من الحركة، بل على العكس كان دائماً يوطّن نفسه وأصحابه على الشهادة والقتال</w:t>
      </w:r>
      <w:r w:rsidRPr="00763E4E">
        <w:rPr>
          <w:rFonts w:cs="Taher"/>
          <w:vertAlign w:val="superscript"/>
          <w:rtl/>
        </w:rPr>
        <w:t>(</w:t>
      </w:r>
      <w:r w:rsidRPr="00763E4E">
        <w:rPr>
          <w:rFonts w:cs="Taher"/>
          <w:vertAlign w:val="superscript"/>
          <w:rtl/>
        </w:rPr>
        <w:footnoteReference w:id="259"/>
      </w:r>
      <w:r w:rsidRPr="00763E4E">
        <w:rPr>
          <w:rFonts w:cs="Taher"/>
          <w:vertAlign w:val="superscript"/>
          <w:rtl/>
        </w:rPr>
        <w:t>)</w:t>
      </w:r>
      <w:r w:rsidRPr="00E4028C">
        <w:rPr>
          <w:rFonts w:hint="cs"/>
          <w:rtl/>
        </w:rPr>
        <w:t>.</w:t>
      </w:r>
    </w:p>
    <w:p w14:paraId="470ED2F6" w14:textId="77777777" w:rsidR="00DD6401" w:rsidRPr="00E4028C" w:rsidRDefault="00DD6401" w:rsidP="00FF1596">
      <w:pPr>
        <w:pStyle w:val="normal930"/>
        <w:rPr>
          <w:rtl/>
        </w:rPr>
      </w:pPr>
      <w:r w:rsidRPr="00191D01">
        <w:rPr>
          <w:rFonts w:hint="cs"/>
          <w:b/>
          <w:bCs/>
          <w:rtl/>
        </w:rPr>
        <w:t>وهذه الملاحظة فيها بعض الغرابة؛</w:t>
      </w:r>
      <w:r w:rsidRPr="00E4028C">
        <w:rPr>
          <w:rFonts w:hint="cs"/>
          <w:rtl/>
        </w:rPr>
        <w:t xml:space="preserve"> ففي النصوص ـ وقد تقدّم بعضها وسيأتي ـ أنه يريد أن يأمر بالمعروف وينهى عن المنكر ويسير بسيرة جدّه، ويقيم العدل، ويعمل بالحق.. وهو ما ورد في العديد من الروايات التي يستشهد بها في مواضع عديدة حتى عند مخالفي النظرية السياسي</w:t>
      </w:r>
      <w:r w:rsidR="00F755C9">
        <w:rPr>
          <w:rFonts w:hint="cs"/>
          <w:rtl/>
        </w:rPr>
        <w:t>ّ</w:t>
      </w:r>
      <w:r w:rsidRPr="00E4028C">
        <w:rPr>
          <w:rFonts w:hint="cs"/>
          <w:rtl/>
        </w:rPr>
        <w:t>ة، أليست هذه النصوص كافية لإعلان أن</w:t>
      </w:r>
      <w:r w:rsidR="00191D01">
        <w:rPr>
          <w:rFonts w:hint="cs"/>
          <w:rtl/>
        </w:rPr>
        <w:t>ّ</w:t>
      </w:r>
      <w:r w:rsidRPr="00E4028C">
        <w:rPr>
          <w:rFonts w:hint="cs"/>
          <w:rtl/>
        </w:rPr>
        <w:t>ه يريد إصلاح الأمور؟!</w:t>
      </w:r>
    </w:p>
    <w:p w14:paraId="1EC0039B" w14:textId="77777777" w:rsidR="00DD6401" w:rsidRDefault="00DD6401" w:rsidP="00584BAE">
      <w:pPr>
        <w:pStyle w:val="normal84"/>
        <w:rPr>
          <w:rtl/>
        </w:rPr>
      </w:pPr>
      <w:r w:rsidRPr="00584BAE">
        <w:rPr>
          <w:rFonts w:hint="cs"/>
          <w:b/>
          <w:bCs/>
          <w:rtl/>
        </w:rPr>
        <w:lastRenderedPageBreak/>
        <w:t xml:space="preserve">يضاف إلى ذلك </w:t>
      </w:r>
      <w:r w:rsidR="00191D01" w:rsidRPr="00584BAE">
        <w:rPr>
          <w:rFonts w:hint="cs"/>
          <w:b/>
          <w:bCs/>
          <w:rtl/>
        </w:rPr>
        <w:t>أ</w:t>
      </w:r>
      <w:r w:rsidRPr="00584BAE">
        <w:rPr>
          <w:rFonts w:hint="cs"/>
          <w:b/>
          <w:bCs/>
          <w:rtl/>
        </w:rPr>
        <w:t>ن</w:t>
      </w:r>
      <w:r w:rsidR="00191D01" w:rsidRPr="00584BAE">
        <w:rPr>
          <w:rFonts w:hint="cs"/>
          <w:b/>
          <w:bCs/>
          <w:rtl/>
        </w:rPr>
        <w:t>ّ</w:t>
      </w:r>
      <w:r w:rsidRPr="00584BAE">
        <w:rPr>
          <w:rFonts w:hint="cs"/>
          <w:b/>
          <w:bCs/>
          <w:rtl/>
        </w:rPr>
        <w:t xml:space="preserve"> من الطبيعي لمن يخرج في ثورة أن يوطّن أنصاره على الشهادة، فهذه هي ثقافة الثورات ولو التي تهدف النصر والإمساك بزمام السلطة،</w:t>
      </w:r>
      <w:r w:rsidRPr="00E4028C">
        <w:rPr>
          <w:rFonts w:hint="cs"/>
          <w:rtl/>
        </w:rPr>
        <w:t xml:space="preserve"> فلا يعني إنكار علم الإمام بشهادته أن</w:t>
      </w:r>
      <w:r w:rsidR="00F755C9">
        <w:rPr>
          <w:rFonts w:hint="cs"/>
          <w:rtl/>
        </w:rPr>
        <w:t>ّ</w:t>
      </w:r>
      <w:r w:rsidRPr="00E4028C">
        <w:rPr>
          <w:rFonts w:hint="cs"/>
          <w:rtl/>
        </w:rPr>
        <w:t>ه لا</w:t>
      </w:r>
      <w:r w:rsidR="00F755C9">
        <w:rPr>
          <w:rFonts w:hint="cs"/>
          <w:rtl/>
        </w:rPr>
        <w:t xml:space="preserve"> </w:t>
      </w:r>
      <w:r w:rsidRPr="00E4028C">
        <w:rPr>
          <w:rFonts w:hint="cs"/>
          <w:rtl/>
        </w:rPr>
        <w:t>بد</w:t>
      </w:r>
      <w:r w:rsidR="00F755C9">
        <w:rPr>
          <w:rFonts w:hint="cs"/>
          <w:rtl/>
        </w:rPr>
        <w:t>ّ</w:t>
      </w:r>
      <w:r w:rsidRPr="00E4028C">
        <w:rPr>
          <w:rFonts w:hint="cs"/>
          <w:rtl/>
        </w:rPr>
        <w:t xml:space="preserve"> أن يكون متأك</w:t>
      </w:r>
      <w:r w:rsidR="00F755C9">
        <w:rPr>
          <w:rFonts w:hint="cs"/>
          <w:rtl/>
        </w:rPr>
        <w:t>ّ</w:t>
      </w:r>
      <w:r w:rsidRPr="00E4028C">
        <w:rPr>
          <w:rFonts w:hint="cs"/>
          <w:rtl/>
        </w:rPr>
        <w:t>داً من الوصول إلى السلطة بدون أيّ قطرة دم، ألم يكن الرسول| يهدف إسقاط قريش واستبدادها ومع ذلك حث القرآن والنبي ووطّنا المسلمين على الشهادة؟! فلا ملازمة بين هذه الظاهرة وبين عدم وجود هدف سياسي لل</w:t>
      </w:r>
      <w:r w:rsidR="00191D01">
        <w:rPr>
          <w:rFonts w:hint="cs"/>
          <w:rtl/>
        </w:rPr>
        <w:t>حركة الحسينيّة.</w:t>
      </w:r>
    </w:p>
    <w:p w14:paraId="47571BCA" w14:textId="77777777" w:rsidR="0083396A" w:rsidRPr="0083396A" w:rsidRDefault="009125AB" w:rsidP="0096148C">
      <w:pPr>
        <w:pStyle w:val="Heading5"/>
        <w:rPr>
          <w:rtl/>
        </w:rPr>
      </w:pPr>
      <w:bookmarkStart w:id="139" w:name="_Toc143804153"/>
      <w:bookmarkStart w:id="140" w:name="_Toc238123278"/>
      <w:r>
        <w:rPr>
          <w:rFonts w:hint="cs"/>
          <w:rtl/>
        </w:rPr>
        <w:t xml:space="preserve">دً ـ </w:t>
      </w:r>
      <w:r w:rsidR="0083396A" w:rsidRPr="0083396A">
        <w:rPr>
          <w:rFonts w:hint="cs"/>
          <w:rtl/>
        </w:rPr>
        <w:t>استبعاد خطأ الحسين في قراءته السياسي</w:t>
      </w:r>
      <w:r w:rsidR="0083396A">
        <w:rPr>
          <w:rFonts w:hint="cs"/>
          <w:rtl/>
        </w:rPr>
        <w:t>ّة مقابل رموز إ</w:t>
      </w:r>
      <w:r w:rsidR="0083396A" w:rsidRPr="0083396A">
        <w:rPr>
          <w:rFonts w:hint="cs"/>
          <w:rtl/>
        </w:rPr>
        <w:t>سلامية ع</w:t>
      </w:r>
      <w:r w:rsidR="0083396A">
        <w:rPr>
          <w:rFonts w:hint="cs"/>
          <w:rtl/>
        </w:rPr>
        <w:t xml:space="preserve">ارضت </w:t>
      </w:r>
      <w:r w:rsidR="0083396A" w:rsidRPr="0083396A">
        <w:rPr>
          <w:rFonts w:hint="cs"/>
          <w:rtl/>
        </w:rPr>
        <w:t>خروجه</w:t>
      </w:r>
      <w:bookmarkEnd w:id="139"/>
      <w:bookmarkEnd w:id="140"/>
    </w:p>
    <w:p w14:paraId="73D1DCFC" w14:textId="77777777" w:rsidR="00DD6401" w:rsidRPr="00E4028C" w:rsidRDefault="00DD6401" w:rsidP="00584BAE">
      <w:pPr>
        <w:pStyle w:val="normal84"/>
        <w:rPr>
          <w:rtl/>
        </w:rPr>
      </w:pPr>
      <w:r w:rsidRPr="00E4028C">
        <w:rPr>
          <w:rFonts w:hint="cs"/>
          <w:rtl/>
        </w:rPr>
        <w:t>تؤكّد الشواهد التاريخية أنّ العديد من الصحابة والشخصيات الإسلامي</w:t>
      </w:r>
      <w:r w:rsidR="00191D01">
        <w:rPr>
          <w:rFonts w:hint="cs"/>
          <w:rtl/>
        </w:rPr>
        <w:t>ّ</w:t>
      </w:r>
      <w:r w:rsidRPr="00E4028C">
        <w:rPr>
          <w:rFonts w:hint="cs"/>
          <w:rtl/>
        </w:rPr>
        <w:t>ة الكبيرة في الأم</w:t>
      </w:r>
      <w:r w:rsidR="00191D01">
        <w:rPr>
          <w:rFonts w:hint="cs"/>
          <w:rtl/>
        </w:rPr>
        <w:t>ّ</w:t>
      </w:r>
      <w:r w:rsidRPr="00E4028C">
        <w:rPr>
          <w:rFonts w:hint="cs"/>
          <w:rtl/>
        </w:rPr>
        <w:t>ة كانت وجهة نظرها أن لا يخرج الحسين إلى العراق، فقد نبّهه إلى ذلك مثل عبد الله بن عباس، والمسور بن مخرمة، وعبد الله بن جعفر، وأبي بكر المخزومي، وعبد الله بن جعدة، وجابر بن عبد الله الأنصاري، وعبد الله بن مطيع، وعمرو بن سعيد، ومحمد بن الحنفية، وعبد الله بن عمر، وأم سلمة، وعبد الله بن الزبير وغيرهم، بصرف النظر عن نواياهم في مقولاتهم، وكثير منهم صادق</w:t>
      </w:r>
      <w:r w:rsidRPr="00763E4E">
        <w:rPr>
          <w:rFonts w:cs="Taher"/>
          <w:vertAlign w:val="superscript"/>
          <w:rtl/>
        </w:rPr>
        <w:t>(</w:t>
      </w:r>
      <w:r w:rsidRPr="00763E4E">
        <w:rPr>
          <w:rFonts w:cs="Taher"/>
          <w:vertAlign w:val="superscript"/>
          <w:rtl/>
        </w:rPr>
        <w:footnoteReference w:id="260"/>
      </w:r>
      <w:r w:rsidRPr="00763E4E">
        <w:rPr>
          <w:rFonts w:cs="Taher"/>
          <w:vertAlign w:val="superscript"/>
          <w:rtl/>
        </w:rPr>
        <w:t>)</w:t>
      </w:r>
      <w:r w:rsidRPr="00E4028C">
        <w:rPr>
          <w:rFonts w:hint="cs"/>
          <w:rtl/>
        </w:rPr>
        <w:t>؛ فهل يمكن أن نفترض ـ كما قيل</w:t>
      </w:r>
      <w:r w:rsidRPr="00763E4E">
        <w:rPr>
          <w:rFonts w:cs="Taher"/>
          <w:vertAlign w:val="superscript"/>
          <w:rtl/>
        </w:rPr>
        <w:t>(</w:t>
      </w:r>
      <w:r w:rsidRPr="00763E4E">
        <w:rPr>
          <w:rFonts w:cs="Taher"/>
          <w:vertAlign w:val="superscript"/>
          <w:rtl/>
        </w:rPr>
        <w:footnoteReference w:id="261"/>
      </w:r>
      <w:r w:rsidRPr="00763E4E">
        <w:rPr>
          <w:rFonts w:cs="Taher"/>
          <w:vertAlign w:val="superscript"/>
          <w:rtl/>
        </w:rPr>
        <w:t>)</w:t>
      </w:r>
      <w:r w:rsidRPr="00E4028C">
        <w:rPr>
          <w:rFonts w:hint="cs"/>
          <w:rtl/>
        </w:rPr>
        <w:t xml:space="preserve"> ـ أنّ الإمام أخطأ في قراءته السياسية والميدانية للواقع، فيما أصاب مثل هؤلاء، وهو الأعلم منهم والأخبر والمؤيّد من الله تعالى؟!</w:t>
      </w:r>
    </w:p>
    <w:p w14:paraId="5517B01F" w14:textId="77777777" w:rsidR="00DD6401" w:rsidRPr="00E4028C" w:rsidRDefault="00DD6401" w:rsidP="00584BAE">
      <w:pPr>
        <w:pStyle w:val="Space"/>
        <w:spacing w:line="206" w:lineRule="auto"/>
        <w:rPr>
          <w:rtl/>
        </w:rPr>
      </w:pPr>
      <w:r w:rsidRPr="00C345AE">
        <w:rPr>
          <w:rFonts w:hint="cs"/>
          <w:b/>
          <w:bCs/>
          <w:rtl/>
        </w:rPr>
        <w:t>ومن الواضح أنّ هذا الاستدلال أيديولوجي قائم على العقيدة المذهبية، ولا يمكن للمؤرخ أن يقبل به إلا بعد الاعتقاد بالمذهب الإمامي، على خلاف بعض ما تقدّم من مناقشات،</w:t>
      </w:r>
      <w:r w:rsidRPr="00E4028C">
        <w:rPr>
          <w:rFonts w:hint="cs"/>
          <w:rtl/>
        </w:rPr>
        <w:t xml:space="preserve"> ولهذا استند بعض الكتّاب العرب والمستشرقين إلى مثل هذه القضية كي يفترضوا أنّ الحنكة السياسية للإمام الحسين لم تكن بالمستوى المطلوب، وأنّ هناك من كان أكثر وعياً للسياسة والأوضاع منه.</w:t>
      </w:r>
    </w:p>
    <w:p w14:paraId="08CC89C7" w14:textId="642931D9" w:rsidR="00C345AE" w:rsidRDefault="00DD6401" w:rsidP="00637739">
      <w:pPr>
        <w:pStyle w:val="normal84"/>
        <w:spacing w:line="206" w:lineRule="auto"/>
        <w:rPr>
          <w:rtl/>
        </w:rPr>
      </w:pPr>
      <w:r w:rsidRPr="00C345AE">
        <w:rPr>
          <w:rFonts w:hint="cs"/>
          <w:b/>
          <w:bCs/>
          <w:rtl/>
        </w:rPr>
        <w:t>لكن ـ مع ذلك ـ لنضع أنفسنا مكان الإمام الحسين،</w:t>
      </w:r>
      <w:r w:rsidRPr="00E4028C">
        <w:rPr>
          <w:rFonts w:hint="cs"/>
          <w:rtl/>
        </w:rPr>
        <w:t xml:space="preserve"> شخصٌ تأتيه رسائل كثيرة من أهل الكوفة منذ زمن معاوية</w:t>
      </w:r>
      <w:r w:rsidRPr="00763E4E">
        <w:rPr>
          <w:rFonts w:cs="Taher"/>
          <w:vertAlign w:val="superscript"/>
          <w:rtl/>
        </w:rPr>
        <w:t>(</w:t>
      </w:r>
      <w:r w:rsidRPr="00763E4E">
        <w:rPr>
          <w:rFonts w:cs="Taher"/>
          <w:vertAlign w:val="superscript"/>
          <w:rtl/>
        </w:rPr>
        <w:footnoteReference w:id="262"/>
      </w:r>
      <w:r w:rsidRPr="00763E4E">
        <w:rPr>
          <w:rFonts w:cs="Taher"/>
          <w:vertAlign w:val="superscript"/>
          <w:rtl/>
        </w:rPr>
        <w:t>)</w:t>
      </w:r>
      <w:r w:rsidRPr="00E4028C">
        <w:rPr>
          <w:rFonts w:hint="cs"/>
          <w:rtl/>
        </w:rPr>
        <w:t xml:space="preserve">، ويرفضها نظراً لعقد الصلح مع معاوية ـ كما يقول الشيخ المفيد </w:t>
      </w:r>
      <w:r w:rsidRPr="00E4028C">
        <w:rPr>
          <w:rFonts w:hint="cs"/>
          <w:rtl/>
        </w:rPr>
        <w:lastRenderedPageBreak/>
        <w:t>وغيره حسبما تدلّ عليه بعض الروايات</w:t>
      </w:r>
      <w:r w:rsidRPr="00763E4E">
        <w:rPr>
          <w:rFonts w:cs="Taher"/>
          <w:vertAlign w:val="superscript"/>
          <w:rtl/>
        </w:rPr>
        <w:t>(</w:t>
      </w:r>
      <w:r w:rsidRPr="00763E4E">
        <w:rPr>
          <w:rFonts w:cs="Taher"/>
          <w:vertAlign w:val="superscript"/>
          <w:rtl/>
        </w:rPr>
        <w:footnoteReference w:id="263"/>
      </w:r>
      <w:r w:rsidRPr="00763E4E">
        <w:rPr>
          <w:rFonts w:cs="Taher"/>
          <w:vertAlign w:val="superscript"/>
          <w:rtl/>
        </w:rPr>
        <w:t>)</w:t>
      </w:r>
      <w:r w:rsidRPr="00E4028C">
        <w:rPr>
          <w:rFonts w:hint="cs"/>
          <w:rtl/>
        </w:rPr>
        <w:t xml:space="preserve"> ـ بل ولغير عقد الصلح أيضاً</w:t>
      </w:r>
      <w:r w:rsidRPr="00763E4E">
        <w:rPr>
          <w:rFonts w:cs="Taher"/>
          <w:vertAlign w:val="superscript"/>
          <w:rtl/>
        </w:rPr>
        <w:t>(</w:t>
      </w:r>
      <w:r w:rsidRPr="00763E4E">
        <w:rPr>
          <w:rFonts w:cs="Taher"/>
          <w:vertAlign w:val="superscript"/>
          <w:rtl/>
        </w:rPr>
        <w:footnoteReference w:id="264"/>
      </w:r>
      <w:r w:rsidRPr="00763E4E">
        <w:rPr>
          <w:rFonts w:cs="Taher"/>
          <w:vertAlign w:val="superscript"/>
          <w:rtl/>
        </w:rPr>
        <w:t>)</w:t>
      </w:r>
      <w:r w:rsidRPr="00E4028C">
        <w:rPr>
          <w:rFonts w:hint="cs"/>
          <w:rtl/>
        </w:rPr>
        <w:t>، ثم تتالى عليه آلاف الرسائل بعد ذلك حتى بلغ بها الذهبي (748هـ) المائة ألف اسم</w:t>
      </w:r>
      <w:r w:rsidRPr="00763E4E">
        <w:rPr>
          <w:rFonts w:cs="Taher"/>
          <w:vertAlign w:val="superscript"/>
          <w:rtl/>
        </w:rPr>
        <w:t>(</w:t>
      </w:r>
      <w:r w:rsidRPr="00763E4E">
        <w:rPr>
          <w:rFonts w:cs="Taher"/>
          <w:vertAlign w:val="superscript"/>
          <w:rtl/>
        </w:rPr>
        <w:footnoteReference w:id="265"/>
      </w:r>
      <w:r w:rsidRPr="00763E4E">
        <w:rPr>
          <w:rFonts w:cs="Taher"/>
          <w:vertAlign w:val="superscript"/>
          <w:rtl/>
        </w:rPr>
        <w:t>)</w:t>
      </w:r>
      <w:r w:rsidRPr="00E4028C">
        <w:rPr>
          <w:rFonts w:hint="cs"/>
          <w:rtl/>
        </w:rPr>
        <w:t>، ولا يكتفي بذلك ولا يستعجل ـ خلافاً لما صوّره بعضهم</w:t>
      </w:r>
      <w:r w:rsidRPr="00763E4E">
        <w:rPr>
          <w:rFonts w:cs="Taher"/>
          <w:vertAlign w:val="superscript"/>
          <w:rtl/>
        </w:rPr>
        <w:t>(</w:t>
      </w:r>
      <w:r w:rsidRPr="00763E4E">
        <w:rPr>
          <w:rFonts w:cs="Taher"/>
          <w:vertAlign w:val="superscript"/>
          <w:rtl/>
        </w:rPr>
        <w:footnoteReference w:id="266"/>
      </w:r>
      <w:r w:rsidRPr="00763E4E">
        <w:rPr>
          <w:rFonts w:cs="Taher"/>
          <w:vertAlign w:val="superscript"/>
          <w:rtl/>
        </w:rPr>
        <w:t>)</w:t>
      </w:r>
      <w:r w:rsidRPr="00E4028C">
        <w:rPr>
          <w:rFonts w:hint="cs"/>
          <w:rtl/>
        </w:rPr>
        <w:t xml:space="preserve"> ـ بل يرسل مبعوثاً له إليهم لينظر في الأمر</w:t>
      </w:r>
      <w:r w:rsidR="009F0157" w:rsidRPr="00763E4E">
        <w:rPr>
          <w:rFonts w:cs="Taher"/>
          <w:vertAlign w:val="superscript"/>
          <w:rtl/>
        </w:rPr>
        <w:t>(</w:t>
      </w:r>
      <w:r w:rsidR="009F0157" w:rsidRPr="00763E4E">
        <w:rPr>
          <w:rFonts w:cs="Taher"/>
          <w:vertAlign w:val="superscript"/>
          <w:rtl/>
        </w:rPr>
        <w:footnoteReference w:id="267"/>
      </w:r>
      <w:r w:rsidR="009F0157" w:rsidRPr="00763E4E">
        <w:rPr>
          <w:rFonts w:cs="Taher"/>
          <w:vertAlign w:val="superscript"/>
          <w:rtl/>
        </w:rPr>
        <w:t>)</w:t>
      </w:r>
      <w:r w:rsidRPr="00E4028C">
        <w:rPr>
          <w:rFonts w:hint="cs"/>
          <w:rtl/>
        </w:rPr>
        <w:t xml:space="preserve">، ثم يأتيه المبعوث ـ مسلم بن عقيل ـ بخبر مفرح بأن الأمر مستتبّ له، فيقول: </w:t>
      </w:r>
      <w:r w:rsidR="00D537A9" w:rsidRPr="00822CE9">
        <w:rPr>
          <w:rFonts w:hint="cs"/>
          <w:rtl/>
        </w:rPr>
        <w:t>«</w:t>
      </w:r>
      <w:r w:rsidRPr="00E4028C">
        <w:rPr>
          <w:rFonts w:hint="cs"/>
          <w:rtl/>
        </w:rPr>
        <w:t>أما بعد فإنّ الرائد لا يكذب أهله، إنّ جمع (جميع) أهل الكوفة معك فأقبل حين تقرأ كتابي، والسلام</w:t>
      </w:r>
      <w:r w:rsidR="00D537A9" w:rsidRPr="00822CE9">
        <w:rPr>
          <w:rFonts w:hint="cs"/>
          <w:rtl/>
        </w:rPr>
        <w:t>»</w:t>
      </w:r>
      <w:r w:rsidR="00D537A9" w:rsidRPr="00763E4E">
        <w:rPr>
          <w:rFonts w:cs="Taher"/>
          <w:vertAlign w:val="superscript"/>
          <w:rtl/>
        </w:rPr>
        <w:t xml:space="preserve"> </w:t>
      </w:r>
      <w:r w:rsidRPr="00763E4E">
        <w:rPr>
          <w:rFonts w:cs="Taher"/>
          <w:vertAlign w:val="superscript"/>
          <w:rtl/>
        </w:rPr>
        <w:t>(</w:t>
      </w:r>
      <w:r w:rsidRPr="00763E4E">
        <w:rPr>
          <w:rFonts w:cs="Taher"/>
          <w:vertAlign w:val="superscript"/>
          <w:rtl/>
        </w:rPr>
        <w:footnoteReference w:id="268"/>
      </w:r>
      <w:r w:rsidRPr="00763E4E">
        <w:rPr>
          <w:rFonts w:cs="Taher"/>
          <w:vertAlign w:val="superscript"/>
          <w:rtl/>
        </w:rPr>
        <w:t>)</w:t>
      </w:r>
      <w:r w:rsidRPr="00E4028C">
        <w:rPr>
          <w:rFonts w:hint="cs"/>
          <w:rtl/>
        </w:rPr>
        <w:t>، وقد نصّت بعض مصادر التاريخ أن من بايع مسلماً بلغ ثمانية عشر ألفاً، كما يقول الطبري</w:t>
      </w:r>
      <w:r w:rsidRPr="00763E4E">
        <w:rPr>
          <w:rFonts w:cs="Taher"/>
          <w:vertAlign w:val="superscript"/>
          <w:rtl/>
        </w:rPr>
        <w:t>(</w:t>
      </w:r>
      <w:r w:rsidRPr="00763E4E">
        <w:rPr>
          <w:rFonts w:cs="Taher"/>
          <w:vertAlign w:val="superscript"/>
          <w:rtl/>
        </w:rPr>
        <w:footnoteReference w:id="269"/>
      </w:r>
      <w:r w:rsidRPr="00763E4E">
        <w:rPr>
          <w:rFonts w:cs="Taher"/>
          <w:vertAlign w:val="superscript"/>
          <w:rtl/>
        </w:rPr>
        <w:t>)</w:t>
      </w:r>
      <w:r w:rsidRPr="00E4028C">
        <w:rPr>
          <w:rFonts w:hint="cs"/>
          <w:rtl/>
        </w:rPr>
        <w:t>، أو نيفاً وعشرين ألفاً، كما يقول ابن الأعثم الكوفي</w:t>
      </w:r>
      <w:r w:rsidRPr="00763E4E">
        <w:rPr>
          <w:rFonts w:cs="Taher"/>
          <w:vertAlign w:val="superscript"/>
          <w:rtl/>
        </w:rPr>
        <w:t>(</w:t>
      </w:r>
      <w:r w:rsidRPr="00763E4E">
        <w:rPr>
          <w:rFonts w:cs="Taher"/>
          <w:vertAlign w:val="superscript"/>
          <w:rtl/>
        </w:rPr>
        <w:footnoteReference w:id="270"/>
      </w:r>
      <w:r w:rsidRPr="00763E4E">
        <w:rPr>
          <w:rFonts w:cs="Taher"/>
          <w:vertAlign w:val="superscript"/>
          <w:rtl/>
        </w:rPr>
        <w:t>)</w:t>
      </w:r>
      <w:r w:rsidRPr="00E4028C">
        <w:rPr>
          <w:rFonts w:hint="cs"/>
          <w:rtl/>
        </w:rPr>
        <w:t>، أو أكثر من ثلاثين ألفاً كما يقول الدينوري</w:t>
      </w:r>
      <w:r w:rsidRPr="00763E4E">
        <w:rPr>
          <w:rFonts w:cs="Taher"/>
          <w:vertAlign w:val="superscript"/>
          <w:rtl/>
        </w:rPr>
        <w:t>(</w:t>
      </w:r>
      <w:r w:rsidRPr="00763E4E">
        <w:rPr>
          <w:rFonts w:cs="Taher"/>
          <w:vertAlign w:val="superscript"/>
          <w:rtl/>
        </w:rPr>
        <w:footnoteReference w:id="271"/>
      </w:r>
      <w:r w:rsidRPr="00763E4E">
        <w:rPr>
          <w:rFonts w:cs="Taher"/>
          <w:vertAlign w:val="superscript"/>
          <w:rtl/>
        </w:rPr>
        <w:t>)</w:t>
      </w:r>
      <w:r w:rsidRPr="00E4028C">
        <w:rPr>
          <w:rFonts w:hint="cs"/>
          <w:rtl/>
        </w:rPr>
        <w:t xml:space="preserve">، بل </w:t>
      </w:r>
      <w:r w:rsidRPr="00E4028C">
        <w:rPr>
          <w:rFonts w:hint="cs"/>
          <w:rtl/>
        </w:rPr>
        <w:lastRenderedPageBreak/>
        <w:t>ذكروا أكثر من ذلك</w:t>
      </w:r>
      <w:r w:rsidRPr="00763E4E">
        <w:rPr>
          <w:rFonts w:cs="Taher"/>
          <w:vertAlign w:val="superscript"/>
          <w:rtl/>
        </w:rPr>
        <w:t>(</w:t>
      </w:r>
      <w:r w:rsidRPr="00763E4E">
        <w:rPr>
          <w:rFonts w:cs="Taher"/>
          <w:vertAlign w:val="superscript"/>
          <w:rtl/>
        </w:rPr>
        <w:footnoteReference w:id="272"/>
      </w:r>
      <w:r w:rsidRPr="00763E4E">
        <w:rPr>
          <w:rFonts w:cs="Taher"/>
          <w:vertAlign w:val="superscript"/>
          <w:rtl/>
        </w:rPr>
        <w:t>)</w:t>
      </w:r>
      <w:r w:rsidRPr="00E4028C">
        <w:rPr>
          <w:rFonts w:hint="cs"/>
          <w:rtl/>
        </w:rPr>
        <w:t>، يضاف إلى ذلك كون الكوفة أقرب البلدان إلى التشيّع آنذاك بحيث يمكن حشد الجيوش منها، فمصر أقرب إلى العثمانية والأموية منها إلى العلويين آنذاك، وفارس ليس فيها رصيد يذكر لأهل البيت، والبصرة عثمانية الهوى، ومنطقة الحجاز غير قادرة على الصمود العسكري إطلاقاً كما أكّدته أحداث ما بعد كربلاء، واليمن بلاد فقيرة آنذاك لا يمكن لها أن تستمرّ في الانشقاق عن السلطة المركزية، على خلاف الكوفة وما لها من خراج هائل وبلاد تتبع لها</w:t>
      </w:r>
      <w:r w:rsidRPr="00763E4E">
        <w:rPr>
          <w:rFonts w:cs="Taher"/>
          <w:vertAlign w:val="superscript"/>
          <w:rtl/>
        </w:rPr>
        <w:t>(</w:t>
      </w:r>
      <w:r w:rsidRPr="00763E4E">
        <w:rPr>
          <w:rFonts w:cs="Taher"/>
          <w:vertAlign w:val="superscript"/>
          <w:rtl/>
        </w:rPr>
        <w:footnoteReference w:id="273"/>
      </w:r>
      <w:r w:rsidRPr="00763E4E">
        <w:rPr>
          <w:rFonts w:cs="Taher"/>
          <w:vertAlign w:val="superscript"/>
          <w:rtl/>
        </w:rPr>
        <w:t>)</w:t>
      </w:r>
      <w:r w:rsidRPr="00E4028C">
        <w:rPr>
          <w:rFonts w:hint="cs"/>
          <w:rtl/>
        </w:rPr>
        <w:t>؛ ففي ظروف كهذه هل يجوز لقائد حكيم أن يترك كل</w:t>
      </w:r>
      <w:r w:rsidR="00AC189E">
        <w:rPr>
          <w:rFonts w:hint="cs"/>
          <w:rtl/>
        </w:rPr>
        <w:t>ّ</w:t>
      </w:r>
      <w:r w:rsidRPr="00E4028C">
        <w:rPr>
          <w:rFonts w:hint="cs"/>
          <w:rtl/>
        </w:rPr>
        <w:t xml:space="preserve"> هذه المعطيات ويتكل على احتمال الغدر والخيانة؟ بل لو اغتال مسلمُ بن عقيل عبيدَ الله بن زياد ـ كما يقول الشريف المرتضى ـ في دار ش</w:t>
      </w:r>
      <w:r w:rsidR="007C191A">
        <w:rPr>
          <w:rFonts w:hint="cs"/>
          <w:rtl/>
        </w:rPr>
        <w:t>َ</w:t>
      </w:r>
      <w:r w:rsidRPr="00E4028C">
        <w:rPr>
          <w:rFonts w:hint="cs"/>
          <w:rtl/>
        </w:rPr>
        <w:t xml:space="preserve">ريك بن الأعور، لحسم الأمر لصالح الإمام الحسين، لكنّ مسلماً رفض معللاً بالنص المعروف عن النبي بأنّ </w:t>
      </w:r>
      <w:r w:rsidR="00D537A9" w:rsidRPr="00822CE9">
        <w:rPr>
          <w:rFonts w:hint="cs"/>
          <w:rtl/>
        </w:rPr>
        <w:t>«</w:t>
      </w:r>
      <w:r w:rsidRPr="00E4028C">
        <w:rPr>
          <w:rFonts w:hint="cs"/>
          <w:rtl/>
        </w:rPr>
        <w:t>الإسلام قي</w:t>
      </w:r>
      <w:r w:rsidR="007C191A">
        <w:rPr>
          <w:rFonts w:hint="cs"/>
          <w:rtl/>
        </w:rPr>
        <w:t>ّ</w:t>
      </w:r>
      <w:r w:rsidRPr="00E4028C">
        <w:rPr>
          <w:rFonts w:hint="cs"/>
          <w:rtl/>
        </w:rPr>
        <w:t>د الفتك</w:t>
      </w:r>
      <w:r w:rsidR="00D537A9" w:rsidRPr="00822CE9">
        <w:rPr>
          <w:rFonts w:hint="cs"/>
          <w:rtl/>
        </w:rPr>
        <w:t>»</w:t>
      </w:r>
      <w:r w:rsidRPr="00E4028C">
        <w:rPr>
          <w:rFonts w:hint="cs"/>
          <w:rtl/>
        </w:rPr>
        <w:t>؛ فلعلّ الشخصيات التي أشارت على الحسين بعدم الخروج لم تكن مطّلعةً على تمام هذه التفاصيل والمجريات</w:t>
      </w:r>
      <w:r w:rsidRPr="00763E4E">
        <w:rPr>
          <w:rFonts w:cs="Taher"/>
          <w:vertAlign w:val="superscript"/>
          <w:rtl/>
        </w:rPr>
        <w:t>(</w:t>
      </w:r>
      <w:r w:rsidRPr="00763E4E">
        <w:rPr>
          <w:rFonts w:cs="Taher"/>
          <w:vertAlign w:val="superscript"/>
          <w:rtl/>
        </w:rPr>
        <w:footnoteReference w:id="274"/>
      </w:r>
      <w:r w:rsidRPr="00763E4E">
        <w:rPr>
          <w:rFonts w:cs="Taher"/>
          <w:vertAlign w:val="superscript"/>
          <w:rtl/>
        </w:rPr>
        <w:t>)</w:t>
      </w:r>
      <w:r w:rsidRPr="00E4028C">
        <w:rPr>
          <w:rFonts w:hint="cs"/>
          <w:rtl/>
        </w:rPr>
        <w:t>، بل اتكلت على الصورة النمطية التي كانت تحملها عن تجربة البيت العلوي مع أهل الكوفة</w:t>
      </w:r>
      <w:r w:rsidR="00C345AE">
        <w:rPr>
          <w:rFonts w:hint="cs"/>
          <w:rtl/>
        </w:rPr>
        <w:t>.</w:t>
      </w:r>
      <w:r w:rsidR="00AC189E">
        <w:rPr>
          <w:rFonts w:hint="cs"/>
          <w:rtl/>
        </w:rPr>
        <w:t xml:space="preserve"> علماً أنّ تفاوت مستوى قوّة الحضور والتأثير بين معاوية وولده يزيد يمكن أن يشكّل فرصةً مناسبة للخروج على يزيد؛ لأنّه لا يحظى بالقوّة التي يكان يحظى بها والده، ولهذا اضطرّ لارتكاب مجازر متعدّدة خلال سنوات قليلة جدّاً من حكمه، وما ذلك إلا لحاجته إلى بسط نفوذه وكثرة معارضيه.</w:t>
      </w:r>
    </w:p>
    <w:p w14:paraId="29CE5C14" w14:textId="77777777" w:rsidR="00DD6401" w:rsidRPr="00E4028C" w:rsidRDefault="00DD6401" w:rsidP="00637739">
      <w:pPr>
        <w:rPr>
          <w:rtl/>
        </w:rPr>
      </w:pPr>
      <w:r w:rsidRPr="00E4028C">
        <w:rPr>
          <w:rFonts w:hint="cs"/>
          <w:rtl/>
        </w:rPr>
        <w:t>وعلى فرض صحّة الروايات التي نقلت عن بعض الشخصيات الكبيرة، وبعضها ضعيف المستند تاريخياً ورجالياً، لكن هل يصحّ القبول بها مع وجود حجّة على الإمام ـ وه</w:t>
      </w:r>
      <w:r w:rsidR="00C345AE">
        <w:rPr>
          <w:rFonts w:hint="cs"/>
          <w:rtl/>
        </w:rPr>
        <w:t>و</w:t>
      </w:r>
      <w:r w:rsidRPr="00E4028C">
        <w:rPr>
          <w:rFonts w:hint="cs"/>
          <w:rtl/>
        </w:rPr>
        <w:t xml:space="preserve"> الناصر والمعين ـ ونحن نعرف أنّ الإمام يعمل بالظاهر في حياته وليس بالعلوم الإشراقية الغيبية التي عنده؟! لست أدري لو أنّ الحسين لم يخرج بعد كلّ هذه الرسائل والظروف لربما قال النق</w:t>
      </w:r>
      <w:r w:rsidR="00C345AE">
        <w:rPr>
          <w:rFonts w:hint="cs"/>
          <w:rtl/>
        </w:rPr>
        <w:t>ّ</w:t>
      </w:r>
      <w:r w:rsidRPr="00E4028C">
        <w:rPr>
          <w:rFonts w:hint="cs"/>
          <w:rtl/>
        </w:rPr>
        <w:t xml:space="preserve">اد والمستشرقون: إنّه أيضاً غير ناضج سياسياً! فقد ترك فرصاً ثمينة، فالمشكلة تكمن في الأفكار </w:t>
      </w:r>
      <w:r w:rsidRPr="00E4028C">
        <w:rPr>
          <w:rFonts w:hint="cs"/>
          <w:rtl/>
        </w:rPr>
        <w:lastRenderedPageBreak/>
        <w:t xml:space="preserve">المسبقة التي نسقطها على تحليل التاريخ، </w:t>
      </w:r>
      <w:r w:rsidR="00C345AE">
        <w:rPr>
          <w:rFonts w:hint="cs"/>
          <w:rtl/>
        </w:rPr>
        <w:t>و</w:t>
      </w:r>
      <w:r w:rsidRPr="00E4028C">
        <w:rPr>
          <w:rFonts w:hint="cs"/>
          <w:rtl/>
        </w:rPr>
        <w:t>لا</w:t>
      </w:r>
      <w:r w:rsidR="00C345AE">
        <w:rPr>
          <w:rFonts w:hint="cs"/>
          <w:rtl/>
        </w:rPr>
        <w:t xml:space="preserve"> </w:t>
      </w:r>
      <w:r w:rsidRPr="00E4028C">
        <w:rPr>
          <w:rFonts w:hint="cs"/>
          <w:rtl/>
        </w:rPr>
        <w:t>سي</w:t>
      </w:r>
      <w:r w:rsidR="00C345AE">
        <w:rPr>
          <w:rFonts w:hint="cs"/>
          <w:rtl/>
        </w:rPr>
        <w:t>ّ</w:t>
      </w:r>
      <w:r w:rsidRPr="00E4028C">
        <w:rPr>
          <w:rFonts w:hint="cs"/>
          <w:rtl/>
        </w:rPr>
        <w:t>ما عندما نقرؤه بعد وقوعه لا في ظرفه الزمكاني.</w:t>
      </w:r>
    </w:p>
    <w:p w14:paraId="6CAF3B5D" w14:textId="77777777" w:rsidR="00DD6401" w:rsidRPr="00E4028C" w:rsidRDefault="00DD6401" w:rsidP="00637739">
      <w:pPr>
        <w:pStyle w:val="normal930"/>
        <w:rPr>
          <w:rtl/>
        </w:rPr>
      </w:pPr>
      <w:r w:rsidRPr="00E4028C">
        <w:rPr>
          <w:rFonts w:hint="cs"/>
          <w:rtl/>
        </w:rPr>
        <w:t>وربما لهذا كن</w:t>
      </w:r>
      <w:r w:rsidR="00C345AE">
        <w:rPr>
          <w:rFonts w:hint="cs"/>
          <w:rtl/>
        </w:rPr>
        <w:t>ّ</w:t>
      </w:r>
      <w:r w:rsidRPr="00E4028C">
        <w:rPr>
          <w:rFonts w:hint="cs"/>
          <w:rtl/>
        </w:rPr>
        <w:t>ا نجد في بعض الروايات أنّ الإمام يريد أن ينظر في الأمر ويفكّر فيما يقولون، ولعلّه كان ينتظر توافر المعطيات ليرى ماذا يمكن أن يتخذ من إجراء، وهذا كلّه عملٌ في غاية الحكمة والإتقان، والإنسان مكلّف بالوظيفة وطلب النتيجة الحسنة، وقد تحصل وقد لا تحصل، فالهزيمة ليست خطأ من الإمام وإنّما من تخاذل من طلبوه، فهل نحمّل أحداث أُحُد للنبي</w:t>
      </w:r>
      <w:r w:rsidR="007C191A">
        <w:rPr>
          <w:rFonts w:hint="cs"/>
          <w:rtl/>
        </w:rPr>
        <w:t>ّ</w:t>
      </w:r>
      <w:r w:rsidRPr="00E4028C">
        <w:rPr>
          <w:rFonts w:hint="cs"/>
          <w:rtl/>
        </w:rPr>
        <w:t>؟!</w:t>
      </w:r>
    </w:p>
    <w:p w14:paraId="19853F4C" w14:textId="77777777" w:rsidR="00DD6401" w:rsidRDefault="00DD6401" w:rsidP="00637739">
      <w:pPr>
        <w:rPr>
          <w:rtl/>
        </w:rPr>
      </w:pPr>
      <w:r w:rsidRPr="00E4028C">
        <w:rPr>
          <w:rFonts w:hint="cs"/>
          <w:rtl/>
        </w:rPr>
        <w:t>ثم</w:t>
      </w:r>
      <w:r w:rsidR="00C345AE">
        <w:rPr>
          <w:rFonts w:hint="cs"/>
          <w:rtl/>
        </w:rPr>
        <w:t>ّ</w:t>
      </w:r>
      <w:r w:rsidRPr="00E4028C">
        <w:rPr>
          <w:rFonts w:hint="cs"/>
          <w:rtl/>
        </w:rPr>
        <w:t xml:space="preserve"> لماذا نصوّر وجوه المسلمين رافضين لخروج الحسين وننسى أنّ هناك الكثير منهم كانوا معه؟! ولا يخفى على أحد</w:t>
      </w:r>
      <w:r w:rsidR="008041B2">
        <w:rPr>
          <w:rFonts w:hint="cs"/>
          <w:rtl/>
        </w:rPr>
        <w:t>ٍ</w:t>
      </w:r>
      <w:r w:rsidRPr="00E4028C">
        <w:rPr>
          <w:rFonts w:hint="cs"/>
          <w:rtl/>
        </w:rPr>
        <w:t xml:space="preserve"> كم هو عدد الصحابة والوجوه الذين كانوا مع الحسين في كربلاء، فلا يفترض أن نصوّر المشهد استبداداً بالرأي من الحسين في مقابل إجماع وجوه المسلمين، وهذه نقطة جديرة بالتأم</w:t>
      </w:r>
      <w:r w:rsidR="00C345AE">
        <w:rPr>
          <w:rFonts w:hint="cs"/>
          <w:rtl/>
        </w:rPr>
        <w:t>ّ</w:t>
      </w:r>
      <w:r w:rsidRPr="00E4028C">
        <w:rPr>
          <w:rFonts w:hint="cs"/>
          <w:rtl/>
        </w:rPr>
        <w:t>ل.</w:t>
      </w:r>
    </w:p>
    <w:p w14:paraId="27D9F84A" w14:textId="77777777" w:rsidR="0083396A" w:rsidRPr="0083396A" w:rsidRDefault="009125AB" w:rsidP="0096148C">
      <w:pPr>
        <w:pStyle w:val="Heading5"/>
        <w:rPr>
          <w:rtl/>
        </w:rPr>
      </w:pPr>
      <w:bookmarkStart w:id="141" w:name="_Toc143804154"/>
      <w:bookmarkStart w:id="142" w:name="_Toc238123279"/>
      <w:r>
        <w:rPr>
          <w:rFonts w:hint="cs"/>
          <w:rtl/>
        </w:rPr>
        <w:t xml:space="preserve">هـً ـ </w:t>
      </w:r>
      <w:r w:rsidR="0083396A" w:rsidRPr="0083396A">
        <w:rPr>
          <w:rFonts w:hint="cs"/>
          <w:rtl/>
        </w:rPr>
        <w:t>استمرار الحسين في المسير شمالاً بوصفه نقد</w:t>
      </w:r>
      <w:r w:rsidR="0083396A">
        <w:rPr>
          <w:rFonts w:hint="cs"/>
          <w:rtl/>
        </w:rPr>
        <w:t>اً</w:t>
      </w:r>
      <w:r w:rsidR="0083396A" w:rsidRPr="0083396A">
        <w:rPr>
          <w:rFonts w:hint="cs"/>
          <w:rtl/>
        </w:rPr>
        <w:t xml:space="preserve"> على التفسير السياسي، قراءة وردّ</w:t>
      </w:r>
      <w:bookmarkEnd w:id="141"/>
      <w:bookmarkEnd w:id="142"/>
    </w:p>
    <w:p w14:paraId="7016F2C4" w14:textId="77777777" w:rsidR="00DD6401" w:rsidRPr="00E4028C" w:rsidRDefault="00DD6401" w:rsidP="00637739">
      <w:pPr>
        <w:rPr>
          <w:rtl/>
        </w:rPr>
      </w:pPr>
      <w:r w:rsidRPr="00E4028C">
        <w:rPr>
          <w:rFonts w:hint="cs"/>
          <w:rtl/>
        </w:rPr>
        <w:t>ذكر بعض العلماء الباحثين</w:t>
      </w:r>
      <w:r w:rsidRPr="00763E4E">
        <w:rPr>
          <w:rFonts w:cs="Taher"/>
          <w:vertAlign w:val="superscript"/>
          <w:rtl/>
        </w:rPr>
        <w:t>(</w:t>
      </w:r>
      <w:r w:rsidRPr="00763E4E">
        <w:rPr>
          <w:rFonts w:cs="Taher"/>
          <w:vertAlign w:val="superscript"/>
          <w:rtl/>
        </w:rPr>
        <w:footnoteReference w:id="275"/>
      </w:r>
      <w:r w:rsidRPr="00763E4E">
        <w:rPr>
          <w:rFonts w:cs="Taher"/>
          <w:vertAlign w:val="superscript"/>
          <w:rtl/>
        </w:rPr>
        <w:t>)</w:t>
      </w:r>
      <w:r w:rsidRPr="00E4028C">
        <w:rPr>
          <w:rFonts w:hint="cs"/>
          <w:rtl/>
        </w:rPr>
        <w:t>، أنّه إذا كان هذا التفسير صحيحاً فلماذا استمرّ الإمام الحسين في سيره شمالاً بعد علمه بمقتل ابن عقيل و</w:t>
      </w:r>
      <w:r w:rsidR="007C191A">
        <w:rPr>
          <w:rFonts w:hint="cs"/>
          <w:rtl/>
        </w:rPr>
        <w:t xml:space="preserve">قيس بن </w:t>
      </w:r>
      <w:r w:rsidRPr="00E4028C">
        <w:rPr>
          <w:rFonts w:hint="cs"/>
          <w:rtl/>
        </w:rPr>
        <w:t>م</w:t>
      </w:r>
      <w:r w:rsidR="007C191A">
        <w:rPr>
          <w:rFonts w:hint="cs"/>
          <w:rtl/>
        </w:rPr>
        <w:t>ُ</w:t>
      </w:r>
      <w:r w:rsidRPr="00E4028C">
        <w:rPr>
          <w:rFonts w:hint="cs"/>
          <w:rtl/>
        </w:rPr>
        <w:t>س</w:t>
      </w:r>
      <w:r w:rsidR="007C191A">
        <w:rPr>
          <w:rFonts w:hint="cs"/>
          <w:rtl/>
        </w:rPr>
        <w:t>ْ</w:t>
      </w:r>
      <w:r w:rsidRPr="00E4028C">
        <w:rPr>
          <w:rFonts w:hint="cs"/>
          <w:rtl/>
        </w:rPr>
        <w:t>ه</w:t>
      </w:r>
      <w:r w:rsidR="007C191A">
        <w:rPr>
          <w:rFonts w:hint="cs"/>
          <w:rtl/>
        </w:rPr>
        <w:t>ِ</w:t>
      </w:r>
      <w:r w:rsidRPr="00E4028C">
        <w:rPr>
          <w:rFonts w:hint="cs"/>
          <w:rtl/>
        </w:rPr>
        <w:t xml:space="preserve">ر </w:t>
      </w:r>
      <w:r w:rsidR="007C191A">
        <w:rPr>
          <w:rFonts w:hint="cs"/>
          <w:rtl/>
        </w:rPr>
        <w:t xml:space="preserve">(مُسَهَّر) </w:t>
      </w:r>
      <w:r w:rsidRPr="00E4028C">
        <w:rPr>
          <w:rFonts w:hint="cs"/>
          <w:rtl/>
        </w:rPr>
        <w:t>الصيداوي وغيرهما من الرجال والأنصار، وتخاذل أهل الكوفة وتركهم له؟</w:t>
      </w:r>
      <w:r w:rsidR="00311B26">
        <w:rPr>
          <w:rFonts w:hint="cs"/>
          <w:rtl/>
        </w:rPr>
        <w:t>!</w:t>
      </w:r>
      <w:r w:rsidRPr="00E4028C">
        <w:rPr>
          <w:rFonts w:hint="cs"/>
          <w:rtl/>
        </w:rPr>
        <w:t xml:space="preserve"> إنّ هذا الاستمرار ليس له أيّ معنى سياسي إطلاقاً؛ لأنّ كل المبرّرات التي طرحت لحركته على أساس سياسي ستنهار هنا، فقد كان يفترض به أن يعود فوراً، وهذا ما لم يحصل.</w:t>
      </w:r>
    </w:p>
    <w:p w14:paraId="3B6C38C6" w14:textId="77777777" w:rsidR="00DD6401" w:rsidRPr="00E4028C" w:rsidRDefault="00DD6401" w:rsidP="00637739">
      <w:pPr>
        <w:rPr>
          <w:rtl/>
        </w:rPr>
      </w:pPr>
      <w:r w:rsidRPr="00311B26">
        <w:rPr>
          <w:rFonts w:hint="cs"/>
          <w:b/>
          <w:bCs/>
          <w:rtl/>
        </w:rPr>
        <w:t>ويمكننا حشد الشواهد لهذا الكلام الذي ذكروه بصرف النظر عن قص</w:t>
      </w:r>
      <w:r w:rsidR="008041B2">
        <w:rPr>
          <w:rFonts w:hint="cs"/>
          <w:b/>
          <w:bCs/>
          <w:rtl/>
        </w:rPr>
        <w:t>ّ</w:t>
      </w:r>
      <w:r w:rsidRPr="00311B26">
        <w:rPr>
          <w:rFonts w:hint="cs"/>
          <w:b/>
          <w:bCs/>
          <w:rtl/>
        </w:rPr>
        <w:t xml:space="preserve">ة ابن عقيل و.. </w:t>
      </w:r>
      <w:r w:rsidRPr="00E4028C">
        <w:rPr>
          <w:rFonts w:hint="cs"/>
          <w:rtl/>
        </w:rPr>
        <w:t>فلقاء الحسين بالفرزدق كان في منطقة الصفاح أو بالشقوق أو بذات عرق</w:t>
      </w:r>
      <w:r w:rsidRPr="00763E4E">
        <w:rPr>
          <w:rFonts w:cs="Taher"/>
          <w:vertAlign w:val="superscript"/>
          <w:rtl/>
        </w:rPr>
        <w:t>(</w:t>
      </w:r>
      <w:r w:rsidRPr="00763E4E">
        <w:rPr>
          <w:rFonts w:cs="Taher"/>
          <w:vertAlign w:val="superscript"/>
          <w:rtl/>
        </w:rPr>
        <w:footnoteReference w:id="276"/>
      </w:r>
      <w:r w:rsidRPr="00763E4E">
        <w:rPr>
          <w:rFonts w:cs="Taher"/>
          <w:vertAlign w:val="superscript"/>
          <w:rtl/>
        </w:rPr>
        <w:t>)</w:t>
      </w:r>
      <w:r w:rsidRPr="00E4028C">
        <w:rPr>
          <w:rFonts w:hint="cs"/>
          <w:rtl/>
        </w:rPr>
        <w:t xml:space="preserve">، وهي قريبة من مكّة، أي </w:t>
      </w:r>
      <w:r w:rsidRPr="00E4028C">
        <w:rPr>
          <w:rFonts w:hint="cs"/>
          <w:rtl/>
        </w:rPr>
        <w:lastRenderedPageBreak/>
        <w:t>قبل مسافة كبيرة من ملاقاة جماعة الحر بن يزيد الرياحي، وكذلك لقياه للأعرابيّين من بني أسد قبل ملاقاة الحر</w:t>
      </w:r>
      <w:r w:rsidRPr="00763E4E">
        <w:rPr>
          <w:rFonts w:cs="Taher"/>
          <w:vertAlign w:val="superscript"/>
          <w:rtl/>
        </w:rPr>
        <w:t>(</w:t>
      </w:r>
      <w:r w:rsidRPr="00763E4E">
        <w:rPr>
          <w:rFonts w:cs="Taher"/>
          <w:vertAlign w:val="superscript"/>
          <w:rtl/>
        </w:rPr>
        <w:footnoteReference w:id="277"/>
      </w:r>
      <w:r w:rsidRPr="00763E4E">
        <w:rPr>
          <w:rFonts w:cs="Taher"/>
          <w:vertAlign w:val="superscript"/>
          <w:rtl/>
        </w:rPr>
        <w:t>)</w:t>
      </w:r>
      <w:r w:rsidRPr="00E4028C">
        <w:rPr>
          <w:rFonts w:hint="cs"/>
          <w:rtl/>
        </w:rPr>
        <w:t>، ولقاؤه بشر بن غالب الأسدي في ذات عرق أو الثعلبية</w:t>
      </w:r>
      <w:r w:rsidRPr="00763E4E">
        <w:rPr>
          <w:rFonts w:cs="Taher"/>
          <w:vertAlign w:val="superscript"/>
          <w:rtl/>
        </w:rPr>
        <w:t>(</w:t>
      </w:r>
      <w:r w:rsidRPr="00763E4E">
        <w:rPr>
          <w:rFonts w:cs="Taher"/>
          <w:vertAlign w:val="superscript"/>
          <w:rtl/>
        </w:rPr>
        <w:footnoteReference w:id="278"/>
      </w:r>
      <w:r w:rsidRPr="00763E4E">
        <w:rPr>
          <w:rFonts w:cs="Taher"/>
          <w:vertAlign w:val="superscript"/>
          <w:rtl/>
        </w:rPr>
        <w:t>)</w:t>
      </w:r>
      <w:r w:rsidRPr="00E4028C">
        <w:rPr>
          <w:rFonts w:hint="cs"/>
          <w:rtl/>
        </w:rPr>
        <w:t>.</w:t>
      </w:r>
    </w:p>
    <w:p w14:paraId="41CAC93D" w14:textId="77777777" w:rsidR="00DD6401" w:rsidRPr="00E4028C" w:rsidRDefault="00DD6401" w:rsidP="00DD6401">
      <w:pPr>
        <w:rPr>
          <w:b/>
          <w:bCs/>
          <w:rtl/>
        </w:rPr>
      </w:pPr>
      <w:r w:rsidRPr="00E4028C">
        <w:rPr>
          <w:rFonts w:hint="cs"/>
          <w:b/>
          <w:bCs/>
          <w:rtl/>
        </w:rPr>
        <w:t>وهذه الملاحظة جي</w:t>
      </w:r>
      <w:r w:rsidR="00311B26">
        <w:rPr>
          <w:rFonts w:hint="cs"/>
          <w:b/>
          <w:bCs/>
          <w:rtl/>
        </w:rPr>
        <w:t>ّ</w:t>
      </w:r>
      <w:r w:rsidRPr="00E4028C">
        <w:rPr>
          <w:rFonts w:hint="cs"/>
          <w:b/>
          <w:bCs/>
          <w:rtl/>
        </w:rPr>
        <w:t>دة، غير أنّه يمكن التوق</w:t>
      </w:r>
      <w:r w:rsidR="00311B26">
        <w:rPr>
          <w:rFonts w:hint="cs"/>
          <w:b/>
          <w:bCs/>
          <w:rtl/>
        </w:rPr>
        <w:t>ّ</w:t>
      </w:r>
      <w:r w:rsidRPr="00E4028C">
        <w:rPr>
          <w:rFonts w:hint="cs"/>
          <w:b/>
          <w:bCs/>
          <w:rtl/>
        </w:rPr>
        <w:t>ف عندها من ناحيتين:</w:t>
      </w:r>
    </w:p>
    <w:p w14:paraId="1B9703AD" w14:textId="77777777" w:rsidR="00DD6401" w:rsidRPr="00E4028C" w:rsidRDefault="00DD6401" w:rsidP="00637739">
      <w:pPr>
        <w:pStyle w:val="normal870"/>
        <w:rPr>
          <w:rtl/>
        </w:rPr>
      </w:pPr>
      <w:r w:rsidRPr="00E4028C">
        <w:rPr>
          <w:rFonts w:hint="cs"/>
          <w:b/>
          <w:bCs/>
          <w:rtl/>
        </w:rPr>
        <w:t>أو</w:t>
      </w:r>
      <w:r w:rsidR="008041B2">
        <w:rPr>
          <w:rFonts w:hint="cs"/>
          <w:b/>
          <w:bCs/>
          <w:rtl/>
        </w:rPr>
        <w:t>ّ</w:t>
      </w:r>
      <w:r w:rsidRPr="00E4028C">
        <w:rPr>
          <w:rFonts w:hint="cs"/>
          <w:b/>
          <w:bCs/>
          <w:rtl/>
        </w:rPr>
        <w:t>لاً:</w:t>
      </w:r>
      <w:r w:rsidRPr="00E4028C">
        <w:rPr>
          <w:rFonts w:hint="cs"/>
          <w:rtl/>
        </w:rPr>
        <w:t xml:space="preserve"> الحديث عن هذا الأمر تعارضه بعض النصوص التاريخية التي سبق التعرّض لها، والتي تتحدّث عن عرض الإمام على القوم الذهاب إلى مكان آمن وتركهم؛ فهذا الكلام معناه أنّه عندما أيقن بتحوّل الظروف طلب التوجّه إلى مكان آخر يكون فيه في أمان، ولم يكن يريد الاستمرار لو سمحوا له بهذا الخيار. وربما من هنا بدا التردّد في كلمات السيد محمد الصدر في هذا المجال؛ إذ احتمل أخيراً أن يكون الإمام غير قادر على الذهاب إلى اليمن التي كانت المنطقة الأوفر حظاً بعد الكوفة؛ حيث كان قد خرج من مكّة في ذلك الوقت وبدت الأمور بالنسبة إليه صعبة، فكأنّه صار يائساً من الحياة، بحسب تعبيره</w:t>
      </w:r>
      <w:r w:rsidRPr="00763E4E">
        <w:rPr>
          <w:rFonts w:cs="Taher"/>
          <w:vertAlign w:val="superscript"/>
          <w:rtl/>
        </w:rPr>
        <w:t>(</w:t>
      </w:r>
      <w:r w:rsidRPr="00763E4E">
        <w:rPr>
          <w:rFonts w:cs="Taher"/>
          <w:vertAlign w:val="superscript"/>
          <w:rtl/>
        </w:rPr>
        <w:footnoteReference w:id="279"/>
      </w:r>
      <w:r w:rsidRPr="00763E4E">
        <w:rPr>
          <w:rFonts w:cs="Taher"/>
          <w:vertAlign w:val="superscript"/>
          <w:rtl/>
        </w:rPr>
        <w:t>)</w:t>
      </w:r>
      <w:r w:rsidRPr="00E4028C">
        <w:rPr>
          <w:rFonts w:hint="cs"/>
          <w:rtl/>
        </w:rPr>
        <w:t>، وربما من هنا أيضاً نشأت فكرة أن الحسين كان يغلب على ظنّه أنّهم لن يقتلوه لمكانه من رسول الله، وهذا يعني أنّ قتلهم لبعض الشخصيات لن يمتدّ لقتله هو بنفسه، نظراً لمكانته الاستثنائية، وقد جعل هذا الاحتمال الطبرسيُّ أحدَ احتمالين في تفسير خروج الإمام الحسين</w:t>
      </w:r>
      <w:r w:rsidRPr="00763E4E">
        <w:rPr>
          <w:rFonts w:cs="Taher"/>
          <w:vertAlign w:val="superscript"/>
          <w:rtl/>
        </w:rPr>
        <w:t>(</w:t>
      </w:r>
      <w:r w:rsidRPr="00763E4E">
        <w:rPr>
          <w:rFonts w:cs="Taher"/>
          <w:vertAlign w:val="superscript"/>
          <w:rtl/>
        </w:rPr>
        <w:footnoteReference w:id="280"/>
      </w:r>
      <w:r w:rsidRPr="00763E4E">
        <w:rPr>
          <w:rFonts w:cs="Taher"/>
          <w:vertAlign w:val="superscript"/>
          <w:rtl/>
        </w:rPr>
        <w:t>)</w:t>
      </w:r>
      <w:r w:rsidRPr="00E4028C">
        <w:rPr>
          <w:rFonts w:hint="cs"/>
          <w:rtl/>
        </w:rPr>
        <w:t xml:space="preserve">؛ وعليه فمن يأخذ بهذه الروايات عليه التوقف مع هذه الملاحظة هنا، أو الجواب عنها، تماماً كما يفترض بالآخرين أن يفسّروا الاستمرار </w:t>
      </w:r>
      <w:r w:rsidR="00C97D9D">
        <w:rPr>
          <w:rFonts w:hint="cs"/>
          <w:rtl/>
        </w:rPr>
        <w:t>في المسير.</w:t>
      </w:r>
    </w:p>
    <w:p w14:paraId="0B74C783" w14:textId="77777777" w:rsidR="00DD6401" w:rsidRDefault="00DD6401" w:rsidP="00637739">
      <w:pPr>
        <w:pStyle w:val="normal870"/>
        <w:rPr>
          <w:rtl/>
        </w:rPr>
      </w:pPr>
      <w:r w:rsidRPr="00E4028C">
        <w:rPr>
          <w:rFonts w:hint="cs"/>
          <w:b/>
          <w:bCs/>
          <w:rtl/>
        </w:rPr>
        <w:t>ثانياً:</w:t>
      </w:r>
      <w:r w:rsidRPr="00E4028C">
        <w:rPr>
          <w:rFonts w:hint="cs"/>
          <w:rtl/>
        </w:rPr>
        <w:t xml:space="preserve"> إنّ هذه الملاحظة تبطل التفسير السياسي البحت القائم على جعل دعوة أهل العراق للإمام هي محور الحركة </w:t>
      </w:r>
      <w:r w:rsidRPr="00D435D0">
        <w:rPr>
          <w:rFonts w:hint="cs"/>
          <w:rtl/>
        </w:rPr>
        <w:t>الحسينية</w:t>
      </w:r>
      <w:r w:rsidRPr="00E4028C">
        <w:rPr>
          <w:rFonts w:hint="cs"/>
          <w:rtl/>
        </w:rPr>
        <w:t xml:space="preserve">، لكنّها لا تنفي أن تكون الحركة </w:t>
      </w:r>
      <w:r w:rsidRPr="00D435D0">
        <w:rPr>
          <w:rFonts w:hint="cs"/>
          <w:rtl/>
        </w:rPr>
        <w:t>الحسينية</w:t>
      </w:r>
      <w:r w:rsidRPr="00E4028C">
        <w:rPr>
          <w:rFonts w:hint="cs"/>
          <w:rtl/>
        </w:rPr>
        <w:t xml:space="preserve"> قد تعدّدت المبرّرات لها؛ إذ يمكننا للخروج من هذه الملاحظة وتبعاتها أن نجمع هنا بين نظريّتي: </w:t>
      </w:r>
      <w:r w:rsidR="008041B2">
        <w:rPr>
          <w:rFonts w:hint="cs"/>
          <w:rtl/>
        </w:rPr>
        <w:t xml:space="preserve">تجنّب </w:t>
      </w:r>
      <w:r w:rsidRPr="00E4028C">
        <w:rPr>
          <w:rFonts w:hint="cs"/>
          <w:rtl/>
        </w:rPr>
        <w:t xml:space="preserve">البيعة والعامل السياسي، بصرف النظر عن تحديد أيّ من هذين العاملين كان هو الأساس؟ فلما علم الحسين </w:t>
      </w:r>
      <w:r w:rsidRPr="00E4028C">
        <w:rPr>
          <w:rFonts w:hint="cs"/>
          <w:rtl/>
        </w:rPr>
        <w:lastRenderedPageBreak/>
        <w:t>بفشل المشروع في الكوفة، لم يرجع إلى مك</w:t>
      </w:r>
      <w:r w:rsidR="008041B2">
        <w:rPr>
          <w:rFonts w:hint="cs"/>
          <w:rtl/>
        </w:rPr>
        <w:t>ّ</w:t>
      </w:r>
      <w:r w:rsidRPr="00E4028C">
        <w:rPr>
          <w:rFonts w:hint="cs"/>
          <w:rtl/>
        </w:rPr>
        <w:t>ة ولا المدينة؛ لأنّه سوف يقتل هناك، كما أسلفنا المؤشرات التاريخية على ذلك، فاستمرّ نحو العراق باتجاه الشمال إمّا كسباً للوقت؛ بحيث بعد أن وصله الخبر ما استطاع الرجوع، فكان يريد أن يستقرّ فترة لكسب الوقت فاتجه شمالاً ليصل مكاناً ما ثم يعود! أو أنّ</w:t>
      </w:r>
      <w:r w:rsidR="008041B2">
        <w:rPr>
          <w:rFonts w:hint="cs"/>
          <w:rtl/>
        </w:rPr>
        <w:t>ه يتخيّل للناظر ـ كما يقول</w:t>
      </w:r>
      <w:r w:rsidRPr="00E4028C">
        <w:rPr>
          <w:rFonts w:hint="cs"/>
          <w:rtl/>
        </w:rPr>
        <w:t xml:space="preserve"> هبة الدين الشهرستاني</w:t>
      </w:r>
      <w:r w:rsidRPr="00763E4E">
        <w:rPr>
          <w:rFonts w:cs="Taher"/>
          <w:vertAlign w:val="superscript"/>
          <w:rtl/>
        </w:rPr>
        <w:t>(</w:t>
      </w:r>
      <w:r w:rsidRPr="00763E4E">
        <w:rPr>
          <w:rFonts w:cs="Taher"/>
          <w:vertAlign w:val="superscript"/>
          <w:rtl/>
        </w:rPr>
        <w:footnoteReference w:id="281"/>
      </w:r>
      <w:r w:rsidRPr="00763E4E">
        <w:rPr>
          <w:rFonts w:cs="Taher"/>
          <w:vertAlign w:val="superscript"/>
          <w:rtl/>
        </w:rPr>
        <w:t>)</w:t>
      </w:r>
      <w:r w:rsidRPr="00E4028C">
        <w:rPr>
          <w:rFonts w:hint="cs"/>
          <w:rtl/>
        </w:rPr>
        <w:t xml:space="preserve"> ـ أنّه كان يريد عبور الفرات نحو الأنبار أو المدائن؛ علّه يجد لنفسه أنصاراً وشيعة، أو لعل</w:t>
      </w:r>
      <w:r w:rsidR="008041B2">
        <w:rPr>
          <w:rFonts w:hint="cs"/>
          <w:rtl/>
        </w:rPr>
        <w:t>ّ</w:t>
      </w:r>
      <w:r w:rsidRPr="00E4028C">
        <w:rPr>
          <w:rFonts w:hint="cs"/>
          <w:rtl/>
        </w:rPr>
        <w:t>ه كان اقتراحاً من الحر</w:t>
      </w:r>
      <w:r w:rsidR="008041B2">
        <w:rPr>
          <w:rFonts w:hint="cs"/>
          <w:rtl/>
        </w:rPr>
        <w:t>ّ</w:t>
      </w:r>
      <w:r w:rsidRPr="00E4028C">
        <w:rPr>
          <w:rFonts w:hint="cs"/>
          <w:rtl/>
        </w:rPr>
        <w:t xml:space="preserve"> بن يزيد الرياحي للخروج من المأزق، كما تفيده بعض الروايات التاريخي</w:t>
      </w:r>
      <w:r w:rsidR="008041B2">
        <w:rPr>
          <w:rFonts w:hint="cs"/>
          <w:rtl/>
        </w:rPr>
        <w:t>ّ</w:t>
      </w:r>
      <w:r w:rsidRPr="00E4028C">
        <w:rPr>
          <w:rFonts w:hint="cs"/>
          <w:rtl/>
        </w:rPr>
        <w:t>ة</w:t>
      </w:r>
      <w:r w:rsidRPr="00763E4E">
        <w:rPr>
          <w:rFonts w:cs="Taher"/>
          <w:vertAlign w:val="superscript"/>
          <w:rtl/>
        </w:rPr>
        <w:t>(</w:t>
      </w:r>
      <w:r w:rsidRPr="00763E4E">
        <w:rPr>
          <w:rFonts w:cs="Taher"/>
          <w:vertAlign w:val="superscript"/>
          <w:rtl/>
        </w:rPr>
        <w:footnoteReference w:id="282"/>
      </w:r>
      <w:r w:rsidRPr="00763E4E">
        <w:rPr>
          <w:rFonts w:cs="Taher"/>
          <w:vertAlign w:val="superscript"/>
          <w:rtl/>
        </w:rPr>
        <w:t>)</w:t>
      </w:r>
      <w:r w:rsidRPr="00E4028C">
        <w:rPr>
          <w:rFonts w:hint="cs"/>
          <w:rtl/>
        </w:rPr>
        <w:t>.</w:t>
      </w:r>
    </w:p>
    <w:p w14:paraId="1A16A0E4" w14:textId="77777777" w:rsidR="0083396A" w:rsidRPr="0083396A" w:rsidRDefault="0083396A" w:rsidP="0096148C">
      <w:pPr>
        <w:pStyle w:val="Heading5"/>
        <w:rPr>
          <w:rtl/>
        </w:rPr>
      </w:pPr>
      <w:bookmarkStart w:id="143" w:name="_Toc143804155"/>
      <w:bookmarkStart w:id="144" w:name="_Toc238123280"/>
      <w:r>
        <w:rPr>
          <w:rFonts w:hint="cs"/>
          <w:rtl/>
        </w:rPr>
        <w:t xml:space="preserve">توظيف </w:t>
      </w:r>
      <w:r w:rsidRPr="0083396A">
        <w:rPr>
          <w:rFonts w:hint="cs"/>
          <w:rtl/>
        </w:rPr>
        <w:t xml:space="preserve">قراءة المطهري </w:t>
      </w:r>
      <w:r>
        <w:rPr>
          <w:rFonts w:hint="cs"/>
          <w:rtl/>
        </w:rPr>
        <w:t>ل</w:t>
      </w:r>
      <w:r w:rsidRPr="0083396A">
        <w:rPr>
          <w:rFonts w:hint="cs"/>
          <w:rtl/>
        </w:rPr>
        <w:t>نظري</w:t>
      </w:r>
      <w:r>
        <w:rPr>
          <w:rFonts w:hint="cs"/>
          <w:rtl/>
        </w:rPr>
        <w:t>ّ</w:t>
      </w:r>
      <w:r w:rsidRPr="0083396A">
        <w:rPr>
          <w:rFonts w:hint="cs"/>
          <w:rtl/>
        </w:rPr>
        <w:t>ة تعدّد العوامل والأسباب</w:t>
      </w:r>
      <w:r>
        <w:rPr>
          <w:rFonts w:hint="cs"/>
          <w:rtl/>
        </w:rPr>
        <w:t xml:space="preserve"> في تحقيب مسيرة الحسين زمنيّاً</w:t>
      </w:r>
      <w:bookmarkEnd w:id="143"/>
      <w:bookmarkEnd w:id="144"/>
    </w:p>
    <w:p w14:paraId="71271C6C" w14:textId="77777777" w:rsidR="00DD6401" w:rsidRPr="007A4310" w:rsidRDefault="00DD6401" w:rsidP="007A4310">
      <w:pPr>
        <w:rPr>
          <w:b/>
          <w:bCs/>
          <w:rtl/>
        </w:rPr>
      </w:pPr>
      <w:r w:rsidRPr="007A4310">
        <w:rPr>
          <w:rFonts w:hint="cs"/>
          <w:b/>
          <w:bCs/>
          <w:rtl/>
        </w:rPr>
        <w:t>ونظريّة تعدّد العوامل المسبّبة لل</w:t>
      </w:r>
      <w:r w:rsidR="007A4310">
        <w:rPr>
          <w:rFonts w:hint="cs"/>
          <w:b/>
          <w:bCs/>
          <w:rtl/>
        </w:rPr>
        <w:t>حركة كان فصّل فيها</w:t>
      </w:r>
      <w:r w:rsidRPr="007A4310">
        <w:rPr>
          <w:rFonts w:hint="cs"/>
          <w:b/>
          <w:bCs/>
          <w:rtl/>
        </w:rPr>
        <w:t xml:space="preserve"> الشيخ مرتضى مطهري، ليس بقصد الانتصار للتفسير السياسي؛ فقد كان من المعارضين له،</w:t>
      </w:r>
      <w:r w:rsidRPr="00E4028C">
        <w:rPr>
          <w:rFonts w:hint="cs"/>
          <w:rtl/>
        </w:rPr>
        <w:t xml:space="preserve"> وإنّما بقصد التحليل ووضع أسباب ال</w:t>
      </w:r>
      <w:r w:rsidR="007A4310">
        <w:rPr>
          <w:rFonts w:hint="cs"/>
          <w:rtl/>
        </w:rPr>
        <w:t xml:space="preserve">حركة </w:t>
      </w:r>
      <w:r w:rsidRPr="00E4028C">
        <w:rPr>
          <w:rFonts w:hint="cs"/>
          <w:rtl/>
        </w:rPr>
        <w:t xml:space="preserve">ضمن نظام من الأولويات والرتبية؛ </w:t>
      </w:r>
      <w:r w:rsidRPr="007A4310">
        <w:rPr>
          <w:rFonts w:hint="cs"/>
          <w:b/>
          <w:bCs/>
          <w:rtl/>
        </w:rPr>
        <w:t>فقد ذهب المطهري إلى أنّ الشواهد بأكملها تؤكّد أنّ حركة الإمام الحسين انطلقت من ثلاثة عناصر، هي:</w:t>
      </w:r>
    </w:p>
    <w:p w14:paraId="047A5406" w14:textId="77777777" w:rsidR="00DD6401" w:rsidRPr="00E4028C" w:rsidRDefault="007A4310" w:rsidP="00637739">
      <w:pPr>
        <w:rPr>
          <w:rtl/>
        </w:rPr>
      </w:pPr>
      <w:r>
        <w:rPr>
          <w:rFonts w:hint="cs"/>
          <w:b/>
          <w:bCs/>
          <w:rtl/>
        </w:rPr>
        <w:t xml:space="preserve">العنصر الأوّل: </w:t>
      </w:r>
      <w:r w:rsidR="00DD6401" w:rsidRPr="007A4310">
        <w:rPr>
          <w:rFonts w:hint="cs"/>
          <w:b/>
          <w:bCs/>
          <w:rtl/>
        </w:rPr>
        <w:t xml:space="preserve">عنصر رفض بيعة يزيد؛ </w:t>
      </w:r>
      <w:r w:rsidR="00DD6401" w:rsidRPr="00E4028C">
        <w:rPr>
          <w:rFonts w:hint="cs"/>
          <w:rtl/>
        </w:rPr>
        <w:t>وهذا العنصر الرافض هو الذي حرّك الحسين للخروج من المدينة المنوّرة، كما صار واضحاً بملاحظة النصوص التاريخية. وهذا معناه أنّ عنصر الفرار من البيعة كان عنصراً أساسياً في انطلاقة ال</w:t>
      </w:r>
      <w:r>
        <w:rPr>
          <w:rFonts w:hint="cs"/>
          <w:rtl/>
        </w:rPr>
        <w:t xml:space="preserve">حركة </w:t>
      </w:r>
      <w:r w:rsidR="00DD6401" w:rsidRPr="00E4028C">
        <w:rPr>
          <w:rFonts w:hint="cs"/>
          <w:rtl/>
        </w:rPr>
        <w:t>واستمرار</w:t>
      </w:r>
      <w:r>
        <w:rPr>
          <w:rFonts w:hint="cs"/>
          <w:rtl/>
        </w:rPr>
        <w:t>يّتها.</w:t>
      </w:r>
    </w:p>
    <w:p w14:paraId="63F61629" w14:textId="77777777" w:rsidR="00DD6401" w:rsidRPr="00E4028C" w:rsidRDefault="007A4310" w:rsidP="00637739">
      <w:pPr>
        <w:rPr>
          <w:rtl/>
        </w:rPr>
      </w:pPr>
      <w:r w:rsidRPr="007A4310">
        <w:rPr>
          <w:rFonts w:hint="cs"/>
          <w:b/>
          <w:bCs/>
          <w:rtl/>
        </w:rPr>
        <w:t xml:space="preserve">العنصر الثاني: </w:t>
      </w:r>
      <w:r w:rsidR="00DD6401" w:rsidRPr="007A4310">
        <w:rPr>
          <w:rFonts w:hint="cs"/>
          <w:b/>
          <w:bCs/>
          <w:rtl/>
        </w:rPr>
        <w:t>عنصر دعوة أهل الكوفة للإمام الحسين،</w:t>
      </w:r>
      <w:r w:rsidR="00DD6401" w:rsidRPr="00E4028C">
        <w:rPr>
          <w:rFonts w:hint="cs"/>
          <w:rtl/>
        </w:rPr>
        <w:t xml:space="preserve"> وهذا العنصر لم يكن في المدينة بل ـ كما صار واضحاً ـ فإنّ رسائل أهل العراق وصلت للحسين بعد حوالي أربعين يوماً من خروجه من المدينة، أي بعد أن علموا بخروجه، كما </w:t>
      </w:r>
      <w:r>
        <w:rPr>
          <w:rFonts w:hint="cs"/>
          <w:rtl/>
        </w:rPr>
        <w:t>ي</w:t>
      </w:r>
      <w:r w:rsidR="00DD6401" w:rsidRPr="00E4028C">
        <w:rPr>
          <w:rFonts w:hint="cs"/>
          <w:rtl/>
        </w:rPr>
        <w:t xml:space="preserve">ؤكّده أيضاً </w:t>
      </w:r>
      <w:r>
        <w:rPr>
          <w:rFonts w:hint="cs"/>
          <w:rtl/>
        </w:rPr>
        <w:t xml:space="preserve">لقاء </w:t>
      </w:r>
      <w:r w:rsidR="00DD6401" w:rsidRPr="00E4028C">
        <w:rPr>
          <w:rFonts w:hint="cs"/>
          <w:rtl/>
        </w:rPr>
        <w:t>كبار رجال الكوفة بهذا الصدد، من هنا يلاحظ على التفسير السياسي الذي طرحه الشيخ نعمة الله صالحي نجف آبادي أنّه ركّز على هذا العنصر الثاني في حين كانت ولادة هذا العنصر متأخرةً عن انطلاقة حركة الحسين</w:t>
      </w:r>
      <w:r>
        <w:rPr>
          <w:rFonts w:hint="cs"/>
          <w:rtl/>
        </w:rPr>
        <w:t xml:space="preserve"> برأي المطهّري</w:t>
      </w:r>
      <w:r w:rsidR="00DD6401" w:rsidRPr="00E4028C">
        <w:rPr>
          <w:rFonts w:hint="cs"/>
          <w:rtl/>
        </w:rPr>
        <w:t>.</w:t>
      </w:r>
    </w:p>
    <w:p w14:paraId="72BD14A2" w14:textId="77777777" w:rsidR="00DD6401" w:rsidRPr="00E4028C" w:rsidRDefault="007A4310" w:rsidP="007A4310">
      <w:pPr>
        <w:pStyle w:val="Space1"/>
        <w:rPr>
          <w:rtl/>
        </w:rPr>
      </w:pPr>
      <w:r w:rsidRPr="007A4310">
        <w:rPr>
          <w:rFonts w:hint="cs"/>
          <w:b/>
          <w:bCs/>
          <w:rtl/>
        </w:rPr>
        <w:t xml:space="preserve">العنصر الثالث: </w:t>
      </w:r>
      <w:r w:rsidR="00DD6401" w:rsidRPr="007A4310">
        <w:rPr>
          <w:rFonts w:hint="cs"/>
          <w:b/>
          <w:bCs/>
          <w:rtl/>
        </w:rPr>
        <w:t>عنصر الأمر بالمعروف والنهي عن المنكر</w:t>
      </w:r>
      <w:r w:rsidR="00DD6401" w:rsidRPr="00E4028C">
        <w:rPr>
          <w:rFonts w:hint="cs"/>
          <w:rtl/>
        </w:rPr>
        <w:t xml:space="preserve"> الذي تكشف عنه بعض النصوص </w:t>
      </w:r>
      <w:r w:rsidR="00DD6401" w:rsidRPr="00D435D0">
        <w:rPr>
          <w:rFonts w:hint="cs"/>
          <w:rtl/>
        </w:rPr>
        <w:lastRenderedPageBreak/>
        <w:t>الحسينية</w:t>
      </w:r>
      <w:r w:rsidR="00DD6401" w:rsidRPr="00E4028C">
        <w:rPr>
          <w:rFonts w:hint="cs"/>
          <w:rtl/>
        </w:rPr>
        <w:t xml:space="preserve"> التي سبق أن أسلفنا ذكرها، وهو عنصر برز في نصوص الحسين حتى وهو في المدينة المنوّرة، ممّا يدعم فرضية أنّ دعوة أهل الكوفة كانت عنصراً ثانوياً</w:t>
      </w:r>
      <w:r w:rsidR="00DD6401" w:rsidRPr="00763E4E">
        <w:rPr>
          <w:rFonts w:cs="Taher"/>
          <w:vertAlign w:val="superscript"/>
          <w:rtl/>
        </w:rPr>
        <w:t>(</w:t>
      </w:r>
      <w:r w:rsidR="00DD6401" w:rsidRPr="00763E4E">
        <w:rPr>
          <w:rFonts w:cs="Taher"/>
          <w:vertAlign w:val="superscript"/>
          <w:rtl/>
        </w:rPr>
        <w:footnoteReference w:id="283"/>
      </w:r>
      <w:r w:rsidR="00DD6401" w:rsidRPr="00763E4E">
        <w:rPr>
          <w:rFonts w:cs="Taher"/>
          <w:vertAlign w:val="superscript"/>
          <w:rtl/>
        </w:rPr>
        <w:t>)</w:t>
      </w:r>
      <w:r w:rsidR="00DD6401" w:rsidRPr="00E4028C">
        <w:rPr>
          <w:rFonts w:hint="cs"/>
          <w:rtl/>
        </w:rPr>
        <w:t>.</w:t>
      </w:r>
    </w:p>
    <w:p w14:paraId="5ACD80B6" w14:textId="77777777" w:rsidR="00DD6401" w:rsidRPr="00E4028C" w:rsidRDefault="00DD6401" w:rsidP="00637739">
      <w:pPr>
        <w:pStyle w:val="normal930"/>
        <w:rPr>
          <w:rtl/>
        </w:rPr>
      </w:pPr>
      <w:r w:rsidRPr="007A4310">
        <w:rPr>
          <w:rFonts w:hint="cs"/>
          <w:b/>
          <w:bCs/>
          <w:rtl/>
        </w:rPr>
        <w:t>وأقصد من الاستعانة ب</w:t>
      </w:r>
      <w:r w:rsidR="00B02AAB">
        <w:rPr>
          <w:rFonts w:hint="cs"/>
          <w:b/>
          <w:bCs/>
          <w:rtl/>
        </w:rPr>
        <w:t xml:space="preserve">وجهة نظر </w:t>
      </w:r>
      <w:r w:rsidRPr="007A4310">
        <w:rPr>
          <w:rFonts w:hint="cs"/>
          <w:b/>
          <w:bCs/>
          <w:rtl/>
        </w:rPr>
        <w:t>المطهري</w:t>
      </w:r>
      <w:r w:rsidR="007A4310">
        <w:rPr>
          <w:rFonts w:hint="cs"/>
          <w:b/>
          <w:bCs/>
          <w:rtl/>
        </w:rPr>
        <w:t xml:space="preserve"> هنا</w:t>
      </w:r>
      <w:r w:rsidRPr="007A4310">
        <w:rPr>
          <w:rFonts w:hint="cs"/>
          <w:b/>
          <w:bCs/>
          <w:rtl/>
        </w:rPr>
        <w:t>،</w:t>
      </w:r>
      <w:r w:rsidR="00B02AAB">
        <w:rPr>
          <w:rFonts w:hint="cs"/>
          <w:b/>
          <w:bCs/>
          <w:rtl/>
        </w:rPr>
        <w:t xml:space="preserve"> </w:t>
      </w:r>
      <w:r w:rsidRPr="00E4028C">
        <w:rPr>
          <w:rFonts w:hint="cs"/>
          <w:rtl/>
        </w:rPr>
        <w:t>أنّه لا يوجد ما يؤكّد أنّ الإمام الحسين خرج من المدينة يحمل مشروعاً سياسي</w:t>
      </w:r>
      <w:r w:rsidR="00B02AAB">
        <w:rPr>
          <w:rFonts w:hint="cs"/>
          <w:rtl/>
        </w:rPr>
        <w:t>ّ</w:t>
      </w:r>
      <w:r w:rsidRPr="00E4028C">
        <w:rPr>
          <w:rFonts w:hint="cs"/>
          <w:rtl/>
        </w:rPr>
        <w:t xml:space="preserve">اً في العراق، وإنّما لم يرد البيعة </w:t>
      </w:r>
      <w:r w:rsidR="00B02AAB">
        <w:rPr>
          <w:rFonts w:hint="cs"/>
          <w:rtl/>
        </w:rPr>
        <w:t xml:space="preserve">فترك المدينة بلا أملٍ في الرجوع اليها، </w:t>
      </w:r>
      <w:r w:rsidRPr="00E4028C">
        <w:rPr>
          <w:rFonts w:hint="cs"/>
          <w:rtl/>
        </w:rPr>
        <w:t>ولم يشأ أن تظلّ نساؤه وأمواله تحت رحمة القوم؛ لاحتمال ظهور مستجدّات في الأمر، لكن لما بلغته رسائل أهل الكوفة وغيرهم، بدأت تتبلور فكرة الحركة السياسي</w:t>
      </w:r>
      <w:r w:rsidR="00B02AAB">
        <w:rPr>
          <w:rFonts w:hint="cs"/>
          <w:rtl/>
        </w:rPr>
        <w:t>ّ</w:t>
      </w:r>
      <w:r w:rsidRPr="00E4028C">
        <w:rPr>
          <w:rFonts w:hint="cs"/>
          <w:rtl/>
        </w:rPr>
        <w:t xml:space="preserve">ة الثورية، فأقدم على مقدّماتها من إرسال مسلم </w:t>
      </w:r>
      <w:r w:rsidR="00B02AAB">
        <w:rPr>
          <w:rFonts w:hint="cs"/>
          <w:rtl/>
        </w:rPr>
        <w:t xml:space="preserve">بن عقيل </w:t>
      </w:r>
      <w:r w:rsidRPr="00E4028C">
        <w:rPr>
          <w:rFonts w:hint="cs"/>
          <w:rtl/>
        </w:rPr>
        <w:t>وغيره، ثم لما علم بخطّة اغتياله في مكّة استعجل خروجه، وكانت أكثر الفرص آتية من ناحية العراق، فاتجه نحوها، وبلغه استتباب الوضع فاكتملت الفكرة لأخذ العراق ومناهضة حكم الشام منه، ولمّا عادت الأخبار تنبؤ بتدهور الأوضاع لم يعد يمكن وضع برنامج سياسي مضمون، لكنّه كان يحتمل أنّ توجهه إلى العراق رغم المعطيات قد يقدّم فرصاً أكبر من توجّهه نحو أيّ بلد آخر بعد عجزه عن الرجوع إلى مكّة والمدينة، فاستمرّ يجدّ السير تحدوه الآمال بوضعٍ ما لحركة</w:t>
      </w:r>
      <w:r w:rsidR="00B02AAB">
        <w:rPr>
          <w:rFonts w:hint="cs"/>
          <w:rtl/>
        </w:rPr>
        <w:t>ٍ</w:t>
      </w:r>
      <w:r w:rsidRPr="00E4028C">
        <w:rPr>
          <w:rFonts w:hint="cs"/>
          <w:rtl/>
        </w:rPr>
        <w:t xml:space="preserve"> سياسي</w:t>
      </w:r>
      <w:r w:rsidR="00B02AAB">
        <w:rPr>
          <w:rFonts w:hint="cs"/>
          <w:rtl/>
        </w:rPr>
        <w:t>ّ</w:t>
      </w:r>
      <w:r w:rsidRPr="00E4028C">
        <w:rPr>
          <w:rFonts w:hint="cs"/>
          <w:rtl/>
        </w:rPr>
        <w:t>ة ما وإن ضعفت احتمالات نجاحها، ولمّا جاء الحرّ بن يزيد الرياحي، وتفاقمت الأوضاع، عزم على الشهادة حيث رآها السبيل الوحيد المتبقّي للنهوض بالأم</w:t>
      </w:r>
      <w:r w:rsidR="00B02AAB">
        <w:rPr>
          <w:rFonts w:hint="cs"/>
          <w:rtl/>
        </w:rPr>
        <w:t>ّ</w:t>
      </w:r>
      <w:r w:rsidRPr="00E4028C">
        <w:rPr>
          <w:rFonts w:hint="cs"/>
          <w:rtl/>
        </w:rPr>
        <w:t>ة.</w:t>
      </w:r>
    </w:p>
    <w:p w14:paraId="18CFBBAF" w14:textId="77777777" w:rsidR="00DD6401" w:rsidRPr="00E4028C" w:rsidRDefault="00DD6401" w:rsidP="00637739">
      <w:pPr>
        <w:pStyle w:val="normal930"/>
        <w:rPr>
          <w:b/>
          <w:bCs/>
          <w:rtl/>
        </w:rPr>
      </w:pPr>
      <w:r w:rsidRPr="002D6A56">
        <w:rPr>
          <w:rFonts w:hint="cs"/>
          <w:b/>
          <w:bCs/>
          <w:rtl/>
        </w:rPr>
        <w:t>من هنا؛ فهذه الملاحظات لا ترد على التفسير السياسي، بل تضيّق بعض مساحاته على امتداد المسافة الزمني</w:t>
      </w:r>
      <w:r w:rsidR="002D6A56" w:rsidRPr="002D6A56">
        <w:rPr>
          <w:rFonts w:hint="cs"/>
          <w:b/>
          <w:bCs/>
          <w:rtl/>
        </w:rPr>
        <w:t>ّ</w:t>
      </w:r>
      <w:r w:rsidRPr="002D6A56">
        <w:rPr>
          <w:rFonts w:hint="cs"/>
          <w:b/>
          <w:bCs/>
          <w:rtl/>
        </w:rPr>
        <w:t>ة لحركة الحسي</w:t>
      </w:r>
      <w:r w:rsidR="002D6A56" w:rsidRPr="002D6A56">
        <w:rPr>
          <w:rFonts w:hint="cs"/>
          <w:b/>
          <w:bCs/>
          <w:rtl/>
        </w:rPr>
        <w:t>ن</w:t>
      </w:r>
      <w:r w:rsidRPr="002D6A56">
        <w:rPr>
          <w:rFonts w:hint="cs"/>
          <w:b/>
          <w:bCs/>
          <w:rtl/>
        </w:rPr>
        <w:t>؛</w:t>
      </w:r>
      <w:r w:rsidRPr="00E4028C">
        <w:rPr>
          <w:rFonts w:hint="cs"/>
          <w:rtl/>
        </w:rPr>
        <w:t xml:space="preserve"> لهذا نعتقد أنّ أقوى مشكلة تواجه التفسير السياسي هي مشكلة النصوص الكثيرة الدالّة على إنباء النبي| وأهل البيت بشهادة الحسين</w:t>
      </w:r>
      <w:r w:rsidRPr="00763E4E">
        <w:rPr>
          <w:rFonts w:cs="Taher"/>
          <w:vertAlign w:val="superscript"/>
          <w:rtl/>
        </w:rPr>
        <w:t>(</w:t>
      </w:r>
      <w:r w:rsidRPr="00763E4E">
        <w:rPr>
          <w:rFonts w:cs="Taher"/>
          <w:vertAlign w:val="superscript"/>
          <w:rtl/>
        </w:rPr>
        <w:footnoteReference w:id="284"/>
      </w:r>
      <w:r w:rsidRPr="00763E4E">
        <w:rPr>
          <w:rFonts w:cs="Taher"/>
          <w:vertAlign w:val="superscript"/>
          <w:rtl/>
        </w:rPr>
        <w:t>)</w:t>
      </w:r>
      <w:r w:rsidRPr="00E4028C">
        <w:rPr>
          <w:rFonts w:hint="cs"/>
          <w:rtl/>
        </w:rPr>
        <w:t xml:space="preserve">، وبهذا تمتاز هذه النصوص عن قضية العلم اللدني للإمام، فإنّ ذاك العلم حيث كان خاصّاً بالإمام أمكن التمييز </w:t>
      </w:r>
      <w:r w:rsidRPr="00E4028C">
        <w:rPr>
          <w:rFonts w:hint="cs"/>
          <w:rtl/>
        </w:rPr>
        <w:lastRenderedPageBreak/>
        <w:t xml:space="preserve">فيه بين الظاهر والواقع كما أسلفنا، لكنّ هذه النصوص تخبر عن إنباء المعصومين للناس بأمر الحسين، </w:t>
      </w:r>
      <w:r w:rsidR="002D6A56">
        <w:rPr>
          <w:rFonts w:hint="cs"/>
          <w:rtl/>
        </w:rPr>
        <w:t>وإن كنّا علّقنا عليها أيضاً بما يُضعف من قوّة مقاومتها للنظريّة السياسيّة التي نراها هي النظريّة الأرجح في تفسير حركة الحسين بالتفصيل والحدود الزمنيّة التي بيّناها.</w:t>
      </w:r>
    </w:p>
    <w:p w14:paraId="745FDBD3" w14:textId="77777777" w:rsidR="00DD6401" w:rsidRPr="00236AA7" w:rsidRDefault="009125AB" w:rsidP="0096148C">
      <w:pPr>
        <w:pStyle w:val="Heading2"/>
        <w:rPr>
          <w:rtl/>
        </w:rPr>
      </w:pPr>
      <w:bookmarkStart w:id="145" w:name="_Toc307009623"/>
      <w:bookmarkStart w:id="146" w:name="_Toc143804156"/>
      <w:bookmarkStart w:id="147" w:name="_Toc238123281"/>
      <w:r>
        <w:rPr>
          <w:rFonts w:hint="cs"/>
          <w:rtl/>
        </w:rPr>
        <w:t xml:space="preserve">النظريّة الرابعة: </w:t>
      </w:r>
      <w:r w:rsidR="00DD6401" w:rsidRPr="00236AA7">
        <w:rPr>
          <w:rFonts w:hint="cs"/>
          <w:rtl/>
        </w:rPr>
        <w:t>النظري</w:t>
      </w:r>
      <w:r>
        <w:rPr>
          <w:rFonts w:hint="cs"/>
          <w:rtl/>
        </w:rPr>
        <w:t>ّ</w:t>
      </w:r>
      <w:r w:rsidR="00DD6401" w:rsidRPr="00236AA7">
        <w:rPr>
          <w:rFonts w:hint="cs"/>
          <w:rtl/>
        </w:rPr>
        <w:t>ة الرسالية الإحيائية</w:t>
      </w:r>
      <w:bookmarkEnd w:id="145"/>
      <w:bookmarkEnd w:id="146"/>
      <w:bookmarkEnd w:id="147"/>
    </w:p>
    <w:p w14:paraId="1C8110C9" w14:textId="77777777" w:rsidR="002D6A56" w:rsidRDefault="00DD6401" w:rsidP="00637739">
      <w:pPr>
        <w:pStyle w:val="normal870"/>
        <w:rPr>
          <w:rtl/>
        </w:rPr>
      </w:pPr>
      <w:r w:rsidRPr="00E4028C">
        <w:rPr>
          <w:rFonts w:hint="cs"/>
          <w:rtl/>
        </w:rPr>
        <w:t>تعرف هذه النظري</w:t>
      </w:r>
      <w:r w:rsidR="00272118">
        <w:rPr>
          <w:rFonts w:hint="cs"/>
          <w:rtl/>
        </w:rPr>
        <w:t>ّ</w:t>
      </w:r>
      <w:r w:rsidRPr="00E4028C">
        <w:rPr>
          <w:rFonts w:hint="cs"/>
          <w:rtl/>
        </w:rPr>
        <w:t>ة في الفترة المتأخ</w:t>
      </w:r>
      <w:r w:rsidR="00272118">
        <w:rPr>
          <w:rFonts w:hint="cs"/>
          <w:rtl/>
        </w:rPr>
        <w:t>ّ</w:t>
      </w:r>
      <w:r w:rsidRPr="00E4028C">
        <w:rPr>
          <w:rFonts w:hint="cs"/>
          <w:rtl/>
        </w:rPr>
        <w:t>رة، وقد اشتهرت بها مدرسة ال</w:t>
      </w:r>
      <w:r w:rsidR="002D6A56">
        <w:rPr>
          <w:rFonts w:hint="cs"/>
          <w:rtl/>
        </w:rPr>
        <w:t>سيّد</w:t>
      </w:r>
      <w:r w:rsidRPr="00E4028C">
        <w:rPr>
          <w:rFonts w:hint="cs"/>
          <w:rtl/>
        </w:rPr>
        <w:t xml:space="preserve"> محمد باقر الصدر، حيث ذكرها </w:t>
      </w:r>
      <w:r w:rsidR="002D6A56">
        <w:rPr>
          <w:rFonts w:hint="cs"/>
          <w:rtl/>
        </w:rPr>
        <w:t xml:space="preserve">الصدر </w:t>
      </w:r>
      <w:r w:rsidRPr="00E4028C">
        <w:rPr>
          <w:rFonts w:hint="cs"/>
          <w:rtl/>
        </w:rPr>
        <w:t>وشرحها تلامذته وأنصاره، كما تبنّاها غير واحد من العلماء، مع اختلاف في كيفي</w:t>
      </w:r>
      <w:r w:rsidR="002D6A56">
        <w:rPr>
          <w:rFonts w:hint="cs"/>
          <w:rtl/>
        </w:rPr>
        <w:t>ّ</w:t>
      </w:r>
      <w:r w:rsidRPr="00E4028C">
        <w:rPr>
          <w:rFonts w:hint="cs"/>
          <w:rtl/>
        </w:rPr>
        <w:t>ة التعبير</w:t>
      </w:r>
      <w:r w:rsidRPr="00763E4E">
        <w:rPr>
          <w:rFonts w:cs="Taher"/>
          <w:vertAlign w:val="superscript"/>
          <w:rtl/>
        </w:rPr>
        <w:t>(</w:t>
      </w:r>
      <w:r w:rsidRPr="00763E4E">
        <w:rPr>
          <w:rFonts w:cs="Taher"/>
          <w:vertAlign w:val="superscript"/>
          <w:rtl/>
        </w:rPr>
        <w:footnoteReference w:id="285"/>
      </w:r>
      <w:r w:rsidRPr="00763E4E">
        <w:rPr>
          <w:rFonts w:cs="Taher"/>
          <w:vertAlign w:val="superscript"/>
          <w:rtl/>
        </w:rPr>
        <w:t>)</w:t>
      </w:r>
      <w:r w:rsidR="002D6A56">
        <w:rPr>
          <w:rFonts w:hint="cs"/>
          <w:rtl/>
        </w:rPr>
        <w:t>.</w:t>
      </w:r>
      <w:r w:rsidR="002B3020">
        <w:rPr>
          <w:rFonts w:hint="cs"/>
          <w:rtl/>
        </w:rPr>
        <w:t xml:space="preserve"> وسبق إلى طرح روحها </w:t>
      </w:r>
      <w:r w:rsidR="00D7445F">
        <w:rPr>
          <w:rFonts w:hint="cs"/>
          <w:rtl/>
        </w:rPr>
        <w:t xml:space="preserve">ـ بعيداً عن ابن طاووس نفسه ـ </w:t>
      </w:r>
      <w:r w:rsidR="002B3020">
        <w:rPr>
          <w:rFonts w:hint="cs"/>
          <w:rtl/>
        </w:rPr>
        <w:t>احتمالاً تنزّليّاً المحقّقُ النجفي حيث اعتبر</w:t>
      </w:r>
      <w:r w:rsidR="00272118">
        <w:rPr>
          <w:rFonts w:hint="cs"/>
          <w:rtl/>
        </w:rPr>
        <w:t xml:space="preserve"> وهو يفكّ إ</w:t>
      </w:r>
      <w:r w:rsidR="002B3020">
        <w:rPr>
          <w:rFonts w:hint="cs"/>
          <w:rtl/>
        </w:rPr>
        <w:t>شكالي</w:t>
      </w:r>
      <w:r w:rsidR="00272118">
        <w:rPr>
          <w:rFonts w:hint="cs"/>
          <w:rtl/>
        </w:rPr>
        <w:t>ّة الإ</w:t>
      </w:r>
      <w:r w:rsidR="002B3020">
        <w:rPr>
          <w:rFonts w:hint="cs"/>
          <w:rtl/>
        </w:rPr>
        <w:t>لقاء في</w:t>
      </w:r>
      <w:r w:rsidR="00272118">
        <w:rPr>
          <w:rFonts w:hint="cs"/>
          <w:rtl/>
        </w:rPr>
        <w:t xml:space="preserve"> </w:t>
      </w:r>
      <w:r w:rsidR="002B3020">
        <w:rPr>
          <w:rFonts w:hint="cs"/>
          <w:rtl/>
        </w:rPr>
        <w:t>التهلكة في حقّ الحسين</w:t>
      </w:r>
      <w:r w:rsidR="00272118">
        <w:rPr>
          <w:rFonts w:hint="cs"/>
          <w:rtl/>
        </w:rPr>
        <w:t>،</w:t>
      </w:r>
      <w:r w:rsidR="002B3020">
        <w:rPr>
          <w:rFonts w:hint="cs"/>
          <w:rtl/>
        </w:rPr>
        <w:t xml:space="preserve"> أنّ </w:t>
      </w:r>
      <w:r w:rsidR="002B3020">
        <w:rPr>
          <w:rtl/>
        </w:rPr>
        <w:t>الحسين حفظ دين جدّه وأبان كفر الآخرين عند المؤالف والمخالف</w:t>
      </w:r>
      <w:r w:rsidR="00272118">
        <w:rPr>
          <w:rFonts w:hint="cs"/>
          <w:rtl/>
        </w:rPr>
        <w:t xml:space="preserve">، </w:t>
      </w:r>
      <w:r w:rsidR="002B3020">
        <w:rPr>
          <w:rtl/>
        </w:rPr>
        <w:t>ودليل الإلقاء في التهلكة لا يخرج عن دلالته على التحريم إلا بمصلحة أقوى، لهذا قد تكون هناك ضروراتٌ ما فرضت الموقف</w:t>
      </w:r>
      <w:r w:rsidR="00272118" w:rsidRPr="00763E4E">
        <w:rPr>
          <w:rFonts w:cs="Taher"/>
          <w:vertAlign w:val="superscript"/>
          <w:rtl/>
        </w:rPr>
        <w:t>(</w:t>
      </w:r>
      <w:r w:rsidR="00272118" w:rsidRPr="00763E4E">
        <w:rPr>
          <w:rFonts w:cs="Taher"/>
          <w:vertAlign w:val="superscript"/>
          <w:rtl/>
        </w:rPr>
        <w:footnoteReference w:id="286"/>
      </w:r>
      <w:r w:rsidR="00272118" w:rsidRPr="00763E4E">
        <w:rPr>
          <w:rFonts w:cs="Taher"/>
          <w:vertAlign w:val="superscript"/>
          <w:rtl/>
        </w:rPr>
        <w:t>)</w:t>
      </w:r>
      <w:r w:rsidR="002B3020">
        <w:rPr>
          <w:rtl/>
        </w:rPr>
        <w:t>.</w:t>
      </w:r>
    </w:p>
    <w:p w14:paraId="1E6DAE7C" w14:textId="77777777" w:rsidR="00DD6401" w:rsidRDefault="00DD6401" w:rsidP="00637739">
      <w:pPr>
        <w:pStyle w:val="normal870"/>
        <w:rPr>
          <w:rtl/>
        </w:rPr>
      </w:pPr>
      <w:r w:rsidRPr="00E4028C">
        <w:rPr>
          <w:rFonts w:hint="cs"/>
          <w:rtl/>
        </w:rPr>
        <w:t>وتذهب هذه النظري</w:t>
      </w:r>
      <w:r w:rsidR="002D6A56">
        <w:rPr>
          <w:rFonts w:hint="cs"/>
          <w:rtl/>
        </w:rPr>
        <w:t>ّ</w:t>
      </w:r>
      <w:r w:rsidRPr="00E4028C">
        <w:rPr>
          <w:rFonts w:hint="cs"/>
          <w:rtl/>
        </w:rPr>
        <w:t>ة إلى أن</w:t>
      </w:r>
      <w:r w:rsidR="002D6A56">
        <w:rPr>
          <w:rFonts w:hint="cs"/>
          <w:rtl/>
        </w:rPr>
        <w:t>ّ</w:t>
      </w:r>
      <w:r w:rsidRPr="00E4028C">
        <w:rPr>
          <w:rFonts w:hint="cs"/>
          <w:rtl/>
        </w:rPr>
        <w:t xml:space="preserve"> التفسير السياسي ـ على صحّته ـ يجعل حركة الحسين× محدودة</w:t>
      </w:r>
      <w:r w:rsidR="002D6A56">
        <w:rPr>
          <w:rFonts w:hint="cs"/>
          <w:rtl/>
        </w:rPr>
        <w:t>ً</w:t>
      </w:r>
      <w:r w:rsidRPr="00E4028C">
        <w:rPr>
          <w:rFonts w:hint="cs"/>
          <w:rtl/>
        </w:rPr>
        <w:t xml:space="preserve"> </w:t>
      </w:r>
      <w:r w:rsidR="00B2778F">
        <w:rPr>
          <w:rFonts w:hint="cs"/>
          <w:rtl/>
        </w:rPr>
        <w:t>ز</w:t>
      </w:r>
      <w:r w:rsidRPr="00E4028C">
        <w:rPr>
          <w:rFonts w:hint="cs"/>
          <w:rtl/>
        </w:rPr>
        <w:t>مكانياً، فيما التفسير الرسالي يعطيها بُعداً عملياً وتاريخياً</w:t>
      </w:r>
      <w:r w:rsidR="00B2778F">
        <w:rPr>
          <w:rFonts w:hint="cs"/>
          <w:rtl/>
        </w:rPr>
        <w:t xml:space="preserve"> فيوسّع حضورها التاريخي</w:t>
      </w:r>
      <w:r w:rsidRPr="00E4028C">
        <w:rPr>
          <w:rFonts w:hint="cs"/>
          <w:rtl/>
        </w:rPr>
        <w:t>. وخلاصة هذا التفسير أن</w:t>
      </w:r>
      <w:r w:rsidR="002D6A56">
        <w:rPr>
          <w:rFonts w:hint="cs"/>
          <w:rtl/>
        </w:rPr>
        <w:t>ّ</w:t>
      </w:r>
      <w:r w:rsidRPr="00E4028C">
        <w:rPr>
          <w:rFonts w:hint="cs"/>
          <w:rtl/>
        </w:rPr>
        <w:t xml:space="preserve"> </w:t>
      </w:r>
      <w:r w:rsidR="004A6B78">
        <w:rPr>
          <w:rFonts w:hint="cs"/>
          <w:rtl/>
        </w:rPr>
        <w:t xml:space="preserve">عليّاً والحسن كانا يواجهان مشكلة الشكّ وعدم الوضوح في الأمّة، بينما </w:t>
      </w:r>
      <w:r w:rsidRPr="00E4028C">
        <w:rPr>
          <w:rFonts w:hint="cs"/>
          <w:rtl/>
        </w:rPr>
        <w:t>الحسين كان يواجه في الأم</w:t>
      </w:r>
      <w:r w:rsidR="002D6A56">
        <w:rPr>
          <w:rFonts w:hint="cs"/>
          <w:rtl/>
        </w:rPr>
        <w:t>ّ</w:t>
      </w:r>
      <w:r w:rsidRPr="00E4028C">
        <w:rPr>
          <w:rFonts w:hint="cs"/>
          <w:rtl/>
        </w:rPr>
        <w:t>ة مرض موت الضمير، وفتور الهمم، وضياع القيم، ففي فترة العشرين عاماً بعد شهادة علي</w:t>
      </w:r>
      <w:r w:rsidR="002D6A56">
        <w:rPr>
          <w:rFonts w:hint="cs"/>
          <w:rtl/>
        </w:rPr>
        <w:t>ّ</w:t>
      </w:r>
      <w:r w:rsidRPr="00E4028C">
        <w:rPr>
          <w:rFonts w:hint="cs"/>
          <w:rtl/>
        </w:rPr>
        <w:t xml:space="preserve"> قام معاوية بحرف وعي الأم</w:t>
      </w:r>
      <w:r w:rsidR="002D6A56">
        <w:rPr>
          <w:rFonts w:hint="cs"/>
          <w:rtl/>
        </w:rPr>
        <w:t>ّ</w:t>
      </w:r>
      <w:r w:rsidRPr="00E4028C">
        <w:rPr>
          <w:rFonts w:hint="cs"/>
          <w:rtl/>
        </w:rPr>
        <w:t xml:space="preserve">ة، وكسر عنفوانها، وقتل روح العزّة والشموخ فيها، </w:t>
      </w:r>
      <w:r w:rsidR="00544229" w:rsidRPr="00A11B78">
        <w:rPr>
          <w:rFonts w:hint="cs"/>
          <w:b/>
          <w:bCs/>
          <w:rtl/>
        </w:rPr>
        <w:t>فالأمّة باتت تعيش أزمة إرادة لا أزمة معرفة</w:t>
      </w:r>
      <w:r w:rsidR="00A11B78">
        <w:rPr>
          <w:rFonts w:hint="cs"/>
          <w:b/>
          <w:bCs/>
          <w:rtl/>
        </w:rPr>
        <w:t>؛</w:t>
      </w:r>
      <w:r w:rsidR="00544229">
        <w:rPr>
          <w:rFonts w:hint="cs"/>
          <w:rtl/>
        </w:rPr>
        <w:t xml:space="preserve"> لأنّها تعرف أنّ الحسين على حقّ ويزيد على باطل، لكنّ الإرادة قد ماتت، </w:t>
      </w:r>
      <w:r w:rsidRPr="00E4028C">
        <w:rPr>
          <w:rFonts w:hint="cs"/>
          <w:rtl/>
        </w:rPr>
        <w:t>وبهذا تكون الثورة بهدف الاستشهاد كي يصحو ضمير الأم</w:t>
      </w:r>
      <w:r w:rsidR="002D6A56">
        <w:rPr>
          <w:rFonts w:hint="cs"/>
          <w:rtl/>
        </w:rPr>
        <w:t>ّ</w:t>
      </w:r>
      <w:r w:rsidRPr="00E4028C">
        <w:rPr>
          <w:rFonts w:hint="cs"/>
          <w:rtl/>
        </w:rPr>
        <w:t>ة، ويهتزّ كيانها، بمنظر</w:t>
      </w:r>
      <w:r w:rsidR="002D6A56">
        <w:rPr>
          <w:rFonts w:hint="cs"/>
          <w:rtl/>
        </w:rPr>
        <w:t>ٍ</w:t>
      </w:r>
      <w:r w:rsidRPr="00E4028C">
        <w:rPr>
          <w:rFonts w:hint="cs"/>
          <w:rtl/>
        </w:rPr>
        <w:t xml:space="preserve"> مأساوي فجيع، يعيدها حي</w:t>
      </w:r>
      <w:r w:rsidR="002D6A56">
        <w:rPr>
          <w:rFonts w:hint="cs"/>
          <w:rtl/>
        </w:rPr>
        <w:t>ّ</w:t>
      </w:r>
      <w:r w:rsidRPr="00E4028C">
        <w:rPr>
          <w:rFonts w:hint="cs"/>
          <w:rtl/>
        </w:rPr>
        <w:t xml:space="preserve">ةً من جديد، لتعيد إحياء الإسلام، وبعث الروح </w:t>
      </w:r>
      <w:r w:rsidRPr="00E4028C">
        <w:rPr>
          <w:rFonts w:hint="cs"/>
          <w:rtl/>
        </w:rPr>
        <w:lastRenderedPageBreak/>
        <w:t>الرسالي</w:t>
      </w:r>
      <w:r w:rsidR="002D6A56">
        <w:rPr>
          <w:rFonts w:hint="cs"/>
          <w:rtl/>
        </w:rPr>
        <w:t>ّ</w:t>
      </w:r>
      <w:r w:rsidR="00A11B78">
        <w:rPr>
          <w:rFonts w:hint="cs"/>
          <w:rtl/>
        </w:rPr>
        <w:t>ة.</w:t>
      </w:r>
      <w:r w:rsidRPr="00E4028C">
        <w:rPr>
          <w:rFonts w:hint="cs"/>
          <w:rtl/>
        </w:rPr>
        <w:t xml:space="preserve"> وتلك النصوص كلّها التي تتحدّث عن إرادته إصلاح الأمور يمكن تفسيرها أيضاً بهذا التفسير، وهذا ما حصل فعلاً، كيف اهتزّ ضمير الأمة بعد شهادته بحركة التوابين وأحداث مكة والمدينة وغيرها</w:t>
      </w:r>
      <w:r w:rsidRPr="00763E4E">
        <w:rPr>
          <w:rFonts w:cs="Taher"/>
          <w:vertAlign w:val="superscript"/>
          <w:rtl/>
        </w:rPr>
        <w:t>(</w:t>
      </w:r>
      <w:r w:rsidRPr="00763E4E">
        <w:rPr>
          <w:rFonts w:cs="Taher"/>
          <w:vertAlign w:val="superscript"/>
          <w:rtl/>
        </w:rPr>
        <w:footnoteReference w:id="287"/>
      </w:r>
      <w:r w:rsidRPr="00763E4E">
        <w:rPr>
          <w:rFonts w:cs="Taher"/>
          <w:vertAlign w:val="superscript"/>
          <w:rtl/>
        </w:rPr>
        <w:t>)</w:t>
      </w:r>
      <w:r w:rsidRPr="00E4028C">
        <w:rPr>
          <w:rtl/>
        </w:rPr>
        <w:t xml:space="preserve">، </w:t>
      </w:r>
      <w:r w:rsidRPr="00E4028C">
        <w:rPr>
          <w:rFonts w:hint="cs"/>
          <w:rtl/>
        </w:rPr>
        <w:t>وبه نجمع بين كلّ الروايات الغيبي</w:t>
      </w:r>
      <w:r w:rsidR="00B2778F">
        <w:rPr>
          <w:rFonts w:hint="cs"/>
          <w:rtl/>
        </w:rPr>
        <w:t>ّ</w:t>
      </w:r>
      <w:r w:rsidRPr="00E4028C">
        <w:rPr>
          <w:rFonts w:hint="cs"/>
          <w:rtl/>
        </w:rPr>
        <w:t xml:space="preserve">ة </w:t>
      </w:r>
      <w:r w:rsidR="00B2778F">
        <w:rPr>
          <w:rFonts w:hint="cs"/>
          <w:rtl/>
        </w:rPr>
        <w:t>والمستقبليّة والمعطيات السياسيّة و</w:t>
      </w:r>
      <w:r w:rsidRPr="00E4028C">
        <w:rPr>
          <w:rFonts w:hint="cs"/>
          <w:rtl/>
        </w:rPr>
        <w:t>الميدانية، ولا نقع في أيّ محذور يخصّ علم الإمام.</w:t>
      </w:r>
    </w:p>
    <w:p w14:paraId="70CB9F1D" w14:textId="77777777" w:rsidR="009125AB" w:rsidRPr="009125AB" w:rsidRDefault="009125AB" w:rsidP="0096148C">
      <w:pPr>
        <w:pStyle w:val="Heading3"/>
        <w:rPr>
          <w:rtl/>
        </w:rPr>
      </w:pPr>
      <w:bookmarkStart w:id="148" w:name="_Toc143804157"/>
      <w:bookmarkStart w:id="149" w:name="_Toc238123282"/>
      <w:r w:rsidRPr="009125AB">
        <w:rPr>
          <w:rFonts w:hint="cs"/>
          <w:rtl/>
        </w:rPr>
        <w:t>من جوانب الضعف والقصور في النظريّة الإحيائيّة</w:t>
      </w:r>
      <w:bookmarkEnd w:id="148"/>
      <w:bookmarkEnd w:id="149"/>
    </w:p>
    <w:p w14:paraId="4EA41418" w14:textId="77777777" w:rsidR="00DD6401" w:rsidRDefault="00DD6401" w:rsidP="00B2778F">
      <w:pPr>
        <w:pStyle w:val="Space1"/>
        <w:rPr>
          <w:rtl/>
        </w:rPr>
      </w:pPr>
      <w:r w:rsidRPr="002D6A56">
        <w:rPr>
          <w:rFonts w:hint="cs"/>
          <w:b/>
          <w:bCs/>
          <w:rtl/>
        </w:rPr>
        <w:t>هذه النظري</w:t>
      </w:r>
      <w:r w:rsidR="002D6A56" w:rsidRPr="002D6A56">
        <w:rPr>
          <w:rFonts w:hint="cs"/>
          <w:b/>
          <w:bCs/>
          <w:rtl/>
        </w:rPr>
        <w:t>ّ</w:t>
      </w:r>
      <w:r w:rsidRPr="002D6A56">
        <w:rPr>
          <w:rFonts w:hint="cs"/>
          <w:b/>
          <w:bCs/>
          <w:rtl/>
        </w:rPr>
        <w:t>ة من النظريات التي تحمل افتراضاً منطقياً في الثقافة الدينية، إلا أن</w:t>
      </w:r>
      <w:r w:rsidR="002D6A56" w:rsidRPr="002D6A56">
        <w:rPr>
          <w:rFonts w:hint="cs"/>
          <w:b/>
          <w:bCs/>
          <w:rtl/>
        </w:rPr>
        <w:t>ّ</w:t>
      </w:r>
      <w:r w:rsidRPr="002D6A56">
        <w:rPr>
          <w:rFonts w:hint="cs"/>
          <w:b/>
          <w:bCs/>
          <w:rtl/>
        </w:rPr>
        <w:t>ه إذا است</w:t>
      </w:r>
      <w:r w:rsidR="002D6A56" w:rsidRPr="002D6A56">
        <w:rPr>
          <w:rFonts w:hint="cs"/>
          <w:b/>
          <w:bCs/>
          <w:rtl/>
        </w:rPr>
        <w:t>ُ</w:t>
      </w:r>
      <w:r w:rsidRPr="002D6A56">
        <w:rPr>
          <w:rFonts w:hint="cs"/>
          <w:b/>
          <w:bCs/>
          <w:rtl/>
        </w:rPr>
        <w:t>بعدت نظري</w:t>
      </w:r>
      <w:r w:rsidR="002D6A56" w:rsidRPr="002D6A56">
        <w:rPr>
          <w:rFonts w:hint="cs"/>
          <w:b/>
          <w:bCs/>
          <w:rtl/>
        </w:rPr>
        <w:t>ّ</w:t>
      </w:r>
      <w:r w:rsidRPr="002D6A56">
        <w:rPr>
          <w:rFonts w:hint="cs"/>
          <w:b/>
          <w:bCs/>
          <w:rtl/>
        </w:rPr>
        <w:t xml:space="preserve">ة علم الإمام، إما من أصلها أو توظيفها كما أشرنا سابقاً، إلى جانب إنكار الروايات الدالّة على التنبؤ بشهادته من قبل الرسول </w:t>
      </w:r>
      <w:r w:rsidR="002D6A56" w:rsidRPr="002D6A56">
        <w:rPr>
          <w:rFonts w:hint="cs"/>
          <w:b/>
          <w:bCs/>
          <w:rtl/>
        </w:rPr>
        <w:t xml:space="preserve">أو إعادة تفسيرها بالطريقة التي قدّمناها، </w:t>
      </w:r>
      <w:r w:rsidRPr="002D6A56">
        <w:rPr>
          <w:rFonts w:hint="cs"/>
          <w:b/>
          <w:bCs/>
          <w:rtl/>
        </w:rPr>
        <w:t>فإنّ هذه النظرية ستغدو خلاف ظاهر النصوص والأحداث، ولا شاهد لها،</w:t>
      </w:r>
      <w:r w:rsidRPr="00E4028C">
        <w:rPr>
          <w:rFonts w:hint="cs"/>
          <w:rtl/>
        </w:rPr>
        <w:t xml:space="preserve"> بل الشيء الذي يفهمه أيّ قارئ للتاريخ هنا ـ بعيداً عن القراءات الأيديولوجية المسبقة ـ هو الاقتراب من الفهم السياسي أو الفرار من البيعة؛ إذ ليس هناك نصّ واضح أو موقف صريح يبيّن هذا الهدف الحسيني، فهو عملي</w:t>
      </w:r>
      <w:r w:rsidR="002D6A56">
        <w:rPr>
          <w:rFonts w:hint="cs"/>
          <w:rtl/>
        </w:rPr>
        <w:t>ّ</w:t>
      </w:r>
      <w:r w:rsidRPr="00E4028C">
        <w:rPr>
          <w:rFonts w:hint="cs"/>
          <w:rtl/>
        </w:rPr>
        <w:t xml:space="preserve">ة تأويلية، </w:t>
      </w:r>
      <w:r w:rsidR="003E71B7">
        <w:rPr>
          <w:rFonts w:hint="cs"/>
          <w:rtl/>
        </w:rPr>
        <w:t xml:space="preserve">تهدف فضّ الاشتباك بين النظريّة الغيبية والنظريّة السياسيّة عبر طريقة جمع تجعل الشهادة ذات معنى، خلافاً لما فهمه صالحي نجف آبادي، وتعطيها دلالة معقولة، خلافاً لنظريّة نفي التعقيل، </w:t>
      </w:r>
      <w:r w:rsidR="001517A3" w:rsidRPr="001517A3">
        <w:rPr>
          <w:rFonts w:hint="cs"/>
          <w:b/>
          <w:bCs/>
          <w:rtl/>
        </w:rPr>
        <w:t>وبهذا يمكن اعتبارها ضرورة</w:t>
      </w:r>
      <w:r w:rsidR="001517A3">
        <w:rPr>
          <w:rFonts w:hint="cs"/>
          <w:b/>
          <w:bCs/>
          <w:rtl/>
        </w:rPr>
        <w:t>ً</w:t>
      </w:r>
      <w:r w:rsidR="001517A3" w:rsidRPr="001517A3">
        <w:rPr>
          <w:rFonts w:hint="cs"/>
          <w:b/>
          <w:bCs/>
          <w:rtl/>
        </w:rPr>
        <w:t xml:space="preserve"> نظري</w:t>
      </w:r>
      <w:r w:rsidR="001517A3">
        <w:rPr>
          <w:rFonts w:hint="cs"/>
          <w:b/>
          <w:bCs/>
          <w:rtl/>
        </w:rPr>
        <w:t>ّة، بمعنى أ</w:t>
      </w:r>
      <w:r w:rsidR="001517A3" w:rsidRPr="001517A3">
        <w:rPr>
          <w:rFonts w:hint="cs"/>
          <w:b/>
          <w:bCs/>
          <w:rtl/>
        </w:rPr>
        <w:t>نّ المعطيات تشابكت ففرضت الضرورة</w:t>
      </w:r>
      <w:r w:rsidR="001517A3">
        <w:rPr>
          <w:rFonts w:hint="cs"/>
          <w:b/>
          <w:bCs/>
          <w:rtl/>
        </w:rPr>
        <w:t>ٌ</w:t>
      </w:r>
      <w:r w:rsidR="001517A3" w:rsidRPr="001517A3">
        <w:rPr>
          <w:rFonts w:hint="cs"/>
          <w:b/>
          <w:bCs/>
          <w:rtl/>
        </w:rPr>
        <w:t xml:space="preserve"> فرضي</w:t>
      </w:r>
      <w:r w:rsidR="001517A3">
        <w:rPr>
          <w:rFonts w:hint="cs"/>
          <w:b/>
          <w:bCs/>
          <w:rtl/>
        </w:rPr>
        <w:t>ّ</w:t>
      </w:r>
      <w:r w:rsidR="001517A3" w:rsidRPr="001517A3">
        <w:rPr>
          <w:rFonts w:hint="cs"/>
          <w:b/>
          <w:bCs/>
          <w:rtl/>
        </w:rPr>
        <w:t>ة</w:t>
      </w:r>
      <w:r w:rsidR="001517A3">
        <w:rPr>
          <w:rFonts w:hint="cs"/>
          <w:b/>
          <w:bCs/>
          <w:rtl/>
        </w:rPr>
        <w:t>ً</w:t>
      </w:r>
      <w:r w:rsidR="001517A3" w:rsidRPr="001517A3">
        <w:rPr>
          <w:rFonts w:hint="cs"/>
          <w:b/>
          <w:bCs/>
          <w:rtl/>
        </w:rPr>
        <w:t xml:space="preserve"> من هذا النوع لفض</w:t>
      </w:r>
      <w:r w:rsidR="001517A3">
        <w:rPr>
          <w:rFonts w:hint="cs"/>
          <w:b/>
          <w:bCs/>
          <w:rtl/>
        </w:rPr>
        <w:t>ّ</w:t>
      </w:r>
      <w:r w:rsidR="001517A3" w:rsidRPr="001517A3">
        <w:rPr>
          <w:rFonts w:hint="cs"/>
          <w:b/>
          <w:bCs/>
          <w:rtl/>
        </w:rPr>
        <w:t xml:space="preserve"> الاشتباك،</w:t>
      </w:r>
      <w:r w:rsidR="001517A3">
        <w:rPr>
          <w:rFonts w:hint="cs"/>
          <w:rtl/>
        </w:rPr>
        <w:t xml:space="preserve"> </w:t>
      </w:r>
      <w:r w:rsidR="003E71B7">
        <w:rPr>
          <w:rFonts w:hint="cs"/>
          <w:rtl/>
        </w:rPr>
        <w:t xml:space="preserve">وهذا كلّه على خلاف </w:t>
      </w:r>
      <w:r w:rsidRPr="00E4028C">
        <w:rPr>
          <w:rFonts w:hint="cs"/>
          <w:rtl/>
        </w:rPr>
        <w:t>نظري</w:t>
      </w:r>
      <w:r w:rsidR="002D6A56">
        <w:rPr>
          <w:rFonts w:hint="cs"/>
          <w:rtl/>
        </w:rPr>
        <w:t>ّ</w:t>
      </w:r>
      <w:r w:rsidRPr="00E4028C">
        <w:rPr>
          <w:rFonts w:hint="cs"/>
          <w:rtl/>
        </w:rPr>
        <w:t>ة هدفي</w:t>
      </w:r>
      <w:r w:rsidR="002D6A56">
        <w:rPr>
          <w:rFonts w:hint="cs"/>
          <w:rtl/>
        </w:rPr>
        <w:t>ّ</w:t>
      </w:r>
      <w:r w:rsidRPr="00E4028C">
        <w:rPr>
          <w:rFonts w:hint="cs"/>
          <w:rtl/>
        </w:rPr>
        <w:t>ة</w:t>
      </w:r>
      <w:r w:rsidR="002D6A56">
        <w:rPr>
          <w:rFonts w:hint="cs"/>
          <w:rtl/>
        </w:rPr>
        <w:t>ِ</w:t>
      </w:r>
      <w:r w:rsidRPr="00E4028C">
        <w:rPr>
          <w:rFonts w:hint="cs"/>
          <w:rtl/>
        </w:rPr>
        <w:t xml:space="preserve"> تغيير الواقع أو </w:t>
      </w:r>
      <w:r w:rsidR="003E71B7">
        <w:rPr>
          <w:rFonts w:hint="cs"/>
          <w:rtl/>
        </w:rPr>
        <w:t xml:space="preserve">تجنّب </w:t>
      </w:r>
      <w:r w:rsidRPr="00E4028C">
        <w:rPr>
          <w:rFonts w:hint="cs"/>
          <w:rtl/>
        </w:rPr>
        <w:t xml:space="preserve">البيعة، فهي أقرب لدلالة النصوص </w:t>
      </w:r>
      <w:r w:rsidR="002D6A56">
        <w:rPr>
          <w:rFonts w:hint="cs"/>
          <w:rtl/>
        </w:rPr>
        <w:t xml:space="preserve">والوقائع </w:t>
      </w:r>
      <w:r w:rsidRPr="00E4028C">
        <w:rPr>
          <w:rFonts w:hint="cs"/>
          <w:rtl/>
        </w:rPr>
        <w:t>بدون توسّط مفهوم غير مختز</w:t>
      </w:r>
      <w:r w:rsidR="002D6A56">
        <w:rPr>
          <w:rFonts w:hint="cs"/>
          <w:rtl/>
        </w:rPr>
        <w:t>َ</w:t>
      </w:r>
      <w:r w:rsidRPr="00E4028C">
        <w:rPr>
          <w:rFonts w:hint="cs"/>
          <w:rtl/>
        </w:rPr>
        <w:t xml:space="preserve">ن في النص </w:t>
      </w:r>
      <w:r w:rsidR="00B2778F">
        <w:rPr>
          <w:rFonts w:hint="cs"/>
          <w:rtl/>
        </w:rPr>
        <w:t xml:space="preserve">أو الحدث </w:t>
      </w:r>
      <w:r w:rsidRPr="00E4028C">
        <w:rPr>
          <w:rFonts w:hint="cs"/>
          <w:rtl/>
        </w:rPr>
        <w:t xml:space="preserve">نفسه؛ وعليه، فمعيار البحث في هذا الموضوع هو النصوص المذكورة ودراستها من ناحية </w:t>
      </w:r>
      <w:r w:rsidR="002D6A56">
        <w:rPr>
          <w:rFonts w:hint="cs"/>
          <w:rtl/>
        </w:rPr>
        <w:t xml:space="preserve">المصادر والأسانيد </w:t>
      </w:r>
      <w:r w:rsidRPr="00E4028C">
        <w:rPr>
          <w:rFonts w:hint="cs"/>
          <w:rtl/>
        </w:rPr>
        <w:t>والمت</w:t>
      </w:r>
      <w:r w:rsidR="002D6A56">
        <w:rPr>
          <w:rFonts w:hint="cs"/>
          <w:rtl/>
        </w:rPr>
        <w:t>و</w:t>
      </w:r>
      <w:r w:rsidRPr="00E4028C">
        <w:rPr>
          <w:rFonts w:hint="cs"/>
          <w:rtl/>
        </w:rPr>
        <w:t>ن، إلى جانب الرصد التاريخي لها. بعد أن تحد</w:t>
      </w:r>
      <w:r w:rsidR="002D6A56">
        <w:rPr>
          <w:rFonts w:hint="cs"/>
          <w:rtl/>
        </w:rPr>
        <w:t>ّ</w:t>
      </w:r>
      <w:r w:rsidRPr="00E4028C">
        <w:rPr>
          <w:rFonts w:hint="cs"/>
          <w:rtl/>
        </w:rPr>
        <w:t>ثنا عن سائر المعطيات والشواهد التي تقف لصالح التفسيرات الثلاثة السابقة أو ضدّها، فلا نعيد.</w:t>
      </w:r>
    </w:p>
    <w:p w14:paraId="07A3C09A" w14:textId="77777777" w:rsidR="00C97D9D" w:rsidRDefault="00C97D9D" w:rsidP="00C97D9D">
      <w:pPr>
        <w:pStyle w:val="Space1"/>
        <w:rPr>
          <w:rtl/>
        </w:rPr>
      </w:pPr>
      <w:r w:rsidRPr="00C97D9D">
        <w:rPr>
          <w:rFonts w:hint="cs"/>
          <w:b/>
          <w:bCs/>
          <w:rtl/>
        </w:rPr>
        <w:t>بل قد يقال</w:t>
      </w:r>
      <w:r>
        <w:rPr>
          <w:rFonts w:hint="cs"/>
          <w:rtl/>
        </w:rPr>
        <w:t xml:space="preserve"> بأنّه لو كان الهدفُ هو الثورة على بني أميّة بعد إحياء ضمير الأمّة، فلماذا نجد أنّ </w:t>
      </w:r>
      <w:r>
        <w:rPr>
          <w:rFonts w:hint="cs"/>
          <w:rtl/>
        </w:rPr>
        <w:lastRenderedPageBreak/>
        <w:t>هذه الثورات التي وقعت كثورات التوابين وغيرها لم تكن بموافقة أهل البيت كالإمام زين العابدين ثمّ الإمام الباقر وفقاً للرأي السائد؟! إلا إذا قصد من إحياء ضمير الأمّة بقاء ضميرها حيّاً بثقافة الثورة عبر العصور، أو أنّ خللاً ما قد حدث بعد تحقّق إحياء ضميرها.</w:t>
      </w:r>
    </w:p>
    <w:p w14:paraId="30208C4B" w14:textId="77777777" w:rsidR="00D7445F" w:rsidRDefault="00D7445F" w:rsidP="009847B0">
      <w:pPr>
        <w:pStyle w:val="Space1"/>
        <w:rPr>
          <w:rtl/>
        </w:rPr>
      </w:pPr>
      <w:r w:rsidRPr="009847B0">
        <w:rPr>
          <w:rFonts w:hint="cs"/>
          <w:b/>
          <w:bCs/>
          <w:rtl/>
        </w:rPr>
        <w:t>وقد ناقش بعض</w:t>
      </w:r>
      <w:r w:rsidR="009847B0">
        <w:rPr>
          <w:rFonts w:hint="cs"/>
          <w:b/>
          <w:bCs/>
          <w:rtl/>
        </w:rPr>
        <w:t>ٌ</w:t>
      </w:r>
      <w:r w:rsidRPr="009847B0">
        <w:rPr>
          <w:rFonts w:hint="cs"/>
          <w:b/>
          <w:bCs/>
          <w:rtl/>
        </w:rPr>
        <w:t xml:space="preserve"> هذه النظريّ</w:t>
      </w:r>
      <w:r w:rsidR="009847B0">
        <w:rPr>
          <w:rFonts w:hint="cs"/>
          <w:b/>
          <w:bCs/>
          <w:rtl/>
        </w:rPr>
        <w:t>ة</w:t>
      </w:r>
      <w:r w:rsidRPr="009847B0">
        <w:rPr>
          <w:rFonts w:hint="cs"/>
          <w:b/>
          <w:bCs/>
          <w:rtl/>
        </w:rPr>
        <w:t xml:space="preserve"> </w:t>
      </w:r>
      <w:r>
        <w:rPr>
          <w:rFonts w:hint="cs"/>
          <w:rtl/>
        </w:rPr>
        <w:t>بأنّها غير م</w:t>
      </w:r>
      <w:r w:rsidR="009847B0">
        <w:rPr>
          <w:rFonts w:hint="cs"/>
          <w:rtl/>
        </w:rPr>
        <w:t>ع</w:t>
      </w:r>
      <w:r>
        <w:rPr>
          <w:rFonts w:hint="cs"/>
          <w:rtl/>
        </w:rPr>
        <w:t>قولة</w:t>
      </w:r>
      <w:r w:rsidR="009847B0">
        <w:rPr>
          <w:rFonts w:hint="cs"/>
          <w:rtl/>
        </w:rPr>
        <w:t>؛ إ</w:t>
      </w:r>
      <w:r>
        <w:rPr>
          <w:rFonts w:hint="cs"/>
          <w:rtl/>
        </w:rPr>
        <w:t xml:space="preserve">ذ ألم </w:t>
      </w:r>
      <w:r w:rsidR="009847B0">
        <w:rPr>
          <w:rFonts w:hint="cs"/>
          <w:rtl/>
        </w:rPr>
        <w:t xml:space="preserve">تأتِ </w:t>
      </w:r>
      <w:r>
        <w:rPr>
          <w:rFonts w:hint="cs"/>
          <w:rtl/>
        </w:rPr>
        <w:t>فرصة</w:t>
      </w:r>
      <w:r w:rsidR="009847B0">
        <w:rPr>
          <w:rFonts w:hint="cs"/>
          <w:rtl/>
        </w:rPr>
        <w:t>ٌ</w:t>
      </w:r>
      <w:r>
        <w:rPr>
          <w:rFonts w:hint="cs"/>
          <w:rtl/>
        </w:rPr>
        <w:t xml:space="preserve"> من هذا القبيل مع شخص</w:t>
      </w:r>
      <w:r w:rsidR="009847B0">
        <w:rPr>
          <w:rFonts w:hint="cs"/>
          <w:rtl/>
        </w:rPr>
        <w:t>ٍ</w:t>
      </w:r>
      <w:r>
        <w:rPr>
          <w:rFonts w:hint="cs"/>
          <w:rtl/>
        </w:rPr>
        <w:t xml:space="preserve"> من أهل البيت</w:t>
      </w:r>
      <w:r w:rsidR="009847B0">
        <w:rPr>
          <w:rFonts w:hint="cs"/>
          <w:rtl/>
        </w:rPr>
        <w:t xml:space="preserve"> بعد الحسين كي يقوم بنفس عمل ال</w:t>
      </w:r>
      <w:r>
        <w:rPr>
          <w:rFonts w:hint="cs"/>
          <w:rtl/>
        </w:rPr>
        <w:t>حسين؟!</w:t>
      </w:r>
      <w:r w:rsidR="009847B0">
        <w:rPr>
          <w:rFonts w:hint="cs"/>
          <w:rtl/>
        </w:rPr>
        <w:t xml:space="preserve"> ف</w:t>
      </w:r>
      <w:r>
        <w:rPr>
          <w:rFonts w:hint="cs"/>
          <w:rtl/>
        </w:rPr>
        <w:t>لماذا لم تتكر</w:t>
      </w:r>
      <w:r w:rsidR="009847B0">
        <w:rPr>
          <w:rFonts w:hint="cs"/>
          <w:rtl/>
        </w:rPr>
        <w:t>ّ</w:t>
      </w:r>
      <w:r>
        <w:rPr>
          <w:rFonts w:hint="cs"/>
          <w:rtl/>
        </w:rPr>
        <w:t>ر هذه التجربة إطلاقاً</w:t>
      </w:r>
      <w:r w:rsidR="009847B0">
        <w:rPr>
          <w:rFonts w:hint="cs"/>
          <w:rtl/>
        </w:rPr>
        <w:t>؟!</w:t>
      </w:r>
      <w:r w:rsidRPr="00763E4E">
        <w:rPr>
          <w:rFonts w:cs="Taher"/>
          <w:vertAlign w:val="superscript"/>
          <w:rtl/>
        </w:rPr>
        <w:t>(</w:t>
      </w:r>
      <w:r w:rsidRPr="00763E4E">
        <w:rPr>
          <w:rFonts w:cs="Taher"/>
          <w:vertAlign w:val="superscript"/>
          <w:rtl/>
        </w:rPr>
        <w:footnoteReference w:id="288"/>
      </w:r>
      <w:r w:rsidRPr="00763E4E">
        <w:rPr>
          <w:rFonts w:cs="Taher"/>
          <w:vertAlign w:val="superscript"/>
          <w:rtl/>
        </w:rPr>
        <w:t>)</w:t>
      </w:r>
      <w:r>
        <w:rPr>
          <w:rFonts w:hint="cs"/>
          <w:rtl/>
        </w:rPr>
        <w:t>.</w:t>
      </w:r>
    </w:p>
    <w:p w14:paraId="6BB2E37F" w14:textId="77777777" w:rsidR="00D7445F" w:rsidRDefault="00D7445F" w:rsidP="00637739">
      <w:pPr>
        <w:rPr>
          <w:rtl/>
        </w:rPr>
      </w:pPr>
      <w:r w:rsidRPr="00A11B78">
        <w:rPr>
          <w:rFonts w:hint="cs"/>
          <w:b/>
          <w:bCs/>
          <w:rtl/>
        </w:rPr>
        <w:t>غير أنّ هذا الإشكال لا يبدو لي كافياً،</w:t>
      </w:r>
      <w:r>
        <w:rPr>
          <w:rFonts w:hint="cs"/>
          <w:rtl/>
        </w:rPr>
        <w:t xml:space="preserve"> رغم مشروعي</w:t>
      </w:r>
      <w:r w:rsidR="009847B0">
        <w:rPr>
          <w:rFonts w:hint="cs"/>
          <w:rtl/>
        </w:rPr>
        <w:t>ّ</w:t>
      </w:r>
      <w:r>
        <w:rPr>
          <w:rFonts w:hint="cs"/>
          <w:rtl/>
        </w:rPr>
        <w:t xml:space="preserve">ة السؤال الذي يحتويه من حيث المبدأ؛ لأنّ عدم تكرّر </w:t>
      </w:r>
      <w:r w:rsidR="009847B0">
        <w:rPr>
          <w:rFonts w:hint="cs"/>
          <w:rtl/>
        </w:rPr>
        <w:t>ال</w:t>
      </w:r>
      <w:r>
        <w:rPr>
          <w:rFonts w:hint="cs"/>
          <w:rtl/>
        </w:rPr>
        <w:t>ظروف</w:t>
      </w:r>
      <w:r w:rsidR="009847B0">
        <w:rPr>
          <w:rFonts w:hint="cs"/>
          <w:rtl/>
        </w:rPr>
        <w:t xml:space="preserve"> خلال</w:t>
      </w:r>
      <w:r>
        <w:rPr>
          <w:rFonts w:hint="cs"/>
          <w:rtl/>
        </w:rPr>
        <w:t xml:space="preserve"> مائتي سنة بعد شهادة الحسين</w:t>
      </w:r>
      <w:r w:rsidR="009847B0">
        <w:rPr>
          <w:rFonts w:hint="cs"/>
          <w:rtl/>
        </w:rPr>
        <w:t>، ليس أ</w:t>
      </w:r>
      <w:r>
        <w:rPr>
          <w:rFonts w:hint="cs"/>
          <w:rtl/>
        </w:rPr>
        <w:t>مراً غريباً في عالم المتغيّرات السياسيّة،</w:t>
      </w:r>
      <w:r w:rsidR="009847B0">
        <w:rPr>
          <w:rFonts w:hint="cs"/>
          <w:rtl/>
        </w:rPr>
        <w:t xml:space="preserve"> وبخاصّة أنّ ضخّ تجربة من هذا القبيل لم يعد بنفس المستوى؛ لأنّه حدثت تجارب عديدة لثورات انتهت بشهادة أبنائها، فالأمّة ربما تعوّدت على هذا النَفَس، ولم يعد من السهل خلق أيقونة مشابهة في ظروف مختلفة.</w:t>
      </w:r>
    </w:p>
    <w:p w14:paraId="48CE7F90" w14:textId="77777777" w:rsidR="00081961" w:rsidRPr="006D415E" w:rsidRDefault="006D415E" w:rsidP="0096148C">
      <w:pPr>
        <w:pStyle w:val="Heading3"/>
        <w:rPr>
          <w:rtl/>
        </w:rPr>
      </w:pPr>
      <w:bookmarkStart w:id="150" w:name="_Toc143804158"/>
      <w:bookmarkStart w:id="151" w:name="_Toc238123283"/>
      <w:r>
        <w:rPr>
          <w:rFonts w:hint="cs"/>
          <w:rtl/>
        </w:rPr>
        <w:t xml:space="preserve">وقفة </w:t>
      </w:r>
      <w:r w:rsidR="007350F2">
        <w:rPr>
          <w:rFonts w:hint="cs"/>
          <w:rtl/>
        </w:rPr>
        <w:t xml:space="preserve">تقويميّة </w:t>
      </w:r>
      <w:r>
        <w:rPr>
          <w:rFonts w:hint="cs"/>
          <w:rtl/>
        </w:rPr>
        <w:t xml:space="preserve">مختصرة </w:t>
      </w:r>
      <w:r w:rsidR="00081961" w:rsidRPr="006D415E">
        <w:rPr>
          <w:rFonts w:hint="cs"/>
          <w:rtl/>
        </w:rPr>
        <w:t>مع محاولة السيد علي الخامن</w:t>
      </w:r>
      <w:r w:rsidR="007350F2">
        <w:rPr>
          <w:rFonts w:hint="cs"/>
          <w:rtl/>
        </w:rPr>
        <w:t>ئ</w:t>
      </w:r>
      <w:r w:rsidR="00081961" w:rsidRPr="006D415E">
        <w:rPr>
          <w:rFonts w:hint="cs"/>
          <w:rtl/>
        </w:rPr>
        <w:t>ي</w:t>
      </w:r>
      <w:bookmarkEnd w:id="150"/>
      <w:bookmarkEnd w:id="151"/>
    </w:p>
    <w:p w14:paraId="35009E0A" w14:textId="77777777" w:rsidR="003E71B7" w:rsidRDefault="003E71B7" w:rsidP="00637739">
      <w:pPr>
        <w:rPr>
          <w:rtl/>
        </w:rPr>
      </w:pPr>
      <w:r w:rsidRPr="00896A4C">
        <w:rPr>
          <w:rFonts w:hint="cs"/>
          <w:rtl/>
        </w:rPr>
        <w:t>وفي تحليل</w:t>
      </w:r>
      <w:r>
        <w:rPr>
          <w:rFonts w:hint="cs"/>
          <w:rtl/>
        </w:rPr>
        <w:t>ٍ</w:t>
      </w:r>
      <w:r w:rsidRPr="00896A4C">
        <w:rPr>
          <w:rFonts w:hint="cs"/>
          <w:rtl/>
        </w:rPr>
        <w:t xml:space="preserve"> يلتقي </w:t>
      </w:r>
      <w:r>
        <w:rPr>
          <w:rFonts w:hint="cs"/>
          <w:rtl/>
        </w:rPr>
        <w:t xml:space="preserve">جزئيّاً </w:t>
      </w:r>
      <w:r w:rsidRPr="00896A4C">
        <w:rPr>
          <w:rFonts w:hint="cs"/>
          <w:rtl/>
        </w:rPr>
        <w:t>مع هذه النظري</w:t>
      </w:r>
      <w:r>
        <w:rPr>
          <w:rFonts w:hint="cs"/>
          <w:rtl/>
        </w:rPr>
        <w:t>ّ</w:t>
      </w:r>
      <w:r w:rsidRPr="00896A4C">
        <w:rPr>
          <w:rFonts w:hint="cs"/>
          <w:rtl/>
        </w:rPr>
        <w:t>ة من جهة ومع النظري</w:t>
      </w:r>
      <w:r>
        <w:rPr>
          <w:rFonts w:hint="cs"/>
          <w:rtl/>
        </w:rPr>
        <w:t>ّ</w:t>
      </w:r>
      <w:r w:rsidRPr="00896A4C">
        <w:rPr>
          <w:rFonts w:hint="cs"/>
          <w:rtl/>
        </w:rPr>
        <w:t>ة السياسية من جهة ثانية</w:t>
      </w:r>
      <w:r>
        <w:rPr>
          <w:rFonts w:hint="cs"/>
          <w:rtl/>
        </w:rPr>
        <w:t>،</w:t>
      </w:r>
      <w:r w:rsidRPr="00896A4C">
        <w:rPr>
          <w:rFonts w:hint="cs"/>
          <w:rtl/>
        </w:rPr>
        <w:t xml:space="preserve"> و</w:t>
      </w:r>
      <w:r>
        <w:rPr>
          <w:rFonts w:hint="cs"/>
          <w:rtl/>
        </w:rPr>
        <w:t xml:space="preserve">يقترب كثيراً من </w:t>
      </w:r>
      <w:r w:rsidRPr="00896A4C">
        <w:rPr>
          <w:rFonts w:hint="cs"/>
          <w:rtl/>
        </w:rPr>
        <w:t>كلام المحق</w:t>
      </w:r>
      <w:r>
        <w:rPr>
          <w:rFonts w:hint="cs"/>
          <w:rtl/>
        </w:rPr>
        <w:t>ّ</w:t>
      </w:r>
      <w:r w:rsidRPr="00896A4C">
        <w:rPr>
          <w:rFonts w:hint="cs"/>
          <w:rtl/>
        </w:rPr>
        <w:t>ق النجفي من جهة ثالثة،</w:t>
      </w:r>
      <w:r>
        <w:rPr>
          <w:rFonts w:hint="cs"/>
          <w:rtl/>
        </w:rPr>
        <w:t xml:space="preserve"> يذهب السيد علي الخامنئي إلى أنّه يجب التمييز بين هدف الحسين والنتيجة، فهدف الحسين كان إنقاذ دين جدّه من الاضمحلال والزوال، وإعادة الإسلام والمجتمع الإسلامي إلى الوضع الصحيح، وهو بخروجه هذا كان يريد تحقيق ذلك، </w:t>
      </w:r>
      <w:r w:rsidR="00367039">
        <w:rPr>
          <w:rFonts w:hint="cs"/>
          <w:rtl/>
        </w:rPr>
        <w:t xml:space="preserve">فحالة الخروج كانت في وضع التهديد الوجودي للإسلام نفسه، </w:t>
      </w:r>
      <w:r>
        <w:rPr>
          <w:rFonts w:hint="cs"/>
          <w:rtl/>
        </w:rPr>
        <w:t>فإذا أمسك بالسلطة حقّق ذلك، وإذا لم يمسك بها بل استشهد أحيا ضمير الأمّة وحقّق الوعي والنهوض وبقاء الدين بروحه الصافية أيضاً، وألهم اللاحقين منطق الثورة لحفظ الدين، وكأنّ النظريّة السياسية والنظريّة الرساليّة صحيحتان وغير صحيحتين معاً عنده. وهذا معنى بعض النصوص عن الإمام الحسين بأنّ على الإسلام السلام إذا حكم أمّةَ المسلمين شخصٌ مثل يزيد</w:t>
      </w:r>
      <w:r w:rsidRPr="00763E4E">
        <w:rPr>
          <w:rFonts w:cs="Taher"/>
          <w:vertAlign w:val="superscript"/>
          <w:rtl/>
        </w:rPr>
        <w:t>(</w:t>
      </w:r>
      <w:r w:rsidRPr="00763E4E">
        <w:rPr>
          <w:rFonts w:cs="Taher"/>
          <w:vertAlign w:val="superscript"/>
          <w:rtl/>
        </w:rPr>
        <w:footnoteReference w:id="289"/>
      </w:r>
      <w:r w:rsidRPr="00763E4E">
        <w:rPr>
          <w:rFonts w:cs="Taher"/>
          <w:vertAlign w:val="superscript"/>
          <w:rtl/>
        </w:rPr>
        <w:t>)</w:t>
      </w:r>
      <w:r>
        <w:rPr>
          <w:rFonts w:hint="cs"/>
          <w:rtl/>
        </w:rPr>
        <w:t>.</w:t>
      </w:r>
      <w:r w:rsidR="005B3D59">
        <w:rPr>
          <w:rFonts w:hint="cs"/>
          <w:rtl/>
        </w:rPr>
        <w:t xml:space="preserve"> وكأنّ </w:t>
      </w:r>
      <w:r w:rsidR="005B3D59">
        <w:rPr>
          <w:rFonts w:hint="cs"/>
          <w:rtl/>
        </w:rPr>
        <w:lastRenderedPageBreak/>
        <w:t>الخامنئي أراد تخطّي النقاش النمطي في العصر الحديث حول هويّة الحركة الحسينيّة، حتى لا يجد نفسه واقفاً مع التفسير السياسي ضدّ فكرة علم الغيب أو بالعكس.</w:t>
      </w:r>
    </w:p>
    <w:p w14:paraId="73BBC098" w14:textId="77777777" w:rsidR="008C20F3" w:rsidRDefault="008C20F3" w:rsidP="008C20F3">
      <w:pPr>
        <w:pStyle w:val="Space1"/>
        <w:rPr>
          <w:rtl/>
        </w:rPr>
      </w:pPr>
      <w:r w:rsidRPr="00A11B78">
        <w:rPr>
          <w:rFonts w:hint="cs"/>
          <w:b/>
          <w:bCs/>
          <w:rtl/>
        </w:rPr>
        <w:t>والذي يبدو أنّ السيد الخامنئي يفترض أن لا يرى خروج الحسين لغاية إقامة الدولة، فالدولة ليست مقصداً له، بل ممرّاً، وهذه نقطة مهمّة من شخصيّةٍ مثل الخامنئي في تحليل الحركة الحسينيّة</w:t>
      </w:r>
      <w:r w:rsidR="00F63751" w:rsidRPr="00A11B78">
        <w:rPr>
          <w:rFonts w:hint="cs"/>
          <w:b/>
          <w:bCs/>
          <w:rtl/>
        </w:rPr>
        <w:t>،</w:t>
      </w:r>
      <w:r w:rsidR="00F63751">
        <w:rPr>
          <w:rFonts w:hint="cs"/>
          <w:rtl/>
        </w:rPr>
        <w:t xml:space="preserve"> وبخاصّة فيما تتركه على طريقة توظيف الحركة الحسينيّة في فقه الثورة على الأنظمة، كما سوف نرى قريباً إن شاء الله</w:t>
      </w:r>
      <w:r>
        <w:rPr>
          <w:rFonts w:hint="cs"/>
          <w:rtl/>
        </w:rPr>
        <w:t>.</w:t>
      </w:r>
    </w:p>
    <w:p w14:paraId="04D874B1" w14:textId="77777777" w:rsidR="00F63751" w:rsidRDefault="003E71B7" w:rsidP="005B3D59">
      <w:pPr>
        <w:pStyle w:val="Space1"/>
        <w:rPr>
          <w:rtl/>
        </w:rPr>
      </w:pPr>
      <w:r w:rsidRPr="003E71B7">
        <w:rPr>
          <w:rFonts w:hint="cs"/>
          <w:b/>
          <w:bCs/>
          <w:rtl/>
        </w:rPr>
        <w:t>لكنّ النقطة المهمّة هنا أنّ العصور الإسلاميّة الأولى كان المحور فيها هو الدين والشريعة، فلا معنى للحديث عن الإمساك بالسلطة بعيداً عن مفهوم الشريعة؛</w:t>
      </w:r>
      <w:r>
        <w:rPr>
          <w:rFonts w:hint="cs"/>
          <w:rtl/>
        </w:rPr>
        <w:t xml:space="preserve"> لأنّ الشريعة هو المحور وليس السلطة، على حدّ تعبير الدكتور وائل حلاق. ومن الطبيعي أنّ التفسير السياسي يريد أيضاً أن يتوصّل إلى أنّ خروج الحسين هو بهدف حماية الدين وبقائه وتعاليه، فليس قصده فكّ الارتباط بين السلطة والشريعة، فنظريّ</w:t>
      </w:r>
      <w:r w:rsidR="00F63751">
        <w:rPr>
          <w:rFonts w:hint="cs"/>
          <w:rtl/>
        </w:rPr>
        <w:t>ة السيد الخامنئي غير مفهومة لي</w:t>
      </w:r>
      <w:r w:rsidR="0066448F">
        <w:rPr>
          <w:rFonts w:hint="cs"/>
          <w:rtl/>
        </w:rPr>
        <w:t xml:space="preserve"> إلا من جهة فكرة الخطر الوجودي، ومفهوم </w:t>
      </w:r>
      <w:r w:rsidR="00F63751">
        <w:rPr>
          <w:rFonts w:hint="cs"/>
          <w:rtl/>
        </w:rPr>
        <w:t>"الخطر الوجودي على الإسلام" مفهوم</w:t>
      </w:r>
      <w:r w:rsidR="005B3D59">
        <w:rPr>
          <w:rFonts w:hint="cs"/>
          <w:rtl/>
        </w:rPr>
        <w:t>ٌ</w:t>
      </w:r>
      <w:r w:rsidR="00F63751">
        <w:rPr>
          <w:rFonts w:hint="cs"/>
          <w:rtl/>
        </w:rPr>
        <w:t xml:space="preserve"> هلامي غير محدّد بدقّة</w:t>
      </w:r>
      <w:r w:rsidR="00AE5FD3">
        <w:rPr>
          <w:rFonts w:hint="cs"/>
          <w:rtl/>
        </w:rPr>
        <w:t xml:space="preserve"> هنا في كلمات الخامنئي</w:t>
      </w:r>
      <w:r w:rsidR="00F63751">
        <w:rPr>
          <w:rFonts w:hint="cs"/>
          <w:rtl/>
        </w:rPr>
        <w:t>، فما هي العناصر التي إذا حصلت قلنا بأنّ ثمّة خطراً وجوديّاً على الإسلام؟ وكيف يمكننا تحديد ذلك؟</w:t>
      </w:r>
      <w:r w:rsidR="0036479A">
        <w:rPr>
          <w:rFonts w:hint="cs"/>
          <w:rtl/>
        </w:rPr>
        <w:t xml:space="preserve"> وإنّما نسأل هذا السؤال؛ لأنّ السيد الخامنئي كان قارن بين حركة الإمام الحسين وحركة السيد الخميني في وحدة الهدف، الأمر الذي يعقّد فكرة الخوف الوجودي على الإسلام.</w:t>
      </w:r>
    </w:p>
    <w:p w14:paraId="7F016C4F" w14:textId="77777777" w:rsidR="003E71B7" w:rsidRDefault="00F63751" w:rsidP="00F63751">
      <w:pPr>
        <w:pStyle w:val="Space1"/>
        <w:rPr>
          <w:rtl/>
        </w:rPr>
      </w:pPr>
      <w:r w:rsidRPr="00F63751">
        <w:rPr>
          <w:rFonts w:hint="cs"/>
          <w:b/>
          <w:bCs/>
          <w:rtl/>
        </w:rPr>
        <w:t xml:space="preserve">يضاف </w:t>
      </w:r>
      <w:r>
        <w:rPr>
          <w:rFonts w:hint="cs"/>
          <w:b/>
          <w:bCs/>
          <w:rtl/>
        </w:rPr>
        <w:t>إ</w:t>
      </w:r>
      <w:r w:rsidRPr="00F63751">
        <w:rPr>
          <w:rFonts w:hint="cs"/>
          <w:b/>
          <w:bCs/>
          <w:rtl/>
        </w:rPr>
        <w:t xml:space="preserve">لى ذلك أنّ محاولة الخامنئي تبدو لي </w:t>
      </w:r>
      <w:r w:rsidR="003E71B7" w:rsidRPr="00F63751">
        <w:rPr>
          <w:rFonts w:hint="cs"/>
          <w:b/>
          <w:bCs/>
          <w:rtl/>
        </w:rPr>
        <w:t>غير كافية في حلّ المشكلات العويصة القائمة هنا بين الأطراف المتنازعة،</w:t>
      </w:r>
      <w:r w:rsidR="003E71B7">
        <w:rPr>
          <w:rFonts w:hint="cs"/>
          <w:rtl/>
        </w:rPr>
        <w:t xml:space="preserve"> </w:t>
      </w:r>
      <w:r>
        <w:rPr>
          <w:rFonts w:hint="cs"/>
          <w:rtl/>
        </w:rPr>
        <w:t xml:space="preserve">بل كأنّها أرادت أن تتخطّاها وتتجاهلها أو تجري مصالحة بينها عبر ذلك، وإلا </w:t>
      </w:r>
      <w:r w:rsidR="003E71B7">
        <w:rPr>
          <w:rFonts w:hint="cs"/>
          <w:rtl/>
        </w:rPr>
        <w:t>فهل كان الحسين عالماً بشهادته أو لا؟ فإذا كان عالماً فهذا هو نفس النظريّة الرساليّة التي ترى شهادته بهدف هزّ ضمير الأمّة للنهوض خوفاً على الإسلام، وإذا لم يكن عالماً عادت المواجهة التي كانت قائمة بين التفسير السياسي والمشهور، وكأنّ تفسير السيد الخامنئي يعطي هدفاً مثاليّاً دون أن يبتّ في الهدف المباشر، مع أنّ التنازع كلّه حول الهدف المباشر هذا، وإلا فالكلّ متفق على أنّ الهدف المثالي هو إنقاذ الدين وحمايته وإعادة الأمور في الأمّة إلى نصابها.</w:t>
      </w:r>
    </w:p>
    <w:p w14:paraId="74A513DF" w14:textId="77777777" w:rsidR="007350F2" w:rsidRPr="0090095A" w:rsidRDefault="007350F2" w:rsidP="0096148C">
      <w:pPr>
        <w:pStyle w:val="Heading2"/>
        <w:rPr>
          <w:rtl/>
        </w:rPr>
      </w:pPr>
      <w:bookmarkStart w:id="152" w:name="_Toc143804159"/>
      <w:bookmarkStart w:id="153" w:name="_Toc238123284"/>
      <w:r w:rsidRPr="0090095A">
        <w:rPr>
          <w:rFonts w:hint="cs"/>
          <w:rtl/>
        </w:rPr>
        <w:t xml:space="preserve">خلاصة التصوّر </w:t>
      </w:r>
      <w:r w:rsidR="00892F0B">
        <w:rPr>
          <w:rFonts w:hint="cs"/>
          <w:rtl/>
        </w:rPr>
        <w:t xml:space="preserve">الراجح </w:t>
      </w:r>
      <w:r w:rsidRPr="0090095A">
        <w:rPr>
          <w:rFonts w:hint="cs"/>
          <w:rtl/>
        </w:rPr>
        <w:t>في الحركة الحس</w:t>
      </w:r>
      <w:r w:rsidR="0090095A">
        <w:rPr>
          <w:rFonts w:hint="cs"/>
          <w:rtl/>
        </w:rPr>
        <w:t>ي</w:t>
      </w:r>
      <w:r w:rsidRPr="0090095A">
        <w:rPr>
          <w:rFonts w:hint="cs"/>
          <w:rtl/>
        </w:rPr>
        <w:t>نيّة</w:t>
      </w:r>
      <w:bookmarkEnd w:id="152"/>
      <w:bookmarkEnd w:id="153"/>
    </w:p>
    <w:p w14:paraId="7BF857E8" w14:textId="77777777" w:rsidR="00C45F9B" w:rsidRPr="00C45F9B" w:rsidRDefault="00892F0B" w:rsidP="00C45F9B">
      <w:pPr>
        <w:pStyle w:val="Space1"/>
      </w:pPr>
      <w:r>
        <w:rPr>
          <w:rFonts w:hint="cs"/>
          <w:rtl/>
        </w:rPr>
        <w:lastRenderedPageBreak/>
        <w:t xml:space="preserve">لقد رأينا أنّه </w:t>
      </w:r>
      <w:r w:rsidR="00C45F9B" w:rsidRPr="00C45F9B">
        <w:rPr>
          <w:rFonts w:hint="cs"/>
          <w:rtl/>
        </w:rPr>
        <w:t xml:space="preserve">لم </w:t>
      </w:r>
      <w:r w:rsidR="00C45F9B" w:rsidRPr="00C45F9B">
        <w:rPr>
          <w:rtl/>
        </w:rPr>
        <w:t>يتوقّف تدفّق الفرضيات التفسيرية لهذا الحدث التاريخي الذي وقع في القرن الهجري الأوّل، فكلّ فريق من موقعه العقدي أو خلفيّاته الفكرية مارس تفسيراً له، وقوّم من منطلق هذا التفسير الحدثَ نفسه، فرأى بعضهم أنّ ما قام به الإمام الحسين لا يعدو أن يكون انتحاراً سياسياً وجسديّاً لم يُنتج أيّ شيء، وأنّه كشف عن سذاجة سياسية وانفعال عاطفي لم يقرأ الأمور بعقليّة واقعيّة، فيما ذهب فريقٌ آخر إلى القول بأنّه كان انتصاراً تاريخياً أبدى نفسه في تفوّق القيم والمبادئ تارةً وفي تداعي الدولة الأموي</w:t>
      </w:r>
      <w:r>
        <w:rPr>
          <w:rFonts w:hint="cs"/>
          <w:rtl/>
        </w:rPr>
        <w:t>ّ</w:t>
      </w:r>
      <w:r w:rsidR="00C45F9B" w:rsidRPr="00C45F9B">
        <w:rPr>
          <w:rtl/>
        </w:rPr>
        <w:t>ة بعد عقود تارةً أخرى.</w:t>
      </w:r>
    </w:p>
    <w:p w14:paraId="01514FE7" w14:textId="77777777" w:rsidR="00C45F9B" w:rsidRPr="00C45F9B" w:rsidRDefault="00C45F9B" w:rsidP="00637739">
      <w:pPr>
        <w:pStyle w:val="normal84"/>
        <w:rPr>
          <w:rtl/>
        </w:rPr>
      </w:pPr>
      <w:r w:rsidRPr="00C45F9B">
        <w:rPr>
          <w:rtl/>
        </w:rPr>
        <w:t xml:space="preserve">يبدو لي ـ إذا أردت استبعاد بعض المنطلقات المذهبية، مع تأييدنا للفريق الثاني من حيث المبدأ ـ أنّ </w:t>
      </w:r>
      <w:r w:rsidR="00667E1C">
        <w:rPr>
          <w:rFonts w:hint="cs"/>
          <w:rtl/>
        </w:rPr>
        <w:t xml:space="preserve">غير </w:t>
      </w:r>
      <w:r w:rsidRPr="00C45F9B">
        <w:rPr>
          <w:rtl/>
        </w:rPr>
        <w:t>فريق</w:t>
      </w:r>
      <w:r w:rsidR="00667E1C">
        <w:rPr>
          <w:rFonts w:hint="cs"/>
          <w:rtl/>
        </w:rPr>
        <w:t>ٍ</w:t>
      </w:r>
      <w:r w:rsidRPr="00C45F9B">
        <w:rPr>
          <w:rtl/>
        </w:rPr>
        <w:t xml:space="preserve"> من هؤلاء فسّر المشهد وقوّمه وفقاً لافتراض أنّ حركة الإمام الحسين من المدينة إلى مكّة ومنها إلى الكوفة فكربلاء، كانت في تلك اللحظة الزمنية مرسومةً وفقاً لهدف واحد، ومن ثمّ فنحن نحاكم هذه ال</w:t>
      </w:r>
      <w:r w:rsidR="00892F0B">
        <w:rPr>
          <w:rFonts w:hint="cs"/>
          <w:rtl/>
        </w:rPr>
        <w:t xml:space="preserve">حركة </w:t>
      </w:r>
      <w:r w:rsidRPr="00C45F9B">
        <w:rPr>
          <w:rtl/>
        </w:rPr>
        <w:t xml:space="preserve">في سياق هذا الهدف الواحد، </w:t>
      </w:r>
      <w:r w:rsidRPr="00892F0B">
        <w:rPr>
          <w:b/>
          <w:bCs/>
          <w:rtl/>
        </w:rPr>
        <w:t>لكنّ الفرضيّة الأقرب في تفسير الحركة أنّه قد حصل فيها تحوّل في الأهداف الاستراتيجيّة بين الخروج من المدينة، والخروج من مكّة، وخيار القتال في كربلاء</w:t>
      </w:r>
      <w:r w:rsidR="002C6558">
        <w:rPr>
          <w:rFonts w:hint="cs"/>
          <w:b/>
          <w:bCs/>
          <w:rtl/>
        </w:rPr>
        <w:t>:</w:t>
      </w:r>
    </w:p>
    <w:p w14:paraId="277304B2" w14:textId="77777777" w:rsidR="002C6558" w:rsidRDefault="002C6558" w:rsidP="00637739">
      <w:pPr>
        <w:pStyle w:val="normal84"/>
        <w:rPr>
          <w:rtl/>
        </w:rPr>
      </w:pPr>
      <w:r w:rsidRPr="002C6558">
        <w:rPr>
          <w:rFonts w:hint="cs"/>
          <w:b/>
          <w:bCs/>
          <w:rtl/>
        </w:rPr>
        <w:t xml:space="preserve">أ ـ </w:t>
      </w:r>
      <w:r w:rsidR="00C45F9B" w:rsidRPr="00C45F9B">
        <w:rPr>
          <w:rtl/>
        </w:rPr>
        <w:t xml:space="preserve">فالخروج من المدينة كان بهدف تجنّب تقديم البيعة ليزيد الذي رآه الحسين لا يملك أدنى مقوّمات الإمامة، ولهذا خرج بسرعةٍ من المدينة مع أهل بيته خلال ثلاثة أيام على أبعد تقدير بعد وصول خبر وفاة معاوية ومطالبة يزيد بأخذ البيعة من الوجوه والأعيان، في تلك اللحظة لم يكن هناك قرار حرب ولا ثورة ولا انتحار ولا مشروع سياسي محدّد غير رفض البيعة، </w:t>
      </w:r>
      <w:r w:rsidR="00C45F9B" w:rsidRPr="00667E1C">
        <w:rPr>
          <w:rFonts w:hint="cs"/>
          <w:b/>
          <w:bCs/>
          <w:rtl/>
        </w:rPr>
        <w:t>مع احتماليّة أن يكون الحسين متوقّعاً أن تأتيه رسائل من أهل الكوفة فيقدم على خطوةٍ أكبر من ذلك؛</w:t>
      </w:r>
      <w:r w:rsidR="00C45F9B" w:rsidRPr="00C45F9B">
        <w:rPr>
          <w:rFonts w:hint="cs"/>
          <w:rtl/>
        </w:rPr>
        <w:t xml:space="preserve"> لأنّه كان مسبوقاً </w:t>
      </w:r>
      <w:r w:rsidR="00892F0B">
        <w:rPr>
          <w:rFonts w:hint="cs"/>
          <w:rtl/>
        </w:rPr>
        <w:t>ب</w:t>
      </w:r>
      <w:r w:rsidR="00C45F9B" w:rsidRPr="00C45F9B">
        <w:rPr>
          <w:rFonts w:hint="cs"/>
          <w:rtl/>
        </w:rPr>
        <w:t xml:space="preserve">مطالبات كوفيّة </w:t>
      </w:r>
      <w:r w:rsidR="00584663">
        <w:rPr>
          <w:rFonts w:hint="cs"/>
          <w:rtl/>
        </w:rPr>
        <w:t xml:space="preserve">ـ ومراسلات كذلك ـ </w:t>
      </w:r>
      <w:r w:rsidR="00C45F9B" w:rsidRPr="00C45F9B">
        <w:rPr>
          <w:rFonts w:hint="cs"/>
          <w:rtl/>
        </w:rPr>
        <w:t>بعد وفاة الحسن غير أنّه لم يكن يتجاوب معها، كما نصّ على ذلك السيد المرتضى وفق ما تقدّم</w:t>
      </w:r>
      <w:r w:rsidR="00584663" w:rsidRPr="00763E4E">
        <w:rPr>
          <w:rFonts w:cs="Taher"/>
          <w:vertAlign w:val="superscript"/>
          <w:rtl/>
        </w:rPr>
        <w:t>(</w:t>
      </w:r>
      <w:r w:rsidR="00584663" w:rsidRPr="00763E4E">
        <w:rPr>
          <w:rFonts w:cs="Taher"/>
          <w:vertAlign w:val="superscript"/>
          <w:rtl/>
        </w:rPr>
        <w:footnoteReference w:id="290"/>
      </w:r>
      <w:r w:rsidR="00584663" w:rsidRPr="00763E4E">
        <w:rPr>
          <w:rFonts w:cs="Taher"/>
          <w:vertAlign w:val="superscript"/>
          <w:rtl/>
        </w:rPr>
        <w:t>)</w:t>
      </w:r>
      <w:r w:rsidR="00C45F9B" w:rsidRPr="00C45F9B">
        <w:rPr>
          <w:rFonts w:hint="cs"/>
          <w:rtl/>
        </w:rPr>
        <w:t xml:space="preserve">، وهنا </w:t>
      </w:r>
      <w:r w:rsidR="00C45F9B" w:rsidRPr="00C45F9B">
        <w:rPr>
          <w:rtl/>
        </w:rPr>
        <w:t xml:space="preserve">كانت مكّة المكان الأنسب لدرس </w:t>
      </w:r>
      <w:r w:rsidR="00C45F9B" w:rsidRPr="00C45F9B">
        <w:rPr>
          <w:rtl/>
        </w:rPr>
        <w:lastRenderedPageBreak/>
        <w:t>الخيارات الممكنة وكانت اللحظة مناسبة أيضاً، لحظة قرب موسم الحج.</w:t>
      </w:r>
    </w:p>
    <w:p w14:paraId="0287E7DA" w14:textId="77777777" w:rsidR="009A756C" w:rsidRDefault="002C6558" w:rsidP="009A756C">
      <w:pPr>
        <w:pStyle w:val="Space1"/>
        <w:rPr>
          <w:rtl/>
        </w:rPr>
      </w:pPr>
      <w:r w:rsidRPr="002C6558">
        <w:rPr>
          <w:rFonts w:hint="cs"/>
          <w:b/>
          <w:bCs/>
          <w:rtl/>
        </w:rPr>
        <w:t>ب ـ</w:t>
      </w:r>
      <w:r>
        <w:rPr>
          <w:rFonts w:hint="cs"/>
          <w:rtl/>
        </w:rPr>
        <w:t xml:space="preserve"> </w:t>
      </w:r>
      <w:r w:rsidR="00C45F9B" w:rsidRPr="00C45F9B">
        <w:rPr>
          <w:rtl/>
        </w:rPr>
        <w:t xml:space="preserve">وبخروجه المريب من المدينة </w:t>
      </w:r>
      <w:r w:rsidR="009A756C">
        <w:rPr>
          <w:rFonts w:hint="cs"/>
          <w:rtl/>
        </w:rPr>
        <w:t xml:space="preserve">المنوّرة </w:t>
      </w:r>
      <w:r w:rsidR="00C45F9B" w:rsidRPr="00C45F9B">
        <w:rPr>
          <w:rtl/>
        </w:rPr>
        <w:t>ورفضه البيعة</w:t>
      </w:r>
      <w:r w:rsidR="009A756C">
        <w:rPr>
          <w:rFonts w:hint="cs"/>
          <w:rtl/>
        </w:rPr>
        <w:t>،</w:t>
      </w:r>
      <w:r w:rsidR="00C45F9B" w:rsidRPr="00C45F9B">
        <w:rPr>
          <w:rtl/>
        </w:rPr>
        <w:t xml:space="preserve"> تواترت الأخبار إلى حواضر العالم الإسلامي، وقرّر وجوه الكوفة التواصل معه </w:t>
      </w:r>
      <w:r w:rsidR="00667E1C">
        <w:rPr>
          <w:rFonts w:hint="cs"/>
          <w:rtl/>
        </w:rPr>
        <w:t xml:space="preserve">مجدّداً </w:t>
      </w:r>
      <w:r w:rsidR="00C45F9B" w:rsidRPr="00C45F9B">
        <w:rPr>
          <w:rtl/>
        </w:rPr>
        <w:t xml:space="preserve">ليصله سفراؤهم ورسائلهم وهو في مكّة ملقين عليه الحجّة وهو يتعامل مع منطق الأشياء الطبيعي، هنا ظهر الخيار الاستراتيجي الجديد، وهو التوجّه نحو الكوفة لقيادة حركة سياسية انفصاليّة إذا صحّ التعبير، </w:t>
      </w:r>
      <w:r w:rsidR="009A756C">
        <w:rPr>
          <w:rFonts w:hint="cs"/>
          <w:rtl/>
        </w:rPr>
        <w:t xml:space="preserve">تُصلح الأوضاع في الأمّة وفي دين جدّه المصطفى، </w:t>
      </w:r>
      <w:r w:rsidR="00C45F9B" w:rsidRPr="00C45F9B">
        <w:rPr>
          <w:rtl/>
        </w:rPr>
        <w:t>وما عزّز هذا القرار كان تتالي الأخبار بخطّة الاغتيال التي تستهدف الحسين في الحرم، الأمر الذي اضطرّه للخروج باكراً قبيل الحجّ، متجهاً نحو الشمال منتظراً أخبار سفيره مسلم بن عقيل لتحسم الخيارات بشكل نهائي، وبعد مجيء الرسول بأخبار مطمئنة حسم خيار الاستقرار في الكوفة، واستمرّ السير</w:t>
      </w:r>
      <w:r w:rsidR="009A756C">
        <w:rPr>
          <w:rFonts w:hint="cs"/>
          <w:rtl/>
        </w:rPr>
        <w:t>.</w:t>
      </w:r>
    </w:p>
    <w:p w14:paraId="32D6443D" w14:textId="77777777" w:rsidR="00C45F9B" w:rsidRPr="00C45F9B" w:rsidRDefault="009A756C" w:rsidP="009A756C">
      <w:pPr>
        <w:pStyle w:val="Space1"/>
        <w:rPr>
          <w:rtl/>
        </w:rPr>
      </w:pPr>
      <w:r w:rsidRPr="009A756C">
        <w:rPr>
          <w:rFonts w:hint="cs"/>
          <w:b/>
          <w:bCs/>
          <w:rtl/>
        </w:rPr>
        <w:t xml:space="preserve">ج ـ </w:t>
      </w:r>
      <w:r w:rsidR="00C45F9B" w:rsidRPr="00C45F9B">
        <w:rPr>
          <w:rtl/>
        </w:rPr>
        <w:t>وفي أواسط الطريق أو أواخره جاءت الأخبار المعاكسة، في لحظة لم توفّر للحسين خيارات جديدة مفتوحة، فلم تكن العودة إلى المدينة أو مكّة أو غيرهما بمجديةٍ، فقد وقع الخذلان، وفي مسيره نحو الشمال جاءه الحرّ الرياحي، وحال بينه وبين دخول الكوفة، فتحرّكت القافلة شمالاً دون هدف محدّد، وكان الاستقرار في كربلاء، ولمّا لم تتوفّر أي خيارات تفاوضيّة عدا خنوعه للذلّ وإقراره بخلافة</w:t>
      </w:r>
      <w:r>
        <w:rPr>
          <w:rFonts w:hint="cs"/>
          <w:rtl/>
        </w:rPr>
        <w:t>ٍ</w:t>
      </w:r>
      <w:r w:rsidR="00C45F9B" w:rsidRPr="00C45F9B">
        <w:rPr>
          <w:rtl/>
        </w:rPr>
        <w:t xml:space="preserve"> غير شرعية، قرّر الخيار الاستراتيجي الثالث، وهو الشهادة، ليكون مشعلاً للرفض والإباء، وليكتب بدمه الزاكي معاني العز</w:t>
      </w:r>
      <w:r>
        <w:rPr>
          <w:rFonts w:hint="cs"/>
          <w:rtl/>
        </w:rPr>
        <w:t>ّ</w:t>
      </w:r>
      <w:r w:rsidR="00C45F9B" w:rsidRPr="00C45F9B">
        <w:rPr>
          <w:rtl/>
        </w:rPr>
        <w:t>ة والكرامة وقيم التضحية والتفاني في سبيل المبادئ العليا.</w:t>
      </w:r>
    </w:p>
    <w:p w14:paraId="6104B688" w14:textId="77777777" w:rsidR="007350F2" w:rsidRDefault="00C45F9B" w:rsidP="00C45F9B">
      <w:pPr>
        <w:pStyle w:val="Space1"/>
        <w:rPr>
          <w:rtl/>
        </w:rPr>
      </w:pPr>
      <w:r w:rsidRPr="009A756C">
        <w:rPr>
          <w:b/>
          <w:bCs/>
          <w:rtl/>
        </w:rPr>
        <w:t>وأخيراً، ليس كلّ فشل مادّي تعبيراً عن فشل في الرؤى والتخطيط؛ لأنّ الأمور في الحركات الاجتماعيّة الكبرى لا تكون بيد طرف واحد يمسك بالخيط،</w:t>
      </w:r>
      <w:r w:rsidRPr="00C45F9B">
        <w:rPr>
          <w:rtl/>
        </w:rPr>
        <w:t xml:space="preserve"> بل هي دوائر من الخيوط الملتفة المعقّدة، إذ لا يصحّ القول بأنّ الأنبياء كانوا فاشلين</w:t>
      </w:r>
      <w:r w:rsidR="009A756C">
        <w:rPr>
          <w:rFonts w:hint="cs"/>
          <w:rtl/>
        </w:rPr>
        <w:t xml:space="preserve"> بهذا المعنى</w:t>
      </w:r>
      <w:r w:rsidRPr="00C45F9B">
        <w:rPr>
          <w:rtl/>
        </w:rPr>
        <w:t>؛ لأنهم لم يوفّقوا إلا لكي يؤمن معهم القليل</w:t>
      </w:r>
      <w:r w:rsidRPr="00C45F9B">
        <w:rPr>
          <w:rFonts w:hint="cs"/>
          <w:rtl/>
        </w:rPr>
        <w:t>.</w:t>
      </w:r>
    </w:p>
    <w:p w14:paraId="0CDB7ADB" w14:textId="77777777" w:rsidR="009A756C" w:rsidRPr="0096148C" w:rsidRDefault="009A756C" w:rsidP="0096148C">
      <w:pPr>
        <w:pStyle w:val="Heading2"/>
        <w:rPr>
          <w:sz w:val="26"/>
          <w:szCs w:val="32"/>
          <w:rtl/>
        </w:rPr>
      </w:pPr>
      <w:bookmarkStart w:id="154" w:name="_Toc143804160"/>
      <w:bookmarkStart w:id="155" w:name="_Toc238123285"/>
      <w:r w:rsidRPr="0096148C">
        <w:rPr>
          <w:rFonts w:hint="cs"/>
          <w:sz w:val="26"/>
          <w:szCs w:val="32"/>
          <w:rtl/>
        </w:rPr>
        <w:t>تأجيل البحث في النظريّات الخارج ـ دينيّة، والخارج ـ شيعيّة في تفسير حركة الحسين</w:t>
      </w:r>
      <w:bookmarkEnd w:id="154"/>
      <w:bookmarkEnd w:id="155"/>
    </w:p>
    <w:p w14:paraId="5B04CD84" w14:textId="77777777" w:rsidR="002B2B3B" w:rsidRDefault="002B2B3B" w:rsidP="00637739">
      <w:pPr>
        <w:pStyle w:val="normal84"/>
        <w:rPr>
          <w:rtl/>
        </w:rPr>
      </w:pPr>
      <w:r w:rsidRPr="0062285E">
        <w:rPr>
          <w:rFonts w:hint="cs"/>
          <w:b/>
          <w:bCs/>
          <w:rtl/>
        </w:rPr>
        <w:lastRenderedPageBreak/>
        <w:t xml:space="preserve">كانت </w:t>
      </w:r>
      <w:r w:rsidR="0062285E" w:rsidRPr="0062285E">
        <w:rPr>
          <w:rFonts w:hint="cs"/>
          <w:b/>
          <w:bCs/>
          <w:rtl/>
        </w:rPr>
        <w:t>هذه أبرز النظريّا</w:t>
      </w:r>
      <w:r w:rsidRPr="0062285E">
        <w:rPr>
          <w:rFonts w:hint="cs"/>
          <w:b/>
          <w:bCs/>
          <w:rtl/>
        </w:rPr>
        <w:t>ت في تفسير الحركة الحسينيّة، ولم نبحث في النظري</w:t>
      </w:r>
      <w:r w:rsidR="0062285E" w:rsidRPr="0062285E">
        <w:rPr>
          <w:rFonts w:hint="cs"/>
          <w:b/>
          <w:bCs/>
          <w:rtl/>
        </w:rPr>
        <w:t>ّ</w:t>
      </w:r>
      <w:r w:rsidRPr="0062285E">
        <w:rPr>
          <w:rFonts w:hint="cs"/>
          <w:b/>
          <w:bCs/>
          <w:rtl/>
        </w:rPr>
        <w:t xml:space="preserve">ات </w:t>
      </w:r>
      <w:r w:rsidR="0062285E" w:rsidRPr="0062285E">
        <w:rPr>
          <w:rFonts w:hint="cs"/>
          <w:b/>
          <w:bCs/>
          <w:rtl/>
        </w:rPr>
        <w:t>القائم</w:t>
      </w:r>
      <w:r w:rsidR="0062285E">
        <w:rPr>
          <w:rFonts w:hint="cs"/>
          <w:b/>
          <w:bCs/>
          <w:rtl/>
        </w:rPr>
        <w:t>ة</w:t>
      </w:r>
      <w:r w:rsidR="0062285E" w:rsidRPr="0062285E">
        <w:rPr>
          <w:rFonts w:hint="cs"/>
          <w:b/>
          <w:bCs/>
          <w:rtl/>
        </w:rPr>
        <w:t xml:space="preserve"> على الفهم الخارج </w:t>
      </w:r>
      <w:r w:rsidRPr="0062285E">
        <w:rPr>
          <w:rFonts w:hint="cs"/>
          <w:b/>
          <w:bCs/>
          <w:rtl/>
        </w:rPr>
        <w:t>ـ ديني، والخارج ـ إمامي؛</w:t>
      </w:r>
      <w:r>
        <w:rPr>
          <w:rFonts w:hint="cs"/>
          <w:rtl/>
        </w:rPr>
        <w:t xml:space="preserve"> لأنّ غرضنا </w:t>
      </w:r>
      <w:r w:rsidR="0062285E">
        <w:rPr>
          <w:rFonts w:hint="cs"/>
          <w:rtl/>
        </w:rPr>
        <w:t xml:space="preserve">هنا </w:t>
      </w:r>
      <w:r>
        <w:rPr>
          <w:rFonts w:hint="cs"/>
          <w:rtl/>
        </w:rPr>
        <w:t>الحديث عن الجانب الفقهي المبني</w:t>
      </w:r>
      <w:r w:rsidR="0062285E">
        <w:rPr>
          <w:rFonts w:hint="cs"/>
          <w:rtl/>
        </w:rPr>
        <w:t>ّ</w:t>
      </w:r>
      <w:r>
        <w:rPr>
          <w:rFonts w:hint="cs"/>
          <w:rtl/>
        </w:rPr>
        <w:t xml:space="preserve"> من الأوّل</w:t>
      </w:r>
      <w:r w:rsidR="0062285E">
        <w:rPr>
          <w:rFonts w:hint="cs"/>
          <w:rtl/>
        </w:rPr>
        <w:t xml:space="preserve"> على مرجعيّة حركة الحسين في الاستنباط الفقهي وهو أمرٌ منحصر في دائرة التفكير الشيعي، لهذا لم نبحث عن قراءات نقّاد الإمام الحسين في خروجه، </w:t>
      </w:r>
      <w:r w:rsidR="00C27F8A">
        <w:rPr>
          <w:rFonts w:hint="cs"/>
          <w:rtl/>
        </w:rPr>
        <w:t>بما في ذلك الرواية التي قدّمها خصوم الحسين من الأمويّين وأنصارهم في تلك الفترة نفسها، وكذلك انتقادات بعض علماء أهل السنّة مثل القاضي أب</w:t>
      </w:r>
      <w:r w:rsidR="00C531A4">
        <w:rPr>
          <w:rFonts w:hint="cs"/>
          <w:rtl/>
        </w:rPr>
        <w:t>ي</w:t>
      </w:r>
      <w:r w:rsidR="00C27F8A">
        <w:rPr>
          <w:rFonts w:hint="cs"/>
          <w:rtl/>
        </w:rPr>
        <w:t xml:space="preserve"> بكر بن العربي المالكي (543هـ)، والمؤرّخ عبد الرحمن بن خلدون (808هـ)، والداعية محبّ الدين الخطيب (1969م)</w:t>
      </w:r>
      <w:r w:rsidR="00C27F8A" w:rsidRPr="00763E4E">
        <w:rPr>
          <w:rFonts w:cs="Taher"/>
          <w:vertAlign w:val="superscript"/>
          <w:rtl/>
        </w:rPr>
        <w:t>(</w:t>
      </w:r>
      <w:r w:rsidR="00C27F8A" w:rsidRPr="00763E4E">
        <w:rPr>
          <w:rFonts w:cs="Taher"/>
          <w:vertAlign w:val="superscript"/>
          <w:rtl/>
        </w:rPr>
        <w:footnoteReference w:id="291"/>
      </w:r>
      <w:r w:rsidR="00C27F8A" w:rsidRPr="00763E4E">
        <w:rPr>
          <w:rFonts w:cs="Taher"/>
          <w:vertAlign w:val="superscript"/>
          <w:rtl/>
        </w:rPr>
        <w:t>)</w:t>
      </w:r>
      <w:r w:rsidR="00C27F8A">
        <w:rPr>
          <w:rFonts w:hint="cs"/>
          <w:rtl/>
        </w:rPr>
        <w:t xml:space="preserve">، </w:t>
      </w:r>
      <w:r w:rsidR="0062285E">
        <w:rPr>
          <w:rFonts w:hint="cs"/>
          <w:rtl/>
        </w:rPr>
        <w:t>ولا على معالجات المستشرقين وأمثالهم للموضوع</w:t>
      </w:r>
      <w:r w:rsidR="00861F1B">
        <w:rPr>
          <w:rFonts w:hint="cs"/>
          <w:rtl/>
        </w:rPr>
        <w:t>،</w:t>
      </w:r>
      <w:r w:rsidR="00C27F8A">
        <w:rPr>
          <w:rFonts w:hint="cs"/>
          <w:rtl/>
        </w:rPr>
        <w:t xml:space="preserve"> مثل بعض الموسوعات ودوائر المعارف الغربيّة</w:t>
      </w:r>
      <w:r w:rsidR="0088102D">
        <w:rPr>
          <w:rFonts w:hint="cs"/>
          <w:rtl/>
        </w:rPr>
        <w:t xml:space="preserve">، </w:t>
      </w:r>
      <w:r w:rsidR="001058B2">
        <w:rPr>
          <w:rFonts w:hint="cs"/>
          <w:rtl/>
        </w:rPr>
        <w:t xml:space="preserve">من نوع أنّ النزاع ذو هويّة قبلية عشائريّة أو مرجعه لاختلاف الطبيعة النفسيّة والشخصيّة بين الحسن والحسين أو غير ذلك، </w:t>
      </w:r>
      <w:r w:rsidR="0088102D">
        <w:rPr>
          <w:rFonts w:hint="cs"/>
          <w:rtl/>
        </w:rPr>
        <w:t>تاركين الأمر لمناسبة أخرى</w:t>
      </w:r>
      <w:r w:rsidR="0062285E">
        <w:rPr>
          <w:rFonts w:hint="cs"/>
          <w:rtl/>
        </w:rPr>
        <w:t>.</w:t>
      </w:r>
    </w:p>
    <w:p w14:paraId="624D365D" w14:textId="77777777" w:rsidR="003D5120" w:rsidRPr="00E4028C" w:rsidRDefault="00B2778F" w:rsidP="00B2778F">
      <w:pPr>
        <w:pStyle w:val="Space1"/>
        <w:rPr>
          <w:rtl/>
        </w:rPr>
      </w:pPr>
      <w:r>
        <w:rPr>
          <w:rFonts w:hint="cs"/>
          <w:b/>
          <w:bCs/>
          <w:rtl/>
        </w:rPr>
        <w:t xml:space="preserve">هذا، ومن الضروري في هذه المللفّات الحسّاسة دراسة الأمور بعيداً عن التحيّزات السياسيّة وغيرها، فالتحيّز والحماس قد يفضيان إلى أخطاء بحثيّة، وكذلك معاداة بعض التيارات الإسلاميّة السياسية قد يوقع في الخطأ عينه. وأختم هنا بكلام مهم </w:t>
      </w:r>
      <w:r w:rsidR="003D5120" w:rsidRPr="005E7475">
        <w:rPr>
          <w:rFonts w:hint="cs"/>
          <w:b/>
          <w:bCs/>
          <w:rtl/>
        </w:rPr>
        <w:t>للميرزا الشعراني</w:t>
      </w:r>
      <w:r>
        <w:rPr>
          <w:rFonts w:hint="cs"/>
          <w:b/>
          <w:bCs/>
          <w:rtl/>
        </w:rPr>
        <w:t>،</w:t>
      </w:r>
      <w:r w:rsidR="003D5120" w:rsidRPr="005E7475">
        <w:rPr>
          <w:rFonts w:hint="cs"/>
          <w:b/>
          <w:bCs/>
          <w:rtl/>
        </w:rPr>
        <w:t xml:space="preserve"> </w:t>
      </w:r>
      <w:r w:rsidR="005E7475">
        <w:rPr>
          <w:rFonts w:hint="cs"/>
          <w:rtl/>
        </w:rPr>
        <w:t xml:space="preserve">حيث يقول: </w:t>
      </w:r>
      <w:r>
        <w:rPr>
          <w:rFonts w:hint="eastAsia"/>
          <w:rtl/>
        </w:rPr>
        <w:t>«</w:t>
      </w:r>
      <w:r w:rsidR="005E7475" w:rsidRPr="005E7475">
        <w:rPr>
          <w:rtl/>
        </w:rPr>
        <w:t>وقد يتفق لبعض الرواة الغالين في عداوة المخالفين والمبالغين في خلاف المنحرفين عن أهل البيت عليهم السلام أن يجاوزوا الحد</w:t>
      </w:r>
      <w:r w:rsidR="00C531A4">
        <w:rPr>
          <w:rFonts w:hint="cs"/>
          <w:rtl/>
        </w:rPr>
        <w:t>ّ</w:t>
      </w:r>
      <w:r w:rsidR="005E7475" w:rsidRPr="005E7475">
        <w:rPr>
          <w:rtl/>
        </w:rPr>
        <w:t xml:space="preserve"> ويلزموا </w:t>
      </w:r>
      <w:r w:rsidR="005E7475">
        <w:rPr>
          <w:rFonts w:hint="cs"/>
          <w:rtl/>
        </w:rPr>
        <w:t>أ</w:t>
      </w:r>
      <w:r w:rsidR="005E7475" w:rsidRPr="005E7475">
        <w:rPr>
          <w:rtl/>
        </w:rPr>
        <w:t>مورا</w:t>
      </w:r>
      <w:r w:rsidR="00C531A4">
        <w:rPr>
          <w:rFonts w:hint="cs"/>
          <w:rtl/>
        </w:rPr>
        <w:t>ً</w:t>
      </w:r>
      <w:r w:rsidR="005E7475" w:rsidRPr="005E7475">
        <w:rPr>
          <w:rtl/>
        </w:rPr>
        <w:t xml:space="preserve"> من غير عمد ليخالفوا أهل الخلاف تدعوهم إلى ذلك شد</w:t>
      </w:r>
      <w:r w:rsidR="005E7475">
        <w:rPr>
          <w:rFonts w:hint="cs"/>
          <w:rtl/>
        </w:rPr>
        <w:t>ّ</w:t>
      </w:r>
      <w:r w:rsidR="005E7475" w:rsidRPr="005E7475">
        <w:rPr>
          <w:rtl/>
        </w:rPr>
        <w:t>ة علاقتهم بالتشيع كما نرى جماعة في الأعصار المتأخرة ينكرون استحباب صوم عاشوراء مع الاتفاق على استحبابه ليخالفوا المخالفين، ويلتزمون بتحريف القرآن ليطعنوا به على أعداء أهل البيت عليهم السلام، مع أن</w:t>
      </w:r>
      <w:r w:rsidR="005E7475">
        <w:rPr>
          <w:rFonts w:hint="cs"/>
          <w:rtl/>
        </w:rPr>
        <w:t>ّ</w:t>
      </w:r>
      <w:r w:rsidR="005E7475" w:rsidRPr="005E7475">
        <w:rPr>
          <w:rtl/>
        </w:rPr>
        <w:t xml:space="preserve"> مطاعنهم في الكثرة بحيث لا يحتاج معها إلى اثبات التحريف وهدم أساس الدين</w:t>
      </w:r>
      <w:r>
        <w:rPr>
          <w:rFonts w:hint="cs"/>
          <w:rtl/>
        </w:rPr>
        <w:t>»</w:t>
      </w:r>
      <w:r w:rsidRPr="00763E4E">
        <w:rPr>
          <w:rFonts w:cs="Taher"/>
          <w:vertAlign w:val="superscript"/>
          <w:rtl/>
        </w:rPr>
        <w:t>(</w:t>
      </w:r>
      <w:r w:rsidRPr="00763E4E">
        <w:rPr>
          <w:rFonts w:cs="Taher"/>
          <w:vertAlign w:val="superscript"/>
          <w:rtl/>
        </w:rPr>
        <w:footnoteReference w:id="292"/>
      </w:r>
      <w:r w:rsidRPr="00763E4E">
        <w:rPr>
          <w:rFonts w:cs="Taher"/>
          <w:vertAlign w:val="superscript"/>
          <w:rtl/>
        </w:rPr>
        <w:t>)</w:t>
      </w:r>
      <w:r>
        <w:rPr>
          <w:rFonts w:hint="cs"/>
          <w:rtl/>
        </w:rPr>
        <w:t>.</w:t>
      </w:r>
    </w:p>
    <w:p w14:paraId="472B7FD3" w14:textId="77777777" w:rsidR="00DD6401" w:rsidRPr="00236AA7" w:rsidRDefault="009125AB" w:rsidP="0096148C">
      <w:pPr>
        <w:pStyle w:val="Heading2"/>
        <w:rPr>
          <w:rtl/>
        </w:rPr>
      </w:pPr>
      <w:bookmarkStart w:id="156" w:name="_Toc307009624"/>
      <w:bookmarkStart w:id="157" w:name="_Toc143804161"/>
      <w:bookmarkStart w:id="158" w:name="_Toc238123286"/>
      <w:r>
        <w:rPr>
          <w:rFonts w:hint="cs"/>
          <w:rtl/>
        </w:rPr>
        <w:t xml:space="preserve">المرحلة الثانية: </w:t>
      </w:r>
      <w:r w:rsidR="00DD6401" w:rsidRPr="00236AA7">
        <w:rPr>
          <w:rFonts w:hint="cs"/>
          <w:rtl/>
        </w:rPr>
        <w:t>التأثيرات الفقهي</w:t>
      </w:r>
      <w:r w:rsidR="002D6A56">
        <w:rPr>
          <w:rFonts w:hint="cs"/>
          <w:rtl/>
        </w:rPr>
        <w:t>ّ</w:t>
      </w:r>
      <w:r w:rsidR="00DD6401" w:rsidRPr="00236AA7">
        <w:rPr>
          <w:rFonts w:hint="cs"/>
          <w:rtl/>
        </w:rPr>
        <w:t xml:space="preserve">ة </w:t>
      </w:r>
      <w:r w:rsidR="003D5D12">
        <w:rPr>
          <w:rFonts w:hint="cs"/>
          <w:rtl/>
        </w:rPr>
        <w:t>وإشكاليّات الاستنتاج والتوظيف</w:t>
      </w:r>
      <w:bookmarkEnd w:id="156"/>
      <w:bookmarkEnd w:id="157"/>
      <w:bookmarkEnd w:id="158"/>
    </w:p>
    <w:p w14:paraId="6AD3AD06" w14:textId="77777777" w:rsidR="00DD6401" w:rsidRPr="00FB681A" w:rsidRDefault="00DD6401" w:rsidP="00DD6401">
      <w:pPr>
        <w:rPr>
          <w:b/>
          <w:bCs/>
          <w:rtl/>
        </w:rPr>
      </w:pPr>
      <w:r w:rsidRPr="00FB681A">
        <w:rPr>
          <w:rFonts w:hint="cs"/>
          <w:b/>
          <w:bCs/>
          <w:rtl/>
        </w:rPr>
        <w:lastRenderedPageBreak/>
        <w:t>طبقاً لما تقدّم، ومع استبعاد التفسير الأو</w:t>
      </w:r>
      <w:r w:rsidR="000B0261" w:rsidRPr="00FB681A">
        <w:rPr>
          <w:rFonts w:hint="cs"/>
          <w:b/>
          <w:bCs/>
          <w:rtl/>
        </w:rPr>
        <w:t>ّ</w:t>
      </w:r>
      <w:r w:rsidRPr="00FB681A">
        <w:rPr>
          <w:rFonts w:hint="cs"/>
          <w:b/>
          <w:bCs/>
          <w:rtl/>
        </w:rPr>
        <w:t>ل، ودوران الأمر بين الثلاثة الباقية، أو بالبيان الذي بيّناه بما يجمع بين بعضها، لا بد</w:t>
      </w:r>
      <w:r w:rsidR="00FB681A" w:rsidRPr="00FB681A">
        <w:rPr>
          <w:rFonts w:hint="cs"/>
          <w:b/>
          <w:bCs/>
          <w:rtl/>
        </w:rPr>
        <w:t>ّ</w:t>
      </w:r>
      <w:r w:rsidRPr="00FB681A">
        <w:rPr>
          <w:rFonts w:hint="cs"/>
          <w:b/>
          <w:bCs/>
          <w:rtl/>
        </w:rPr>
        <w:t xml:space="preserve"> من الخروج بنتائج؛ من هنا:</w:t>
      </w:r>
    </w:p>
    <w:p w14:paraId="55A1A42F" w14:textId="77777777" w:rsidR="00DD6401" w:rsidRPr="00E4028C" w:rsidRDefault="00DD6401" w:rsidP="00E662C2">
      <w:pPr>
        <w:rPr>
          <w:rtl/>
        </w:rPr>
      </w:pPr>
      <w:r w:rsidRPr="00FB681A">
        <w:rPr>
          <w:rFonts w:hint="cs"/>
          <w:b/>
          <w:bCs/>
          <w:rtl/>
        </w:rPr>
        <w:t>أ ـ</w:t>
      </w:r>
      <w:r w:rsidRPr="00E4028C">
        <w:rPr>
          <w:rFonts w:hint="cs"/>
          <w:rtl/>
        </w:rPr>
        <w:t xml:space="preserve"> لا شك ـ مبدئياً ـ في أن</w:t>
      </w:r>
      <w:r w:rsidR="00FB681A">
        <w:rPr>
          <w:rFonts w:hint="cs"/>
          <w:rtl/>
        </w:rPr>
        <w:t>ّ</w:t>
      </w:r>
      <w:r w:rsidRPr="00E4028C">
        <w:rPr>
          <w:rFonts w:hint="cs"/>
          <w:rtl/>
        </w:rPr>
        <w:t xml:space="preserve"> التفسير الثالث أقرب هذه التفاسير إلى تصحيح الاستناد ل</w:t>
      </w:r>
      <w:r w:rsidR="00FB681A">
        <w:rPr>
          <w:rFonts w:hint="cs"/>
          <w:rtl/>
        </w:rPr>
        <w:t xml:space="preserve">حركة </w:t>
      </w:r>
      <w:r w:rsidRPr="00E4028C">
        <w:rPr>
          <w:rFonts w:hint="cs"/>
          <w:rtl/>
        </w:rPr>
        <w:t>الحسين في شرعي</w:t>
      </w:r>
      <w:r w:rsidR="00FB681A">
        <w:rPr>
          <w:rFonts w:hint="cs"/>
          <w:rtl/>
        </w:rPr>
        <w:t>ّ</w:t>
      </w:r>
      <w:r w:rsidRPr="00E4028C">
        <w:rPr>
          <w:rFonts w:hint="cs"/>
          <w:rtl/>
        </w:rPr>
        <w:t>ة الخروج على الحاكم الجائر خروجاً مسلّحاً؛ لأن</w:t>
      </w:r>
      <w:r w:rsidR="00FB681A">
        <w:rPr>
          <w:rFonts w:hint="cs"/>
          <w:rtl/>
        </w:rPr>
        <w:t>ّ</w:t>
      </w:r>
      <w:r w:rsidRPr="00E4028C">
        <w:rPr>
          <w:rFonts w:hint="cs"/>
          <w:rtl/>
        </w:rPr>
        <w:t>ها تفرض أنّ الحسين خرج بصورة عسكري</w:t>
      </w:r>
      <w:r w:rsidR="00FB681A">
        <w:rPr>
          <w:rFonts w:hint="cs"/>
          <w:rtl/>
        </w:rPr>
        <w:t>ّ</w:t>
      </w:r>
      <w:r w:rsidRPr="00E4028C">
        <w:rPr>
          <w:rFonts w:hint="cs"/>
          <w:rtl/>
        </w:rPr>
        <w:t>ة لإسقاط نظام ظالم، فتكون دلالتها على ما نحن فيه واضحة جد</w:t>
      </w:r>
      <w:r w:rsidR="00FB681A">
        <w:rPr>
          <w:rFonts w:hint="cs"/>
          <w:rtl/>
        </w:rPr>
        <w:t>ّ</w:t>
      </w:r>
      <w:r w:rsidRPr="00E4028C">
        <w:rPr>
          <w:rFonts w:hint="cs"/>
          <w:rtl/>
        </w:rPr>
        <w:t>اً.</w:t>
      </w:r>
      <w:r w:rsidR="00E662C2">
        <w:rPr>
          <w:rFonts w:hint="cs"/>
          <w:rtl/>
        </w:rPr>
        <w:t xml:space="preserve"> ومعنى "الصورة العسكريّة" هو أنّ الحسين توافق مع قوات مسلّحة تمثلها العشائر والقبائل وانقلب بها على نظام الحكم في الشام.</w:t>
      </w:r>
    </w:p>
    <w:p w14:paraId="35247338" w14:textId="77777777" w:rsidR="00DD6401" w:rsidRPr="00E4028C" w:rsidRDefault="00DD6401" w:rsidP="00637739">
      <w:pPr>
        <w:rPr>
          <w:rtl/>
        </w:rPr>
      </w:pPr>
      <w:r w:rsidRPr="00E4028C">
        <w:rPr>
          <w:rFonts w:hint="cs"/>
          <w:b/>
          <w:bCs/>
          <w:rtl/>
        </w:rPr>
        <w:t>ب ـ</w:t>
      </w:r>
      <w:r w:rsidRPr="00E4028C">
        <w:rPr>
          <w:rFonts w:hint="cs"/>
          <w:rtl/>
        </w:rPr>
        <w:t xml:space="preserve"> أم</w:t>
      </w:r>
      <w:r w:rsidR="00E662C2">
        <w:rPr>
          <w:rFonts w:hint="cs"/>
          <w:rtl/>
        </w:rPr>
        <w:t>ّ</w:t>
      </w:r>
      <w:r w:rsidRPr="00E4028C">
        <w:rPr>
          <w:rFonts w:hint="cs"/>
          <w:rtl/>
        </w:rPr>
        <w:t>ا إذا أخذنا بالتفسير الرابع فقد يقال: إنّ هذا التفسير يعطينا دلالة على جواز الاستشهاد العمدي لإيقاظ الأم</w:t>
      </w:r>
      <w:r w:rsidR="00E662C2">
        <w:rPr>
          <w:rFonts w:hint="cs"/>
          <w:rtl/>
        </w:rPr>
        <w:t>ّ</w:t>
      </w:r>
      <w:r w:rsidRPr="00E4028C">
        <w:rPr>
          <w:rFonts w:hint="cs"/>
          <w:rtl/>
        </w:rPr>
        <w:t>ة، دون الدلالة على شرعي</w:t>
      </w:r>
      <w:r w:rsidR="00E662C2">
        <w:rPr>
          <w:rFonts w:hint="cs"/>
          <w:rtl/>
        </w:rPr>
        <w:t>ّ</w:t>
      </w:r>
      <w:r w:rsidRPr="00E4028C">
        <w:rPr>
          <w:rFonts w:hint="cs"/>
          <w:rtl/>
        </w:rPr>
        <w:t>ة الخروج المسلّح لإسقاط النظام أو إقامة نظام إسلامي؛ لأن</w:t>
      </w:r>
      <w:r w:rsidR="00E662C2">
        <w:rPr>
          <w:rFonts w:hint="cs"/>
          <w:rtl/>
        </w:rPr>
        <w:t>ّ</w:t>
      </w:r>
      <w:r w:rsidRPr="00E4028C">
        <w:rPr>
          <w:rFonts w:hint="cs"/>
          <w:rtl/>
        </w:rPr>
        <w:t xml:space="preserve"> الحسين ـ حسب الفرض ـ لم يكن يريد لا إسقاط نظام بني أمي</w:t>
      </w:r>
      <w:r w:rsidR="00E662C2">
        <w:rPr>
          <w:rFonts w:hint="cs"/>
          <w:rtl/>
        </w:rPr>
        <w:t>ّ</w:t>
      </w:r>
      <w:r w:rsidRPr="00E4028C">
        <w:rPr>
          <w:rFonts w:hint="cs"/>
          <w:rtl/>
        </w:rPr>
        <w:t>ة</w:t>
      </w:r>
      <w:r w:rsidR="00E662C2">
        <w:rPr>
          <w:rFonts w:hint="cs"/>
          <w:rtl/>
        </w:rPr>
        <w:t xml:space="preserve"> بنفسه</w:t>
      </w:r>
      <w:r w:rsidRPr="00E4028C">
        <w:rPr>
          <w:rFonts w:hint="cs"/>
          <w:rtl/>
        </w:rPr>
        <w:t>، ولا إقامة نظام</w:t>
      </w:r>
      <w:r w:rsidR="00E662C2">
        <w:rPr>
          <w:rFonts w:hint="cs"/>
          <w:rtl/>
        </w:rPr>
        <w:t>ٍ</w:t>
      </w:r>
      <w:r w:rsidRPr="00E4028C">
        <w:rPr>
          <w:rFonts w:hint="cs"/>
          <w:rtl/>
        </w:rPr>
        <w:t xml:space="preserve"> إسلامي بديل</w:t>
      </w:r>
      <w:r w:rsidR="00E662C2">
        <w:rPr>
          <w:rFonts w:hint="cs"/>
          <w:rtl/>
        </w:rPr>
        <w:t xml:space="preserve"> كذلك</w:t>
      </w:r>
      <w:r w:rsidRPr="00E4028C">
        <w:rPr>
          <w:rFonts w:hint="cs"/>
          <w:rtl/>
        </w:rPr>
        <w:t>.</w:t>
      </w:r>
    </w:p>
    <w:p w14:paraId="52650482" w14:textId="77777777" w:rsidR="00DD6401" w:rsidRPr="00E4028C" w:rsidRDefault="00DD6401" w:rsidP="00637739">
      <w:pPr>
        <w:rPr>
          <w:rtl/>
        </w:rPr>
      </w:pPr>
      <w:r w:rsidRPr="00E4028C">
        <w:rPr>
          <w:rFonts w:hint="cs"/>
          <w:rtl/>
        </w:rPr>
        <w:t>لكن مع ذلك، وإذا مارسنا نظرة مقاصدي</w:t>
      </w:r>
      <w:r w:rsidR="00E662C2">
        <w:rPr>
          <w:rFonts w:hint="cs"/>
          <w:rtl/>
        </w:rPr>
        <w:t>ّ</w:t>
      </w:r>
      <w:r w:rsidRPr="00E4028C">
        <w:rPr>
          <w:rFonts w:hint="cs"/>
          <w:rtl/>
        </w:rPr>
        <w:t>ة ل</w:t>
      </w:r>
      <w:r w:rsidR="00E662C2">
        <w:rPr>
          <w:rFonts w:hint="cs"/>
          <w:rtl/>
        </w:rPr>
        <w:t xml:space="preserve">حركة </w:t>
      </w:r>
      <w:r w:rsidRPr="00E4028C">
        <w:rPr>
          <w:rFonts w:hint="cs"/>
          <w:rtl/>
        </w:rPr>
        <w:t>الحسين ـ طبقاً لهذا التفسير ـ سنجد أنّ هذا الخروج عندما يراد له أن يحيى ضمير الأمة فمعناه أن</w:t>
      </w:r>
      <w:r w:rsidR="00E662C2">
        <w:rPr>
          <w:rFonts w:hint="cs"/>
          <w:rtl/>
        </w:rPr>
        <w:t>ّ</w:t>
      </w:r>
      <w:r w:rsidRPr="00E4028C">
        <w:rPr>
          <w:rFonts w:hint="cs"/>
          <w:rtl/>
        </w:rPr>
        <w:t>ه يدفعها لاستنساخه وممارسة تجربة شبيهة به، أي أن</w:t>
      </w:r>
      <w:r w:rsidR="00E662C2">
        <w:rPr>
          <w:rFonts w:hint="cs"/>
          <w:rtl/>
        </w:rPr>
        <w:t>ّ</w:t>
      </w:r>
      <w:r w:rsidRPr="00E4028C">
        <w:rPr>
          <w:rFonts w:hint="cs"/>
          <w:rtl/>
        </w:rPr>
        <w:t>ه من الناحية الطبيعية المفترضة سوف يحرّك جماهير الأم</w:t>
      </w:r>
      <w:r w:rsidR="00E662C2">
        <w:rPr>
          <w:rFonts w:hint="cs"/>
          <w:rtl/>
        </w:rPr>
        <w:t>ّ</w:t>
      </w:r>
      <w:r w:rsidRPr="00E4028C">
        <w:rPr>
          <w:rFonts w:hint="cs"/>
          <w:rtl/>
        </w:rPr>
        <w:t>ة للثورة والرفض، وإلا ماذا سيكون معنى إحياء ضمير الأمة وهزّ كيانها الذي يتحدّث عنه هذا التفسير؟!</w:t>
      </w:r>
      <w:r w:rsidR="00E662C2">
        <w:rPr>
          <w:rFonts w:hint="cs"/>
          <w:rtl/>
        </w:rPr>
        <w:t xml:space="preserve"> وكيف يمكن أن يتحقّق إسقاط نظام الشام آنذاك بعد نهضة الأمّة بغير القوّة المسلّحة؟!</w:t>
      </w:r>
    </w:p>
    <w:p w14:paraId="086ACEEA" w14:textId="77777777" w:rsidR="00DD6401" w:rsidRPr="00E662C2" w:rsidRDefault="00E662C2" w:rsidP="0080185A">
      <w:pPr>
        <w:pStyle w:val="Space1"/>
        <w:rPr>
          <w:b/>
          <w:bCs/>
          <w:rtl/>
        </w:rPr>
      </w:pPr>
      <w:r>
        <w:rPr>
          <w:rFonts w:hint="cs"/>
          <w:b/>
          <w:bCs/>
          <w:rtl/>
        </w:rPr>
        <w:t xml:space="preserve">هذا، </w:t>
      </w:r>
      <w:r w:rsidR="00DD6401" w:rsidRPr="00E662C2">
        <w:rPr>
          <w:rFonts w:hint="cs"/>
          <w:b/>
          <w:bCs/>
          <w:rtl/>
        </w:rPr>
        <w:t>وثمّة إشكالي</w:t>
      </w:r>
      <w:r>
        <w:rPr>
          <w:rFonts w:hint="cs"/>
          <w:b/>
          <w:bCs/>
          <w:rtl/>
        </w:rPr>
        <w:t>ّ</w:t>
      </w:r>
      <w:r w:rsidR="00DD6401" w:rsidRPr="00E662C2">
        <w:rPr>
          <w:rFonts w:hint="cs"/>
          <w:b/>
          <w:bCs/>
          <w:rtl/>
        </w:rPr>
        <w:t>ات هنا نطرحها</w:t>
      </w:r>
      <w:r w:rsidR="0080185A" w:rsidRPr="00E662C2">
        <w:rPr>
          <w:rFonts w:hint="cs"/>
          <w:b/>
          <w:bCs/>
          <w:rtl/>
        </w:rPr>
        <w:t xml:space="preserve"> لمزيد من الدرس والبحث والتفكير:</w:t>
      </w:r>
    </w:p>
    <w:p w14:paraId="049098C4" w14:textId="77777777" w:rsidR="00DD6401" w:rsidRPr="00236AA7" w:rsidRDefault="009125AB" w:rsidP="0096148C">
      <w:pPr>
        <w:pStyle w:val="Heading3"/>
        <w:rPr>
          <w:rtl/>
        </w:rPr>
      </w:pPr>
      <w:bookmarkStart w:id="159" w:name="_Toc307009625"/>
      <w:bookmarkStart w:id="160" w:name="_Toc143804162"/>
      <w:bookmarkStart w:id="161" w:name="_Toc238123287"/>
      <w:r>
        <w:rPr>
          <w:rFonts w:hint="cs"/>
          <w:rtl/>
        </w:rPr>
        <w:t xml:space="preserve">أ ـ </w:t>
      </w:r>
      <w:r w:rsidR="00DD6401" w:rsidRPr="00236AA7">
        <w:rPr>
          <w:rFonts w:hint="cs"/>
          <w:rtl/>
        </w:rPr>
        <w:t>إشكالي</w:t>
      </w:r>
      <w:r w:rsidR="00E662C2">
        <w:rPr>
          <w:rFonts w:hint="cs"/>
          <w:rtl/>
        </w:rPr>
        <w:t>ّ</w:t>
      </w:r>
      <w:r w:rsidR="00DD6401" w:rsidRPr="00236AA7">
        <w:rPr>
          <w:rFonts w:hint="cs"/>
          <w:rtl/>
        </w:rPr>
        <w:t>ة البُعد اللاديني في السلطة</w:t>
      </w:r>
      <w:bookmarkEnd w:id="159"/>
      <w:bookmarkEnd w:id="160"/>
      <w:bookmarkEnd w:id="161"/>
    </w:p>
    <w:p w14:paraId="3A413BB2" w14:textId="77777777" w:rsidR="00DD6401" w:rsidRPr="00E4028C" w:rsidRDefault="00DD6401" w:rsidP="00637739">
      <w:pPr>
        <w:pStyle w:val="normal84"/>
      </w:pPr>
      <w:r w:rsidRPr="00E4028C">
        <w:rPr>
          <w:rFonts w:hint="cs"/>
          <w:rtl/>
        </w:rPr>
        <w:t>وتعني هذه الإشكاليّة أنّ الحسين كان يريد كشف عدم شرعي</w:t>
      </w:r>
      <w:r w:rsidR="00E662C2">
        <w:rPr>
          <w:rFonts w:hint="cs"/>
          <w:rtl/>
        </w:rPr>
        <w:t>ّ</w:t>
      </w:r>
      <w:r w:rsidRPr="00E4028C">
        <w:rPr>
          <w:rFonts w:hint="cs"/>
          <w:rtl/>
        </w:rPr>
        <w:t>ة هذه السلطة وعدم كونها ديني</w:t>
      </w:r>
      <w:r w:rsidR="00E662C2">
        <w:rPr>
          <w:rFonts w:hint="cs"/>
          <w:rtl/>
        </w:rPr>
        <w:t>ّ</w:t>
      </w:r>
      <w:r w:rsidRPr="00E4028C">
        <w:rPr>
          <w:rFonts w:hint="cs"/>
          <w:rtl/>
        </w:rPr>
        <w:t>ة</w:t>
      </w:r>
      <w:r w:rsidR="00E662C2">
        <w:rPr>
          <w:rFonts w:hint="cs"/>
          <w:rtl/>
        </w:rPr>
        <w:t>ً</w:t>
      </w:r>
      <w:r w:rsidRPr="00E4028C">
        <w:rPr>
          <w:rFonts w:hint="cs"/>
          <w:rtl/>
        </w:rPr>
        <w:t>، وأن</w:t>
      </w:r>
      <w:r w:rsidR="00E662C2">
        <w:rPr>
          <w:rFonts w:hint="cs"/>
          <w:rtl/>
        </w:rPr>
        <w:t>ّ</w:t>
      </w:r>
      <w:r w:rsidRPr="00E4028C">
        <w:rPr>
          <w:rFonts w:hint="cs"/>
          <w:rtl/>
        </w:rPr>
        <w:t xml:space="preserve"> جمعها بين الديني والدنيوي كان جمعاً باطلاً، كما يذهب إليه العلامة محمد مهدي شمس الدين</w:t>
      </w:r>
      <w:r w:rsidRPr="00763E4E">
        <w:rPr>
          <w:rFonts w:cs="Taher"/>
          <w:vertAlign w:val="superscript"/>
          <w:rtl/>
        </w:rPr>
        <w:t>(</w:t>
      </w:r>
      <w:r w:rsidRPr="00763E4E">
        <w:rPr>
          <w:rFonts w:cs="Taher"/>
          <w:vertAlign w:val="superscript"/>
          <w:rtl/>
        </w:rPr>
        <w:footnoteReference w:id="293"/>
      </w:r>
      <w:r w:rsidRPr="00763E4E">
        <w:rPr>
          <w:rFonts w:cs="Taher"/>
          <w:vertAlign w:val="superscript"/>
          <w:rtl/>
        </w:rPr>
        <w:t>)</w:t>
      </w:r>
      <w:r w:rsidRPr="00E4028C">
        <w:rPr>
          <w:rtl/>
        </w:rPr>
        <w:t xml:space="preserve">، </w:t>
      </w:r>
      <w:r w:rsidRPr="00E4028C">
        <w:rPr>
          <w:rFonts w:hint="cs"/>
          <w:rtl/>
        </w:rPr>
        <w:t>فهو يريد كشف (لا دينية النظام) بأسلوب من الصدمة الوجداني</w:t>
      </w:r>
      <w:r w:rsidR="00E662C2">
        <w:rPr>
          <w:rFonts w:hint="cs"/>
          <w:rtl/>
        </w:rPr>
        <w:t>ّ</w:t>
      </w:r>
      <w:r w:rsidRPr="00E4028C">
        <w:rPr>
          <w:rFonts w:hint="cs"/>
          <w:rtl/>
        </w:rPr>
        <w:t xml:space="preserve">ة، عندما يرى </w:t>
      </w:r>
      <w:r w:rsidRPr="00E4028C">
        <w:rPr>
          <w:rFonts w:hint="cs"/>
          <w:rtl/>
        </w:rPr>
        <w:lastRenderedPageBreak/>
        <w:t>المسلمون أن</w:t>
      </w:r>
      <w:r w:rsidR="00E662C2">
        <w:rPr>
          <w:rFonts w:hint="cs"/>
          <w:rtl/>
        </w:rPr>
        <w:t>ّ</w:t>
      </w:r>
      <w:r w:rsidRPr="00E4028C">
        <w:rPr>
          <w:rFonts w:hint="cs"/>
          <w:rtl/>
        </w:rPr>
        <w:t xml:space="preserve"> هذا النظام قد قتل أسرة النبي</w:t>
      </w:r>
      <w:r w:rsidR="00E662C2">
        <w:rPr>
          <w:rFonts w:hint="cs"/>
          <w:rtl/>
        </w:rPr>
        <w:t>ّ‘</w:t>
      </w:r>
      <w:r w:rsidRPr="00E4028C">
        <w:rPr>
          <w:rFonts w:hint="cs"/>
          <w:rtl/>
        </w:rPr>
        <w:t xml:space="preserve"> وشخصي</w:t>
      </w:r>
      <w:r w:rsidR="00E662C2">
        <w:rPr>
          <w:rFonts w:hint="cs"/>
          <w:rtl/>
        </w:rPr>
        <w:t>ّ</w:t>
      </w:r>
      <w:r w:rsidRPr="00E4028C">
        <w:rPr>
          <w:rFonts w:hint="cs"/>
          <w:rtl/>
        </w:rPr>
        <w:t>ات من وجوه الصحابة، وليكون ذلك انطلاقاً لعدم جعل هذا النظام ورموزه ناطقين باسم الدين ولا معبّرين عنه، بقطع النظر عن لزوم إسقاطهم من سدّة السلطة بالقو</w:t>
      </w:r>
      <w:r w:rsidR="00E662C2">
        <w:rPr>
          <w:rFonts w:hint="cs"/>
          <w:rtl/>
        </w:rPr>
        <w:t>ّ</w:t>
      </w:r>
      <w:r w:rsidRPr="00E4028C">
        <w:rPr>
          <w:rFonts w:hint="cs"/>
          <w:rtl/>
        </w:rPr>
        <w:t xml:space="preserve">ة أو لا، فطبقاً لهذا التفسير الرابع قد يصعب الاستناد إلى الثورة </w:t>
      </w:r>
      <w:r w:rsidRPr="00D435D0">
        <w:rPr>
          <w:rFonts w:hint="cs"/>
          <w:rtl/>
        </w:rPr>
        <w:t>الحسيني</w:t>
      </w:r>
      <w:r w:rsidR="00E662C2">
        <w:rPr>
          <w:rFonts w:hint="cs"/>
          <w:rtl/>
        </w:rPr>
        <w:t>ّ</w:t>
      </w:r>
      <w:r w:rsidRPr="00D435D0">
        <w:rPr>
          <w:rFonts w:hint="cs"/>
          <w:rtl/>
        </w:rPr>
        <w:t>ة</w:t>
      </w:r>
      <w:r w:rsidRPr="00E4028C">
        <w:rPr>
          <w:rFonts w:hint="cs"/>
          <w:rtl/>
        </w:rPr>
        <w:t xml:space="preserve"> للإفتاء بجواز الثورة المسلّحة </w:t>
      </w:r>
      <w:r w:rsidR="00E662C2">
        <w:rPr>
          <w:rFonts w:hint="cs"/>
          <w:rtl/>
        </w:rPr>
        <w:t xml:space="preserve">وشبهها </w:t>
      </w:r>
      <w:r w:rsidRPr="00E4028C">
        <w:rPr>
          <w:rFonts w:hint="cs"/>
          <w:rtl/>
        </w:rPr>
        <w:t>إلا في حالات شبيهة، مثل إرادة كشف لا ديني</w:t>
      </w:r>
      <w:r w:rsidR="00E662C2">
        <w:rPr>
          <w:rFonts w:hint="cs"/>
          <w:rtl/>
        </w:rPr>
        <w:t>ّ</w:t>
      </w:r>
      <w:r w:rsidRPr="00E4028C">
        <w:rPr>
          <w:rFonts w:hint="cs"/>
          <w:rtl/>
        </w:rPr>
        <w:t>ة الحاكم، لا إسقاطه من سدّة السلطة؛ لأن</w:t>
      </w:r>
      <w:r w:rsidR="00E662C2">
        <w:rPr>
          <w:rFonts w:hint="cs"/>
          <w:rtl/>
        </w:rPr>
        <w:t>ّ</w:t>
      </w:r>
      <w:r w:rsidRPr="00E4028C">
        <w:rPr>
          <w:rFonts w:hint="cs"/>
          <w:rtl/>
        </w:rPr>
        <w:t xml:space="preserve"> كشف لا ديني</w:t>
      </w:r>
      <w:r w:rsidR="00E662C2">
        <w:rPr>
          <w:rFonts w:hint="cs"/>
          <w:rtl/>
        </w:rPr>
        <w:t>ّ</w:t>
      </w:r>
      <w:r w:rsidRPr="00E4028C">
        <w:rPr>
          <w:rFonts w:hint="cs"/>
          <w:rtl/>
        </w:rPr>
        <w:t>ته يحمي الإسلام منه حتى لو لم يحمِ المسلمين من بطشه.</w:t>
      </w:r>
    </w:p>
    <w:p w14:paraId="739BE0BF" w14:textId="77777777" w:rsidR="00DD6401" w:rsidRDefault="00DD6401" w:rsidP="00E662C2">
      <w:pPr>
        <w:rPr>
          <w:rtl/>
        </w:rPr>
      </w:pPr>
      <w:r w:rsidRPr="00E662C2">
        <w:rPr>
          <w:rFonts w:hint="cs"/>
          <w:b/>
          <w:bCs/>
          <w:rtl/>
        </w:rPr>
        <w:t>وهذه الملاحظة لا تأتي على التفسير السياسي للثورة،</w:t>
      </w:r>
      <w:r w:rsidRPr="00E4028C">
        <w:rPr>
          <w:rFonts w:hint="cs"/>
          <w:rtl/>
        </w:rPr>
        <w:t xml:space="preserve"> لأنّ هذا التفسير لا يفترض حالة الصدمة الوجداني</w:t>
      </w:r>
      <w:r w:rsidR="00E662C2">
        <w:rPr>
          <w:rFonts w:hint="cs"/>
          <w:rtl/>
        </w:rPr>
        <w:t>ّ</w:t>
      </w:r>
      <w:r w:rsidRPr="00E4028C">
        <w:rPr>
          <w:rFonts w:hint="cs"/>
          <w:rtl/>
        </w:rPr>
        <w:t>ة التي تحدثها شهادة ابن بنت النبي</w:t>
      </w:r>
      <w:r w:rsidR="00E662C2">
        <w:rPr>
          <w:rFonts w:hint="cs"/>
          <w:rtl/>
        </w:rPr>
        <w:t>ّ</w:t>
      </w:r>
      <w:r w:rsidRPr="00E4028C">
        <w:rPr>
          <w:rFonts w:hint="cs"/>
          <w:rtl/>
        </w:rPr>
        <w:t xml:space="preserve"> في الأمّة، وإنما تطال التفسير الرابع بشكل رئيس، وما دامت الاحتمالات التفسيري</w:t>
      </w:r>
      <w:r w:rsidR="00E662C2">
        <w:rPr>
          <w:rFonts w:hint="cs"/>
          <w:rtl/>
        </w:rPr>
        <w:t>ّ</w:t>
      </w:r>
      <w:r w:rsidRPr="00E4028C">
        <w:rPr>
          <w:rFonts w:hint="cs"/>
          <w:rtl/>
        </w:rPr>
        <w:t>ة في فعلٍ ما متعدّدة فيصعب ترجيح أحدها إلا بشاهد</w:t>
      </w:r>
      <w:r w:rsidR="00E662C2">
        <w:rPr>
          <w:rFonts w:hint="cs"/>
          <w:rtl/>
        </w:rPr>
        <w:t>ٍ</w:t>
      </w:r>
      <w:r w:rsidRPr="00E4028C">
        <w:rPr>
          <w:rFonts w:hint="cs"/>
          <w:rtl/>
        </w:rPr>
        <w:t xml:space="preserve"> أو معطيات إضافي</w:t>
      </w:r>
      <w:r w:rsidR="00E662C2">
        <w:rPr>
          <w:rFonts w:hint="cs"/>
          <w:rtl/>
        </w:rPr>
        <w:t>ّ</w:t>
      </w:r>
      <w:r w:rsidRPr="00E4028C">
        <w:rPr>
          <w:rFonts w:hint="cs"/>
          <w:rtl/>
        </w:rPr>
        <w:t>ة أو نفي تمام الاحتمالات الأخرى.</w:t>
      </w:r>
    </w:p>
    <w:p w14:paraId="3E09EB5C" w14:textId="77777777" w:rsidR="008C20F3" w:rsidRPr="00E4028C" w:rsidRDefault="008C20F3" w:rsidP="008C20F3">
      <w:pPr>
        <w:rPr>
          <w:b/>
          <w:bCs/>
          <w:rtl/>
        </w:rPr>
      </w:pPr>
      <w:r>
        <w:rPr>
          <w:rFonts w:hint="cs"/>
          <w:rtl/>
        </w:rPr>
        <w:t>ولعلّ ما يلتقي مع فكرة شمس الدين هنا هو ما نقلناه آنفاً عن الخامنئي؛ فإنّ مقتضى ما ذهب إليه هو اختصاص حالة الخروج بمورد الخوف الوجودي على الإسلام، لا مطلقاً.</w:t>
      </w:r>
    </w:p>
    <w:p w14:paraId="1D96F886" w14:textId="77777777" w:rsidR="00DD6401" w:rsidRPr="00236AA7" w:rsidRDefault="009125AB" w:rsidP="0096148C">
      <w:pPr>
        <w:pStyle w:val="Heading3"/>
        <w:rPr>
          <w:rtl/>
        </w:rPr>
      </w:pPr>
      <w:bookmarkStart w:id="162" w:name="_Toc307009626"/>
      <w:bookmarkStart w:id="163" w:name="_Toc143804163"/>
      <w:bookmarkStart w:id="164" w:name="_Toc238123288"/>
      <w:r>
        <w:rPr>
          <w:rFonts w:hint="cs"/>
          <w:rtl/>
        </w:rPr>
        <w:t xml:space="preserve">ب ـ </w:t>
      </w:r>
      <w:r w:rsidR="00DD6401" w:rsidRPr="00236AA7">
        <w:rPr>
          <w:rFonts w:hint="cs"/>
          <w:rtl/>
        </w:rPr>
        <w:t>إشكالي</w:t>
      </w:r>
      <w:r w:rsidR="00E662C2">
        <w:rPr>
          <w:rFonts w:hint="cs"/>
          <w:rtl/>
        </w:rPr>
        <w:t>ّ</w:t>
      </w:r>
      <w:r w:rsidR="00DD6401" w:rsidRPr="00236AA7">
        <w:rPr>
          <w:rFonts w:hint="cs"/>
          <w:rtl/>
        </w:rPr>
        <w:t>ة الصمت في دلالة الأفعال</w:t>
      </w:r>
      <w:bookmarkEnd w:id="162"/>
      <w:bookmarkEnd w:id="163"/>
      <w:bookmarkEnd w:id="164"/>
    </w:p>
    <w:p w14:paraId="43C8E6D3" w14:textId="77777777" w:rsidR="00DD6401" w:rsidRPr="00E4028C" w:rsidRDefault="00DD6401" w:rsidP="00637739">
      <w:pPr>
        <w:pStyle w:val="normal84"/>
        <w:rPr>
          <w:rtl/>
        </w:rPr>
      </w:pPr>
      <w:r w:rsidRPr="00E4028C">
        <w:rPr>
          <w:rFonts w:hint="cs"/>
          <w:rtl/>
        </w:rPr>
        <w:t>وفي قراءة تخضع لمعايير الدرس الأصولي، قد يورد على الاستدلال ب</w:t>
      </w:r>
      <w:r w:rsidR="00D652C4">
        <w:rPr>
          <w:rFonts w:hint="cs"/>
          <w:rtl/>
        </w:rPr>
        <w:t xml:space="preserve">خروج </w:t>
      </w:r>
      <w:r w:rsidRPr="00E4028C">
        <w:rPr>
          <w:rFonts w:hint="cs"/>
          <w:rtl/>
        </w:rPr>
        <w:t>الحسين ـ كما أورده السيد الحائري</w:t>
      </w:r>
      <w:r w:rsidRPr="00763E4E">
        <w:rPr>
          <w:rFonts w:cs="Taher"/>
          <w:vertAlign w:val="superscript"/>
          <w:rtl/>
        </w:rPr>
        <w:t>(</w:t>
      </w:r>
      <w:r w:rsidRPr="00763E4E">
        <w:rPr>
          <w:rFonts w:cs="Taher"/>
          <w:vertAlign w:val="superscript"/>
          <w:rtl/>
        </w:rPr>
        <w:footnoteReference w:id="294"/>
      </w:r>
      <w:r w:rsidRPr="00763E4E">
        <w:rPr>
          <w:rFonts w:cs="Taher"/>
          <w:vertAlign w:val="superscript"/>
          <w:rtl/>
        </w:rPr>
        <w:t>)</w:t>
      </w:r>
      <w:r w:rsidRPr="00E4028C">
        <w:rPr>
          <w:rFonts w:hint="cs"/>
          <w:vertAlign w:val="superscript"/>
          <w:rtl/>
        </w:rPr>
        <w:t xml:space="preserve"> </w:t>
      </w:r>
      <w:r w:rsidRPr="00E4028C">
        <w:rPr>
          <w:rFonts w:hint="cs"/>
          <w:rtl/>
        </w:rPr>
        <w:t>ـ حتى بالتفسير الثالث فضلاً عن غيره، أن</w:t>
      </w:r>
      <w:r w:rsidR="00D652C4">
        <w:rPr>
          <w:rFonts w:hint="cs"/>
          <w:rtl/>
        </w:rPr>
        <w:t>ّ</w:t>
      </w:r>
      <w:r w:rsidRPr="00E4028C">
        <w:rPr>
          <w:rFonts w:hint="cs"/>
          <w:rtl/>
        </w:rPr>
        <w:t>ها فعل المعصوم، والفعل ليس فيه دلالة إطلاقي</w:t>
      </w:r>
      <w:r w:rsidR="00D652C4">
        <w:rPr>
          <w:rFonts w:hint="cs"/>
          <w:rtl/>
        </w:rPr>
        <w:t>ّ</w:t>
      </w:r>
      <w:r w:rsidRPr="00E4028C">
        <w:rPr>
          <w:rFonts w:hint="cs"/>
          <w:rtl/>
        </w:rPr>
        <w:t>ة؛ فقد يكون خروج الحسين منحصراً بحالة الخوف على الإسلام أن يزول نهائياً، وفي هذه الحال لا شك</w:t>
      </w:r>
      <w:r w:rsidR="00D652C4">
        <w:rPr>
          <w:rFonts w:hint="cs"/>
          <w:rtl/>
        </w:rPr>
        <w:t>ّ</w:t>
      </w:r>
      <w:r w:rsidRPr="00E4028C">
        <w:rPr>
          <w:rFonts w:hint="cs"/>
          <w:rtl/>
        </w:rPr>
        <w:t xml:space="preserve"> في شرعي</w:t>
      </w:r>
      <w:r w:rsidR="00D652C4">
        <w:rPr>
          <w:rFonts w:hint="cs"/>
          <w:rtl/>
        </w:rPr>
        <w:t>ّ</w:t>
      </w:r>
      <w:r w:rsidRPr="00E4028C">
        <w:rPr>
          <w:rFonts w:hint="cs"/>
          <w:rtl/>
        </w:rPr>
        <w:t>ة الخروج، ولو بالعنوان الثانوي، لكن</w:t>
      </w:r>
      <w:r w:rsidR="00D652C4">
        <w:rPr>
          <w:rFonts w:hint="cs"/>
          <w:rtl/>
        </w:rPr>
        <w:t>ّ</w:t>
      </w:r>
      <w:r w:rsidRPr="00E4028C">
        <w:rPr>
          <w:rFonts w:hint="cs"/>
          <w:rtl/>
        </w:rPr>
        <w:t>ه لا يثبت جواز الخروج على الظالم لظلمه للرعي</w:t>
      </w:r>
      <w:r w:rsidR="00D652C4">
        <w:rPr>
          <w:rFonts w:hint="cs"/>
          <w:rtl/>
        </w:rPr>
        <w:t>ّ</w:t>
      </w:r>
      <w:r w:rsidRPr="00E4028C">
        <w:rPr>
          <w:rFonts w:hint="cs"/>
          <w:rtl/>
        </w:rPr>
        <w:t>ة أو لعدم قانوني</w:t>
      </w:r>
      <w:r w:rsidR="00D652C4">
        <w:rPr>
          <w:rFonts w:hint="cs"/>
          <w:rtl/>
        </w:rPr>
        <w:t>ّ</w:t>
      </w:r>
      <w:r w:rsidRPr="00E4028C">
        <w:rPr>
          <w:rFonts w:hint="cs"/>
          <w:rtl/>
        </w:rPr>
        <w:t>ة دولته، أو لفسقه الشخصي أو لعدم حكمه بالإسلام، مع سماحه للدين أن يواصل مسيره أو</w:t>
      </w:r>
      <w:r w:rsidR="00D652C4">
        <w:rPr>
          <w:rFonts w:hint="cs"/>
          <w:rtl/>
        </w:rPr>
        <w:t xml:space="preserve"> نحو ذك.</w:t>
      </w:r>
    </w:p>
    <w:p w14:paraId="0D4C04B2" w14:textId="77777777" w:rsidR="00DD6401" w:rsidRPr="00E4028C" w:rsidRDefault="00DD6401" w:rsidP="00D652C4">
      <w:pPr>
        <w:pStyle w:val="Space2"/>
        <w:rPr>
          <w:rtl/>
        </w:rPr>
      </w:pPr>
      <w:r w:rsidRPr="00D652C4">
        <w:rPr>
          <w:rFonts w:hint="cs"/>
          <w:b/>
          <w:bCs/>
          <w:rtl/>
        </w:rPr>
        <w:t>وهذا الإشكال يعزّزه أن</w:t>
      </w:r>
      <w:r w:rsidR="00D652C4" w:rsidRPr="00D652C4">
        <w:rPr>
          <w:rFonts w:hint="cs"/>
          <w:b/>
          <w:bCs/>
          <w:rtl/>
        </w:rPr>
        <w:t>ّ</w:t>
      </w:r>
      <w:r w:rsidRPr="00D652C4">
        <w:rPr>
          <w:rFonts w:hint="cs"/>
          <w:b/>
          <w:bCs/>
          <w:rtl/>
        </w:rPr>
        <w:t>نا لم نشهد تكراراً لهذه التجربة طوال عهد الأئم</w:t>
      </w:r>
      <w:r w:rsidR="00D652C4" w:rsidRPr="00D652C4">
        <w:rPr>
          <w:rFonts w:hint="cs"/>
          <w:b/>
          <w:bCs/>
          <w:rtl/>
        </w:rPr>
        <w:t>ّ</w:t>
      </w:r>
      <w:r w:rsidR="00D652C4">
        <w:rPr>
          <w:rFonts w:hint="cs"/>
          <w:b/>
          <w:bCs/>
          <w:rtl/>
        </w:rPr>
        <w:t>ة</w:t>
      </w:r>
      <w:r w:rsidRPr="00D652C4">
        <w:rPr>
          <w:rFonts w:hint="cs"/>
          <w:b/>
          <w:bCs/>
          <w:rtl/>
        </w:rPr>
        <w:t>،</w:t>
      </w:r>
      <w:r w:rsidRPr="00E4028C">
        <w:rPr>
          <w:rFonts w:hint="cs"/>
          <w:rtl/>
        </w:rPr>
        <w:t xml:space="preserve"> رغم ظلم وجور الخلفاء الأموي</w:t>
      </w:r>
      <w:r w:rsidR="00D652C4">
        <w:rPr>
          <w:rFonts w:hint="cs"/>
          <w:rtl/>
        </w:rPr>
        <w:t>ّ</w:t>
      </w:r>
      <w:r w:rsidRPr="00E4028C">
        <w:rPr>
          <w:rFonts w:hint="cs"/>
          <w:rtl/>
        </w:rPr>
        <w:t>ين ثم</w:t>
      </w:r>
      <w:r w:rsidR="00D652C4">
        <w:rPr>
          <w:rFonts w:hint="cs"/>
          <w:rtl/>
        </w:rPr>
        <w:t>ّ</w:t>
      </w:r>
      <w:r w:rsidRPr="00E4028C">
        <w:rPr>
          <w:rFonts w:hint="cs"/>
          <w:rtl/>
        </w:rPr>
        <w:t xml:space="preserve"> العباسيين، فكونها التجربة الفريدة، إلى جانب رفض الأئمة لبعض الحركات الثوري</w:t>
      </w:r>
      <w:r w:rsidR="00D652C4">
        <w:rPr>
          <w:rFonts w:hint="cs"/>
          <w:rtl/>
        </w:rPr>
        <w:t>ّ</w:t>
      </w:r>
      <w:r w:rsidRPr="00E4028C">
        <w:rPr>
          <w:rFonts w:hint="cs"/>
          <w:rtl/>
        </w:rPr>
        <w:t xml:space="preserve">ة التي عاصروها </w:t>
      </w:r>
      <w:r w:rsidR="00D652C4">
        <w:rPr>
          <w:rFonts w:hint="cs"/>
          <w:rtl/>
        </w:rPr>
        <w:t xml:space="preserve">ـ كما ألمحنا سابقاً لبعض ذلك ـ </w:t>
      </w:r>
      <w:r w:rsidRPr="00E4028C">
        <w:rPr>
          <w:rFonts w:hint="cs"/>
          <w:rtl/>
        </w:rPr>
        <w:t xml:space="preserve">شاهد على صعوبة اتخاذ تعميم من الثورة </w:t>
      </w:r>
      <w:r w:rsidRPr="00E4028C">
        <w:rPr>
          <w:rFonts w:hint="cs"/>
          <w:rtl/>
        </w:rPr>
        <w:lastRenderedPageBreak/>
        <w:t>لغير القدر المتيق</w:t>
      </w:r>
      <w:r w:rsidR="00D652C4">
        <w:rPr>
          <w:rFonts w:hint="cs"/>
          <w:rtl/>
        </w:rPr>
        <w:t>ّ</w:t>
      </w:r>
      <w:r w:rsidRPr="00E4028C">
        <w:rPr>
          <w:rFonts w:hint="cs"/>
          <w:rtl/>
        </w:rPr>
        <w:t xml:space="preserve">ن المشار إليه، </w:t>
      </w:r>
      <w:r w:rsidR="00D652C4" w:rsidRPr="00D652C4">
        <w:rPr>
          <w:rFonts w:hint="cs"/>
          <w:b/>
          <w:bCs/>
          <w:rtl/>
        </w:rPr>
        <w:t>و</w:t>
      </w:r>
      <w:r w:rsidRPr="00D652C4">
        <w:rPr>
          <w:rFonts w:hint="cs"/>
          <w:b/>
          <w:bCs/>
          <w:rtl/>
        </w:rPr>
        <w:t>لا</w:t>
      </w:r>
      <w:r w:rsidR="00D652C4" w:rsidRPr="00D652C4">
        <w:rPr>
          <w:rFonts w:hint="cs"/>
          <w:b/>
          <w:bCs/>
          <w:rtl/>
        </w:rPr>
        <w:t xml:space="preserve"> </w:t>
      </w:r>
      <w:r w:rsidRPr="00D652C4">
        <w:rPr>
          <w:rFonts w:hint="cs"/>
          <w:b/>
          <w:bCs/>
          <w:rtl/>
        </w:rPr>
        <w:t>سي</w:t>
      </w:r>
      <w:r w:rsidR="00D652C4" w:rsidRPr="00D652C4">
        <w:rPr>
          <w:rFonts w:hint="cs"/>
          <w:b/>
          <w:bCs/>
          <w:rtl/>
        </w:rPr>
        <w:t>ّ</w:t>
      </w:r>
      <w:r w:rsidRPr="00D652C4">
        <w:rPr>
          <w:rFonts w:hint="cs"/>
          <w:b/>
          <w:bCs/>
          <w:rtl/>
        </w:rPr>
        <w:t>ما على نظري</w:t>
      </w:r>
      <w:r w:rsidR="00D652C4" w:rsidRPr="00D652C4">
        <w:rPr>
          <w:rFonts w:hint="cs"/>
          <w:b/>
          <w:bCs/>
          <w:rtl/>
        </w:rPr>
        <w:t>ّ</w:t>
      </w:r>
      <w:r w:rsidRPr="00D652C4">
        <w:rPr>
          <w:rFonts w:hint="cs"/>
          <w:b/>
          <w:bCs/>
          <w:rtl/>
        </w:rPr>
        <w:t xml:space="preserve">ة </w:t>
      </w:r>
      <w:r w:rsidR="00D652C4" w:rsidRPr="00D652C4">
        <w:rPr>
          <w:rFonts w:hint="cs"/>
          <w:b/>
          <w:bCs/>
          <w:rtl/>
        </w:rPr>
        <w:t xml:space="preserve">الشيخ </w:t>
      </w:r>
      <w:r w:rsidRPr="00D652C4">
        <w:rPr>
          <w:rFonts w:hint="cs"/>
          <w:b/>
          <w:bCs/>
          <w:rtl/>
        </w:rPr>
        <w:t>شمس الدين الذي يذهب إلى أن</w:t>
      </w:r>
      <w:r w:rsidR="00D652C4" w:rsidRPr="00D652C4">
        <w:rPr>
          <w:rFonts w:hint="cs"/>
          <w:b/>
          <w:bCs/>
          <w:rtl/>
        </w:rPr>
        <w:t>ّ</w:t>
      </w:r>
      <w:r w:rsidRPr="00D652C4">
        <w:rPr>
          <w:rFonts w:hint="cs"/>
          <w:b/>
          <w:bCs/>
          <w:rtl/>
        </w:rPr>
        <w:t xml:space="preserve"> علياً والحسن لم يخرجا على الخليفة، لا من أجل الخوف من إبادة الشيعة، بل من أجل حفظ كيان الأمة الإسلامي</w:t>
      </w:r>
      <w:r w:rsidR="00D652C4">
        <w:rPr>
          <w:rFonts w:hint="cs"/>
          <w:b/>
          <w:bCs/>
          <w:rtl/>
        </w:rPr>
        <w:t>ّ</w:t>
      </w:r>
      <w:r w:rsidRPr="00D652C4">
        <w:rPr>
          <w:rFonts w:hint="cs"/>
          <w:b/>
          <w:bCs/>
          <w:rtl/>
        </w:rPr>
        <w:t>ة ووحدتها، وهكذا موقف سائر الأئم</w:t>
      </w:r>
      <w:r w:rsidR="00D652C4">
        <w:rPr>
          <w:rFonts w:hint="cs"/>
          <w:b/>
          <w:bCs/>
          <w:rtl/>
        </w:rPr>
        <w:t>ّ</w:t>
      </w:r>
      <w:r w:rsidRPr="00D652C4">
        <w:rPr>
          <w:rFonts w:hint="cs"/>
          <w:b/>
          <w:bCs/>
          <w:rtl/>
        </w:rPr>
        <w:t>ة بعد الحسين</w:t>
      </w:r>
      <w:r w:rsidRPr="00D652C4">
        <w:rPr>
          <w:rFonts w:cs="Taher"/>
          <w:b/>
          <w:bCs/>
          <w:vertAlign w:val="superscript"/>
          <w:rtl/>
        </w:rPr>
        <w:t>(</w:t>
      </w:r>
      <w:r w:rsidRPr="00D652C4">
        <w:rPr>
          <w:rFonts w:cs="Taher"/>
          <w:b/>
          <w:bCs/>
          <w:vertAlign w:val="superscript"/>
          <w:rtl/>
        </w:rPr>
        <w:footnoteReference w:id="295"/>
      </w:r>
      <w:r w:rsidRPr="00D652C4">
        <w:rPr>
          <w:rFonts w:cs="Taher"/>
          <w:b/>
          <w:bCs/>
          <w:vertAlign w:val="superscript"/>
          <w:rtl/>
        </w:rPr>
        <w:t>)</w:t>
      </w:r>
      <w:r w:rsidRPr="00D652C4">
        <w:rPr>
          <w:rFonts w:hint="cs"/>
          <w:b/>
          <w:bCs/>
          <w:rtl/>
        </w:rPr>
        <w:t>.</w:t>
      </w:r>
      <w:r w:rsidRPr="00E4028C">
        <w:rPr>
          <w:rFonts w:hint="cs"/>
          <w:rtl/>
        </w:rPr>
        <w:t xml:space="preserve"> فاعتداء بني أمية على الناس بالظلم والقتل والجور، يضاف إليه احتمال إحساس الخطر على الدين كلّه وقيمه، قد يجيز الخروج المسلّح، لكن</w:t>
      </w:r>
      <w:r w:rsidR="00D652C4">
        <w:rPr>
          <w:rFonts w:hint="cs"/>
          <w:rtl/>
        </w:rPr>
        <w:t>ّ</w:t>
      </w:r>
      <w:r w:rsidRPr="00E4028C">
        <w:rPr>
          <w:rFonts w:hint="cs"/>
          <w:rtl/>
        </w:rPr>
        <w:t>ه من غير المعلوم أن</w:t>
      </w:r>
      <w:r w:rsidR="00D652C4">
        <w:rPr>
          <w:rFonts w:hint="cs"/>
          <w:rtl/>
        </w:rPr>
        <w:t>ّ</w:t>
      </w:r>
      <w:r w:rsidRPr="00E4028C">
        <w:rPr>
          <w:rFonts w:hint="cs"/>
          <w:rtl/>
        </w:rPr>
        <w:t>ه يجيزه في غير هذا النطاق.</w:t>
      </w:r>
    </w:p>
    <w:p w14:paraId="385CE48D" w14:textId="77777777" w:rsidR="00D652C4" w:rsidRDefault="00DD6401" w:rsidP="00D652C4">
      <w:pPr>
        <w:pStyle w:val="Space2"/>
        <w:rPr>
          <w:rtl/>
        </w:rPr>
      </w:pPr>
      <w:r w:rsidRPr="00E4028C">
        <w:rPr>
          <w:rFonts w:hint="cs"/>
          <w:rtl/>
        </w:rPr>
        <w:t>وهذه الإشكالية لا</w:t>
      </w:r>
      <w:r w:rsidR="00D652C4">
        <w:rPr>
          <w:rFonts w:hint="cs"/>
          <w:rtl/>
        </w:rPr>
        <w:t xml:space="preserve"> </w:t>
      </w:r>
      <w:r w:rsidRPr="00E4028C">
        <w:rPr>
          <w:rFonts w:hint="cs"/>
          <w:rtl/>
        </w:rPr>
        <w:t>بد</w:t>
      </w:r>
      <w:r w:rsidR="00D652C4">
        <w:rPr>
          <w:rFonts w:hint="cs"/>
          <w:rtl/>
        </w:rPr>
        <w:t>ّ</w:t>
      </w:r>
      <w:r w:rsidRPr="00E4028C">
        <w:rPr>
          <w:rFonts w:hint="cs"/>
          <w:rtl/>
        </w:rPr>
        <w:t xml:space="preserve"> من الأخذ بها، ومن ثم</w:t>
      </w:r>
      <w:r w:rsidR="00D652C4">
        <w:rPr>
          <w:rFonts w:hint="cs"/>
          <w:rtl/>
        </w:rPr>
        <w:t>ّ</w:t>
      </w:r>
      <w:r w:rsidRPr="00E4028C">
        <w:rPr>
          <w:rFonts w:hint="cs"/>
          <w:rtl/>
        </w:rPr>
        <w:t xml:space="preserve"> التفتيش عن المقدار المتيق</w:t>
      </w:r>
      <w:r w:rsidR="00D652C4">
        <w:rPr>
          <w:rFonts w:hint="cs"/>
          <w:rtl/>
        </w:rPr>
        <w:t>ّ</w:t>
      </w:r>
      <w:r w:rsidRPr="00E4028C">
        <w:rPr>
          <w:rFonts w:hint="cs"/>
          <w:rtl/>
        </w:rPr>
        <w:t>ن للسير خلفه، فتبقى ال</w:t>
      </w:r>
      <w:r w:rsidR="00D652C4">
        <w:rPr>
          <w:rFonts w:hint="cs"/>
          <w:rtl/>
        </w:rPr>
        <w:t xml:space="preserve">حركة </w:t>
      </w:r>
      <w:r w:rsidRPr="00D435D0">
        <w:rPr>
          <w:rFonts w:hint="cs"/>
          <w:rtl/>
        </w:rPr>
        <w:t>الحسينية</w:t>
      </w:r>
      <w:r w:rsidRPr="00E4028C">
        <w:rPr>
          <w:rFonts w:hint="cs"/>
          <w:rtl/>
        </w:rPr>
        <w:t xml:space="preserve"> شاهداً فقهي</w:t>
      </w:r>
      <w:r w:rsidR="00D652C4">
        <w:rPr>
          <w:rFonts w:hint="cs"/>
          <w:rtl/>
        </w:rPr>
        <w:t>ّ</w:t>
      </w:r>
      <w:r w:rsidRPr="00E4028C">
        <w:rPr>
          <w:rFonts w:hint="cs"/>
          <w:rtl/>
        </w:rPr>
        <w:t>اً</w:t>
      </w:r>
      <w:r w:rsidR="00D652C4">
        <w:rPr>
          <w:rFonts w:hint="cs"/>
          <w:rtl/>
        </w:rPr>
        <w:t xml:space="preserve"> هنا،</w:t>
      </w:r>
      <w:r w:rsidRPr="00E4028C">
        <w:rPr>
          <w:rFonts w:hint="cs"/>
          <w:rtl/>
        </w:rPr>
        <w:t xml:space="preserve"> لكنّها لن تحوي إطلاقاً يستوعب تمام حالات فساد الأنظمة</w:t>
      </w:r>
      <w:r w:rsidR="00D652C4">
        <w:rPr>
          <w:rFonts w:hint="cs"/>
          <w:rtl/>
        </w:rPr>
        <w:t>.</w:t>
      </w:r>
    </w:p>
    <w:p w14:paraId="5EB8BE6D" w14:textId="77777777" w:rsidR="00DD6401" w:rsidRDefault="00DD6401" w:rsidP="00D652C4">
      <w:pPr>
        <w:pStyle w:val="Space2"/>
        <w:rPr>
          <w:rtl/>
        </w:rPr>
      </w:pPr>
      <w:r w:rsidRPr="00D652C4">
        <w:rPr>
          <w:rFonts w:hint="cs"/>
          <w:b/>
          <w:bCs/>
          <w:rtl/>
        </w:rPr>
        <w:t xml:space="preserve">والمخرج الوحيد من هذه الإشكالية هو ملاحظة بعض النصوص التي يطبّق فيها الحسين </w:t>
      </w:r>
      <w:r w:rsidR="00D652C4" w:rsidRPr="00D652C4">
        <w:rPr>
          <w:rFonts w:hint="cs"/>
          <w:b/>
          <w:bCs/>
          <w:rtl/>
        </w:rPr>
        <w:t xml:space="preserve">نفسه </w:t>
      </w:r>
      <w:r w:rsidRPr="00D652C4">
        <w:rPr>
          <w:rFonts w:hint="cs"/>
          <w:b/>
          <w:bCs/>
          <w:rtl/>
        </w:rPr>
        <w:t>عمومات نبوي</w:t>
      </w:r>
      <w:r w:rsidR="00D652C4" w:rsidRPr="00D652C4">
        <w:rPr>
          <w:rFonts w:hint="cs"/>
          <w:b/>
          <w:bCs/>
          <w:rtl/>
        </w:rPr>
        <w:t>ّ</w:t>
      </w:r>
      <w:r w:rsidRPr="00D652C4">
        <w:rPr>
          <w:rFonts w:hint="cs"/>
          <w:b/>
          <w:bCs/>
          <w:rtl/>
        </w:rPr>
        <w:t xml:space="preserve">ة على </w:t>
      </w:r>
      <w:r w:rsidR="00D652C4" w:rsidRPr="00D652C4">
        <w:rPr>
          <w:rFonts w:hint="cs"/>
          <w:b/>
          <w:bCs/>
          <w:rtl/>
        </w:rPr>
        <w:t>حركته</w:t>
      </w:r>
      <w:r w:rsidRPr="00D652C4">
        <w:rPr>
          <w:rFonts w:hint="cs"/>
          <w:b/>
          <w:bCs/>
          <w:rtl/>
        </w:rPr>
        <w:t>،</w:t>
      </w:r>
      <w:r w:rsidRPr="00E4028C">
        <w:rPr>
          <w:rFonts w:hint="cs"/>
          <w:rtl/>
        </w:rPr>
        <w:t xml:space="preserve"> فإنّ هذه النصوص ـ إذا رآها الفقيه حج</w:t>
      </w:r>
      <w:r w:rsidR="00D652C4">
        <w:rPr>
          <w:rFonts w:hint="cs"/>
          <w:rtl/>
        </w:rPr>
        <w:t>ّ</w:t>
      </w:r>
      <w:r w:rsidRPr="00E4028C">
        <w:rPr>
          <w:rFonts w:hint="cs"/>
          <w:rtl/>
        </w:rPr>
        <w:t>ةً معتبرة ـ يمكنها أن تكون دليلاً على التعميم، وقد أسلفناها، فلا نعيد؛ لأنّها تجعل حركة الحسين ضمن قانون لفظي يمكن التمسّك بإطلاقه.</w:t>
      </w:r>
    </w:p>
    <w:p w14:paraId="706E4731" w14:textId="77777777" w:rsidR="00D652C4" w:rsidRPr="00D652C4" w:rsidRDefault="00D652C4" w:rsidP="00D652C4">
      <w:pPr>
        <w:pStyle w:val="Space2"/>
        <w:rPr>
          <w:b/>
          <w:bCs/>
          <w:rtl/>
        </w:rPr>
      </w:pPr>
      <w:r w:rsidRPr="00D652C4">
        <w:rPr>
          <w:rFonts w:hint="cs"/>
          <w:b/>
          <w:bCs/>
          <w:rtl/>
        </w:rPr>
        <w:t>وعلى أيّ</w:t>
      </w:r>
      <w:r>
        <w:rPr>
          <w:rFonts w:hint="cs"/>
          <w:b/>
          <w:bCs/>
          <w:rtl/>
        </w:rPr>
        <w:t>ة</w:t>
      </w:r>
      <w:r w:rsidRPr="00D652C4">
        <w:rPr>
          <w:rFonts w:hint="cs"/>
          <w:b/>
          <w:bCs/>
          <w:rtl/>
        </w:rPr>
        <w:t xml:space="preserve"> </w:t>
      </w:r>
      <w:r>
        <w:rPr>
          <w:rFonts w:hint="cs"/>
          <w:b/>
          <w:bCs/>
          <w:rtl/>
        </w:rPr>
        <w:t xml:space="preserve">حال، </w:t>
      </w:r>
      <w:r w:rsidRPr="00D652C4">
        <w:rPr>
          <w:rFonts w:hint="cs"/>
          <w:b/>
          <w:bCs/>
          <w:rtl/>
        </w:rPr>
        <w:t>فالجزم بالتعميم مشكل جدّاً هنا.</w:t>
      </w:r>
    </w:p>
    <w:p w14:paraId="51AE1CB5" w14:textId="77777777" w:rsidR="00DD6401" w:rsidRPr="00236AA7" w:rsidRDefault="009125AB" w:rsidP="0096148C">
      <w:pPr>
        <w:pStyle w:val="Heading3"/>
        <w:rPr>
          <w:rtl/>
        </w:rPr>
      </w:pPr>
      <w:bookmarkStart w:id="165" w:name="_Toc307009627"/>
      <w:bookmarkStart w:id="166" w:name="_Toc143804164"/>
      <w:bookmarkStart w:id="167" w:name="_Toc238123289"/>
      <w:r>
        <w:rPr>
          <w:rFonts w:hint="cs"/>
          <w:rtl/>
        </w:rPr>
        <w:t xml:space="preserve">ج ـ </w:t>
      </w:r>
      <w:r w:rsidR="00DD6401" w:rsidRPr="00236AA7">
        <w:rPr>
          <w:rFonts w:hint="cs"/>
          <w:rtl/>
        </w:rPr>
        <w:t>إشكالي</w:t>
      </w:r>
      <w:r w:rsidR="00D652C4">
        <w:rPr>
          <w:rFonts w:hint="cs"/>
          <w:rtl/>
        </w:rPr>
        <w:t>ّ</w:t>
      </w:r>
      <w:r w:rsidR="00DD6401" w:rsidRPr="00236AA7">
        <w:rPr>
          <w:rFonts w:hint="cs"/>
          <w:rtl/>
        </w:rPr>
        <w:t xml:space="preserve">ة التعارض في أفعال </w:t>
      </w:r>
      <w:r w:rsidR="00D652C4">
        <w:rPr>
          <w:rFonts w:hint="cs"/>
          <w:rtl/>
        </w:rPr>
        <w:t>الأئمّة</w:t>
      </w:r>
      <w:bookmarkEnd w:id="165"/>
      <w:bookmarkEnd w:id="166"/>
      <w:bookmarkEnd w:id="167"/>
    </w:p>
    <w:p w14:paraId="1F9039FA" w14:textId="77777777" w:rsidR="00DD6401" w:rsidRPr="00E4028C" w:rsidRDefault="00D652C4" w:rsidP="00D652C4">
      <w:pPr>
        <w:pStyle w:val="Space1"/>
        <w:rPr>
          <w:rtl/>
        </w:rPr>
      </w:pPr>
      <w:r>
        <w:rPr>
          <w:rFonts w:hint="cs"/>
          <w:rtl/>
        </w:rPr>
        <w:t>هذه ال</w:t>
      </w:r>
      <w:r w:rsidR="00DD6401" w:rsidRPr="00E4028C">
        <w:rPr>
          <w:rFonts w:hint="cs"/>
          <w:rtl/>
        </w:rPr>
        <w:t>إشكاليّة أثارها السيد محمد</w:t>
      </w:r>
      <w:r>
        <w:rPr>
          <w:rFonts w:hint="cs"/>
          <w:rtl/>
        </w:rPr>
        <w:t xml:space="preserve"> محمّد </w:t>
      </w:r>
      <w:r w:rsidR="00DD6401" w:rsidRPr="00E4028C">
        <w:rPr>
          <w:rFonts w:hint="cs"/>
          <w:rtl/>
        </w:rPr>
        <w:t>صادق الصدر، ويقصد بها أنّ الإمام الحسين قد خرج وترك التقية فيما التزم بها سائر الأئم</w:t>
      </w:r>
      <w:r>
        <w:rPr>
          <w:rFonts w:hint="cs"/>
          <w:rtl/>
        </w:rPr>
        <w:t>ّ</w:t>
      </w:r>
      <w:r w:rsidR="00DD6401" w:rsidRPr="00E4028C">
        <w:rPr>
          <w:rFonts w:hint="cs"/>
          <w:rtl/>
        </w:rPr>
        <w:t>ة من بعده، وفي هذه الحال لا نستطيع ترجيح أحد الموقفين ما داما قد صدرا من المعصوم، فتقع المعارضة بين الأفعال وتتساقط، فتسقط الدلالة على العموم ـ أي شمول التكليف للآخرين ـ ويرجع إلى القواعد العام</w:t>
      </w:r>
      <w:r>
        <w:rPr>
          <w:rFonts w:hint="cs"/>
          <w:rtl/>
        </w:rPr>
        <w:t>ّ</w:t>
      </w:r>
      <w:r w:rsidR="00DD6401" w:rsidRPr="00E4028C">
        <w:rPr>
          <w:rFonts w:hint="cs"/>
          <w:rtl/>
        </w:rPr>
        <w:t>ة</w:t>
      </w:r>
      <w:r w:rsidR="00DD6401" w:rsidRPr="00763E4E">
        <w:rPr>
          <w:rFonts w:cs="Taher"/>
          <w:vertAlign w:val="superscript"/>
          <w:rtl/>
        </w:rPr>
        <w:t>(</w:t>
      </w:r>
      <w:r w:rsidR="00DD6401" w:rsidRPr="00763E4E">
        <w:rPr>
          <w:rFonts w:cs="Taher"/>
          <w:vertAlign w:val="superscript"/>
          <w:rtl/>
        </w:rPr>
        <w:footnoteReference w:id="296"/>
      </w:r>
      <w:r w:rsidR="00DD6401" w:rsidRPr="00763E4E">
        <w:rPr>
          <w:rFonts w:cs="Taher"/>
          <w:vertAlign w:val="superscript"/>
          <w:rtl/>
        </w:rPr>
        <w:t>)</w:t>
      </w:r>
      <w:r w:rsidR="00DD6401" w:rsidRPr="00E4028C">
        <w:rPr>
          <w:rFonts w:hint="cs"/>
          <w:rtl/>
        </w:rPr>
        <w:t>.</w:t>
      </w:r>
    </w:p>
    <w:p w14:paraId="7B0CE6B6" w14:textId="77777777" w:rsidR="00DD6401" w:rsidRPr="00E4028C" w:rsidRDefault="00DD6401" w:rsidP="00637739">
      <w:pPr>
        <w:pStyle w:val="normal84"/>
        <w:rPr>
          <w:rtl/>
        </w:rPr>
      </w:pPr>
      <w:r w:rsidRPr="00D652C4">
        <w:rPr>
          <w:rFonts w:hint="cs"/>
          <w:b/>
          <w:bCs/>
          <w:rtl/>
        </w:rPr>
        <w:t>هذا الكلام جيّد إذا قصد به</w:t>
      </w:r>
      <w:r w:rsidRPr="00E4028C">
        <w:rPr>
          <w:rFonts w:hint="cs"/>
          <w:rtl/>
        </w:rPr>
        <w:t xml:space="preserve"> عدم إمكان استفادة وجوب أو جواز الخروج المسلّح بنحو القاعدة العام</w:t>
      </w:r>
      <w:r w:rsidR="00D652C4">
        <w:rPr>
          <w:rFonts w:hint="cs"/>
          <w:rtl/>
        </w:rPr>
        <w:t>ّ</w:t>
      </w:r>
      <w:r w:rsidRPr="00E4028C">
        <w:rPr>
          <w:rFonts w:hint="cs"/>
          <w:rtl/>
        </w:rPr>
        <w:t>ة، إلا أنّه لا يمنع من الأخذ بالقدر المتيق</w:t>
      </w:r>
      <w:r w:rsidR="00D652C4">
        <w:rPr>
          <w:rFonts w:hint="cs"/>
          <w:rtl/>
        </w:rPr>
        <w:t>ّ</w:t>
      </w:r>
      <w:r w:rsidRPr="00E4028C">
        <w:rPr>
          <w:rFonts w:hint="cs"/>
          <w:rtl/>
        </w:rPr>
        <w:t xml:space="preserve">ن لمورد هذا الفعل أو ذاك، فإذا حصلنا على قدر متيقّن </w:t>
      </w:r>
      <w:r w:rsidR="00D652C4">
        <w:rPr>
          <w:rFonts w:hint="cs"/>
          <w:rtl/>
        </w:rPr>
        <w:t xml:space="preserve">في كلّ واحدٍ من الفعلين </w:t>
      </w:r>
      <w:r w:rsidRPr="00E4028C">
        <w:rPr>
          <w:rFonts w:hint="cs"/>
          <w:rtl/>
        </w:rPr>
        <w:t>أمكن الأخذ به بلا محذور؛ لأن</w:t>
      </w:r>
      <w:r w:rsidR="00D652C4">
        <w:rPr>
          <w:rFonts w:hint="cs"/>
          <w:rtl/>
        </w:rPr>
        <w:t>ّ</w:t>
      </w:r>
      <w:r w:rsidRPr="00E4028C">
        <w:rPr>
          <w:rFonts w:hint="cs"/>
          <w:rtl/>
        </w:rPr>
        <w:t xml:space="preserve"> التعارض هنا وقع بين </w:t>
      </w:r>
      <w:r w:rsidRPr="00E4028C">
        <w:rPr>
          <w:rFonts w:hint="cs"/>
          <w:rtl/>
        </w:rPr>
        <w:lastRenderedPageBreak/>
        <w:t>إطلاق</w:t>
      </w:r>
      <w:r w:rsidR="00D652C4">
        <w:rPr>
          <w:rFonts w:hint="cs"/>
          <w:rtl/>
        </w:rPr>
        <w:t>َ</w:t>
      </w:r>
      <w:r w:rsidRPr="00E4028C">
        <w:rPr>
          <w:rFonts w:hint="cs"/>
          <w:rtl/>
        </w:rPr>
        <w:t xml:space="preserve">ي الفعلين </w:t>
      </w:r>
      <w:r w:rsidR="00D652C4">
        <w:rPr>
          <w:rFonts w:hint="cs"/>
          <w:rtl/>
        </w:rPr>
        <w:t xml:space="preserve">دون </w:t>
      </w:r>
      <w:r w:rsidRPr="00E4028C">
        <w:rPr>
          <w:rFonts w:hint="cs"/>
          <w:rtl/>
        </w:rPr>
        <w:t>الفعلين نفسيهما؛ فنرفع اليد عن الإطلاقين ـ على تقدير انعقاد إطلاق هنا ـ لصالح القدر المتيق</w:t>
      </w:r>
      <w:r w:rsidR="00D652C4">
        <w:rPr>
          <w:rFonts w:hint="cs"/>
          <w:rtl/>
        </w:rPr>
        <w:t>ّ</w:t>
      </w:r>
      <w:r w:rsidRPr="00E4028C">
        <w:rPr>
          <w:rFonts w:hint="cs"/>
          <w:rtl/>
        </w:rPr>
        <w:t>ن لكلّ من الفعلين؛ وبهذا لا يخرج فعل الحسين عن الشمول للآخرين؛ بل حتى لو أجمل الأمر كليّاً لا يكون ذلك دليل الاختصاص به، بل هو من باب عدم الدليل على شكل التعميم لنا؛ فالمشكلة إثباتي</w:t>
      </w:r>
      <w:r w:rsidR="00D652C4">
        <w:rPr>
          <w:rFonts w:hint="cs"/>
          <w:rtl/>
        </w:rPr>
        <w:t>ّ</w:t>
      </w:r>
      <w:r w:rsidRPr="00E4028C">
        <w:rPr>
          <w:rFonts w:hint="cs"/>
          <w:rtl/>
        </w:rPr>
        <w:t>ة لا ثبوتية؛ ولهذا ذكرنا هذا الوجه هنا ولم نذكره لدى بحث النظري</w:t>
      </w:r>
      <w:r w:rsidR="00D652C4">
        <w:rPr>
          <w:rFonts w:hint="cs"/>
          <w:rtl/>
        </w:rPr>
        <w:t>ّ</w:t>
      </w:r>
      <w:r w:rsidRPr="00E4028C">
        <w:rPr>
          <w:rFonts w:hint="cs"/>
          <w:rtl/>
        </w:rPr>
        <w:t>ة الأولى.</w:t>
      </w:r>
    </w:p>
    <w:p w14:paraId="38FBCB7B" w14:textId="77777777" w:rsidR="00DD6401" w:rsidRDefault="00DD6401" w:rsidP="00637739">
      <w:pPr>
        <w:pStyle w:val="normal84"/>
        <w:rPr>
          <w:rtl/>
        </w:rPr>
      </w:pPr>
      <w:r w:rsidRPr="001E394D">
        <w:rPr>
          <w:rFonts w:hint="cs"/>
          <w:b/>
          <w:bCs/>
          <w:rtl/>
        </w:rPr>
        <w:t>بل يمكن القول بأنّ الفعل دليل الجواز، فتدل</w:t>
      </w:r>
      <w:r w:rsidR="001E394D" w:rsidRPr="001E394D">
        <w:rPr>
          <w:rFonts w:hint="cs"/>
          <w:b/>
          <w:bCs/>
          <w:rtl/>
        </w:rPr>
        <w:t>ّ</w:t>
      </w:r>
      <w:r w:rsidRPr="001E394D">
        <w:rPr>
          <w:rFonts w:hint="cs"/>
          <w:b/>
          <w:bCs/>
          <w:rtl/>
        </w:rPr>
        <w:t xml:space="preserve"> سيرة مجموعهم على الجواز، أي جواز الثورة وجواز عدمها</w:t>
      </w:r>
      <w:r w:rsidR="001E394D" w:rsidRPr="001E394D">
        <w:rPr>
          <w:rFonts w:hint="cs"/>
          <w:b/>
          <w:bCs/>
          <w:rtl/>
        </w:rPr>
        <w:t xml:space="preserve"> ولو في الجملة</w:t>
      </w:r>
      <w:r w:rsidRPr="001E394D">
        <w:rPr>
          <w:rFonts w:hint="cs"/>
          <w:b/>
          <w:bCs/>
          <w:rtl/>
        </w:rPr>
        <w:t>،</w:t>
      </w:r>
      <w:r w:rsidRPr="00E4028C">
        <w:rPr>
          <w:rFonts w:hint="cs"/>
          <w:rtl/>
        </w:rPr>
        <w:t xml:space="preserve"> وهذا </w:t>
      </w:r>
      <w:r w:rsidR="001E394D">
        <w:rPr>
          <w:rFonts w:hint="cs"/>
          <w:rtl/>
        </w:rPr>
        <w:t xml:space="preserve">جزءٌ من </w:t>
      </w:r>
      <w:r w:rsidRPr="00E4028C">
        <w:rPr>
          <w:rFonts w:hint="cs"/>
          <w:rtl/>
        </w:rPr>
        <w:t xml:space="preserve">مطلوب المستدلّين بثورة الحسين، نعم استفادة الوجوب </w:t>
      </w:r>
      <w:r w:rsidR="001E394D">
        <w:rPr>
          <w:rFonts w:hint="cs"/>
          <w:rtl/>
        </w:rPr>
        <w:t>صعبة</w:t>
      </w:r>
      <w:r w:rsidRPr="00E4028C">
        <w:rPr>
          <w:rFonts w:hint="cs"/>
          <w:rtl/>
        </w:rPr>
        <w:t xml:space="preserve"> ضمن الصيغة والإطار الذي بيّناه أعلاه، إلا إذا قيل: إنّ الاستدلال يكون بمعونة النصوص المحيطة بأفعالهم والتي تمنع عن القيام بغير ما قاموا به، مثل التي تذمّ من يترك التقيّة، أو من يتخلّف عن الحسين، وهذا بحث فقهي آخر يتعدّى دائرة الفعل، فلاحظ جيداً.</w:t>
      </w:r>
    </w:p>
    <w:p w14:paraId="2EB9EECC" w14:textId="77777777" w:rsidR="001E394D" w:rsidRPr="00637739" w:rsidRDefault="001E394D" w:rsidP="00637739">
      <w:pPr>
        <w:pStyle w:val="normal84"/>
        <w:rPr>
          <w:b/>
          <w:bCs/>
          <w:rtl/>
        </w:rPr>
      </w:pPr>
      <w:r w:rsidRPr="00637739">
        <w:rPr>
          <w:rFonts w:hint="cs"/>
          <w:b/>
          <w:bCs/>
          <w:rtl/>
        </w:rPr>
        <w:t>لكن يبقى أنّ أحد الفعلين يحتمل أنّه كان بعنوان ثانوي غير معروف لنا دون العنوان الأوّلي، فلا نستطيع إثبات الجواز بالعنوان الأوّلي، ولا إثبات الحرمة كذلك، بنفسيهما، فيصبح توظيف مثل دليل الفعل هنا في غاية الإشكال، بل تكون نتيجته مبهمة ما لم نخرج بنتائج تاريخيّة توضح المبرّرات والملابسات.</w:t>
      </w:r>
    </w:p>
    <w:p w14:paraId="2E0ADC08" w14:textId="77777777" w:rsidR="00DD6401" w:rsidRPr="00236AA7" w:rsidRDefault="009125AB" w:rsidP="0096148C">
      <w:pPr>
        <w:pStyle w:val="Heading3"/>
        <w:rPr>
          <w:rtl/>
        </w:rPr>
      </w:pPr>
      <w:bookmarkStart w:id="168" w:name="_Toc307009628"/>
      <w:bookmarkStart w:id="169" w:name="_Toc143804165"/>
      <w:bookmarkStart w:id="170" w:name="_Toc238123290"/>
      <w:r>
        <w:rPr>
          <w:rFonts w:hint="cs"/>
          <w:rtl/>
        </w:rPr>
        <w:t xml:space="preserve">د ـ </w:t>
      </w:r>
      <w:r w:rsidR="00DD6401" w:rsidRPr="00236AA7">
        <w:rPr>
          <w:rFonts w:hint="cs"/>
          <w:rtl/>
        </w:rPr>
        <w:t>إشكالي</w:t>
      </w:r>
      <w:r w:rsidR="001E394D">
        <w:rPr>
          <w:rFonts w:hint="cs"/>
          <w:rtl/>
        </w:rPr>
        <w:t>ّ</w:t>
      </w:r>
      <w:r w:rsidR="00DD6401" w:rsidRPr="00236AA7">
        <w:rPr>
          <w:rFonts w:hint="cs"/>
          <w:rtl/>
        </w:rPr>
        <w:t>ة اللاثوري</w:t>
      </w:r>
      <w:r w:rsidR="001E394D">
        <w:rPr>
          <w:rFonts w:hint="cs"/>
          <w:rtl/>
        </w:rPr>
        <w:t>ّ</w:t>
      </w:r>
      <w:r w:rsidR="00DD6401" w:rsidRPr="00236AA7">
        <w:rPr>
          <w:rFonts w:hint="cs"/>
          <w:rtl/>
        </w:rPr>
        <w:t>ة في الحركة الحسيني</w:t>
      </w:r>
      <w:r w:rsidR="001E394D">
        <w:rPr>
          <w:rFonts w:hint="cs"/>
          <w:rtl/>
        </w:rPr>
        <w:t>ّ</w:t>
      </w:r>
      <w:r w:rsidR="00DD6401" w:rsidRPr="00236AA7">
        <w:rPr>
          <w:rFonts w:hint="cs"/>
          <w:rtl/>
        </w:rPr>
        <w:t>ة</w:t>
      </w:r>
      <w:bookmarkEnd w:id="168"/>
      <w:bookmarkEnd w:id="169"/>
      <w:bookmarkEnd w:id="170"/>
    </w:p>
    <w:p w14:paraId="71A7E32A" w14:textId="77777777" w:rsidR="00DD6401" w:rsidRPr="00E4028C" w:rsidRDefault="00DD6401" w:rsidP="00637739">
      <w:pPr>
        <w:pStyle w:val="normal84"/>
        <w:rPr>
          <w:rtl/>
        </w:rPr>
      </w:pPr>
      <w:r w:rsidRPr="00E4028C">
        <w:rPr>
          <w:rFonts w:hint="cs"/>
          <w:rtl/>
        </w:rPr>
        <w:t>ثمّة مشكلة أخرى أمام الاستدلال بال</w:t>
      </w:r>
      <w:r w:rsidR="00B31405">
        <w:rPr>
          <w:rFonts w:hint="cs"/>
          <w:rtl/>
        </w:rPr>
        <w:t xml:space="preserve">حركة </w:t>
      </w:r>
      <w:r w:rsidRPr="00D435D0">
        <w:rPr>
          <w:rFonts w:hint="cs"/>
          <w:rtl/>
        </w:rPr>
        <w:t>الحسينية</w:t>
      </w:r>
      <w:r w:rsidRPr="00E4028C">
        <w:rPr>
          <w:rFonts w:hint="cs"/>
          <w:rtl/>
        </w:rPr>
        <w:t xml:space="preserve"> على جواز الثورة المسلّحة ضد</w:t>
      </w:r>
      <w:r w:rsidR="00B31405">
        <w:rPr>
          <w:rFonts w:hint="cs"/>
          <w:rtl/>
        </w:rPr>
        <w:t>ّ</w:t>
      </w:r>
      <w:r w:rsidRPr="00E4028C">
        <w:rPr>
          <w:rFonts w:hint="cs"/>
          <w:rtl/>
        </w:rPr>
        <w:t xml:space="preserve"> النظام الفاسد، ينقلها العلامة محم</w:t>
      </w:r>
      <w:r w:rsidR="00B31405">
        <w:rPr>
          <w:rFonts w:hint="cs"/>
          <w:rtl/>
        </w:rPr>
        <w:t>ّ</w:t>
      </w:r>
      <w:r w:rsidRPr="00E4028C">
        <w:rPr>
          <w:rFonts w:hint="cs"/>
          <w:rtl/>
        </w:rPr>
        <w:t>د حسين فضل الله</w:t>
      </w:r>
      <w:r w:rsidR="00B31405">
        <w:rPr>
          <w:rFonts w:hint="cs"/>
          <w:rtl/>
        </w:rPr>
        <w:t>،</w:t>
      </w:r>
      <w:r w:rsidRPr="00E4028C">
        <w:rPr>
          <w:rFonts w:hint="cs"/>
          <w:rtl/>
        </w:rPr>
        <w:t xml:space="preserve"> ثم</w:t>
      </w:r>
      <w:r w:rsidR="00B31405">
        <w:rPr>
          <w:rFonts w:hint="cs"/>
          <w:rtl/>
        </w:rPr>
        <w:t>ّ</w:t>
      </w:r>
      <w:r w:rsidRPr="00E4028C">
        <w:rPr>
          <w:rFonts w:hint="cs"/>
          <w:rtl/>
        </w:rPr>
        <w:t xml:space="preserve"> يناقشها بمخالفتها لظاهر النصوص والأحداث </w:t>
      </w:r>
      <w:r w:rsidRPr="00D435D0">
        <w:rPr>
          <w:rFonts w:hint="cs"/>
          <w:rtl/>
        </w:rPr>
        <w:t>الحسيني</w:t>
      </w:r>
      <w:r w:rsidR="00B31405">
        <w:rPr>
          <w:rFonts w:hint="cs"/>
          <w:rtl/>
        </w:rPr>
        <w:t>ّ</w:t>
      </w:r>
      <w:r w:rsidRPr="00D435D0">
        <w:rPr>
          <w:rFonts w:hint="cs"/>
          <w:rtl/>
        </w:rPr>
        <w:t>ة</w:t>
      </w:r>
      <w:r w:rsidRPr="00763E4E">
        <w:rPr>
          <w:rFonts w:cs="Taher"/>
          <w:vertAlign w:val="superscript"/>
          <w:rtl/>
        </w:rPr>
        <w:t>(</w:t>
      </w:r>
      <w:r w:rsidRPr="00763E4E">
        <w:rPr>
          <w:rFonts w:cs="Taher"/>
          <w:vertAlign w:val="superscript"/>
          <w:rtl/>
        </w:rPr>
        <w:footnoteReference w:id="297"/>
      </w:r>
      <w:r w:rsidRPr="00763E4E">
        <w:rPr>
          <w:rFonts w:cs="Taher"/>
          <w:vertAlign w:val="superscript"/>
          <w:rtl/>
        </w:rPr>
        <w:t>)</w:t>
      </w:r>
      <w:r w:rsidRPr="00E4028C">
        <w:rPr>
          <w:rFonts w:hint="cs"/>
          <w:rtl/>
        </w:rPr>
        <w:t>، وه</w:t>
      </w:r>
      <w:r w:rsidR="00B31405">
        <w:rPr>
          <w:rFonts w:hint="cs"/>
          <w:rtl/>
        </w:rPr>
        <w:t>و</w:t>
      </w:r>
      <w:r w:rsidRPr="00E4028C">
        <w:rPr>
          <w:rFonts w:hint="cs"/>
          <w:rtl/>
        </w:rPr>
        <w:t xml:space="preserve"> أنّ الإمام الحسين لم يكن يريد من الأساس القيام بثورة دموية، بل أراد إرسال مسلم بن عقيل للإمساك بزمام الكوفة؛ نتيجة تأييد وجوهها له دون حرب</w:t>
      </w:r>
      <w:r w:rsidR="00B31405">
        <w:rPr>
          <w:rFonts w:hint="cs"/>
          <w:rtl/>
        </w:rPr>
        <w:t>ٍ</w:t>
      </w:r>
      <w:r w:rsidRPr="00E4028C">
        <w:rPr>
          <w:rFonts w:hint="cs"/>
          <w:rtl/>
        </w:rPr>
        <w:t xml:space="preserve"> أو سفك دماء، فلا يحرز أنّه كان يريد الخوض بمعركة دموية ضدّ النظام الفاسد، وإنّما اضطرّ إليها في آخر المطاف اضطراراً؛ دفاعاً عن نفسه وأهل بيته.</w:t>
      </w:r>
    </w:p>
    <w:p w14:paraId="50C2AE4E" w14:textId="77777777" w:rsidR="00DD6401" w:rsidRDefault="00DD6401" w:rsidP="00637739">
      <w:pPr>
        <w:pStyle w:val="normal84"/>
        <w:rPr>
          <w:rtl/>
        </w:rPr>
      </w:pPr>
      <w:r w:rsidRPr="00E4028C">
        <w:rPr>
          <w:rFonts w:hint="cs"/>
          <w:rtl/>
        </w:rPr>
        <w:t xml:space="preserve">هذه الفرضية تحتاج لوقفات جادّة لتحليل الموقف، وإن كانت المؤشرات ـ بحسب التحليل الذي أوردناه </w:t>
      </w:r>
      <w:r w:rsidR="00B31405">
        <w:rPr>
          <w:rFonts w:hint="cs"/>
          <w:rtl/>
        </w:rPr>
        <w:t xml:space="preserve">سابقاً </w:t>
      </w:r>
      <w:r w:rsidRPr="00E4028C">
        <w:rPr>
          <w:rFonts w:hint="cs"/>
          <w:rtl/>
        </w:rPr>
        <w:t xml:space="preserve">ـ تساعد على عكس ذلك، فلا نطيل؛ فإنّه من البعيد جداً أنّ حكومة الشام </w:t>
      </w:r>
      <w:r w:rsidRPr="00E4028C">
        <w:rPr>
          <w:rFonts w:hint="cs"/>
          <w:rtl/>
        </w:rPr>
        <w:lastRenderedPageBreak/>
        <w:t>لن تواجه حركة الحسين حتى لو سيطر على الكوفة بلا قتال، إلا إذا قيل بأنّ ذلك يكون من محاربة البغاة على الإمام مبسوط اليد، لا من الحرب لتحصيل بسط اليد، وفرقٌ بينهما، فتظلّ هذه الإشكالي</w:t>
      </w:r>
      <w:r w:rsidR="00B31405">
        <w:rPr>
          <w:rFonts w:hint="cs"/>
          <w:rtl/>
        </w:rPr>
        <w:t>ّ</w:t>
      </w:r>
      <w:r w:rsidRPr="00E4028C">
        <w:rPr>
          <w:rFonts w:hint="cs"/>
          <w:rtl/>
        </w:rPr>
        <w:t>ة ذات جدوى</w:t>
      </w:r>
      <w:r w:rsidR="00B31405">
        <w:rPr>
          <w:rFonts w:hint="cs"/>
          <w:rtl/>
        </w:rPr>
        <w:t>،</w:t>
      </w:r>
      <w:r w:rsidRPr="00E4028C">
        <w:rPr>
          <w:rFonts w:hint="cs"/>
          <w:rtl/>
        </w:rPr>
        <w:t xml:space="preserve"> </w:t>
      </w:r>
      <w:r w:rsidR="00B31405">
        <w:rPr>
          <w:rFonts w:hint="cs"/>
          <w:rtl/>
        </w:rPr>
        <w:t>و</w:t>
      </w:r>
      <w:r w:rsidRPr="00E4028C">
        <w:rPr>
          <w:rFonts w:hint="cs"/>
          <w:rtl/>
        </w:rPr>
        <w:t>تحتاج لمزيد تأمّل.</w:t>
      </w:r>
    </w:p>
    <w:p w14:paraId="57A5BD7A" w14:textId="77777777" w:rsidR="00771EBE" w:rsidRPr="00771EBE" w:rsidRDefault="00771EBE" w:rsidP="0096148C">
      <w:pPr>
        <w:pStyle w:val="Heading3"/>
        <w:rPr>
          <w:rtl/>
        </w:rPr>
      </w:pPr>
      <w:bookmarkStart w:id="171" w:name="_Toc143804166"/>
      <w:bookmarkStart w:id="172" w:name="_Toc238123291"/>
      <w:r>
        <w:rPr>
          <w:rFonts w:hint="cs"/>
          <w:rtl/>
        </w:rPr>
        <w:t>هـ ـ من الل</w:t>
      </w:r>
      <w:r w:rsidR="00DA6DF7">
        <w:rPr>
          <w:rFonts w:hint="cs"/>
          <w:rtl/>
        </w:rPr>
        <w:t>ا</w:t>
      </w:r>
      <w:r>
        <w:rPr>
          <w:rFonts w:hint="cs"/>
          <w:rtl/>
        </w:rPr>
        <w:t xml:space="preserve">ثوريّة إلى </w:t>
      </w:r>
      <w:r w:rsidRPr="00771EBE">
        <w:rPr>
          <w:rFonts w:hint="cs"/>
          <w:rtl/>
        </w:rPr>
        <w:t>فكرة صلح الإمام الحسين</w:t>
      </w:r>
      <w:bookmarkEnd w:id="171"/>
      <w:bookmarkEnd w:id="172"/>
    </w:p>
    <w:p w14:paraId="0C62D4AE" w14:textId="77777777" w:rsidR="00771EBE" w:rsidRPr="00771EBE" w:rsidRDefault="00771EBE" w:rsidP="00771EBE">
      <w:pPr>
        <w:spacing w:line="214" w:lineRule="auto"/>
      </w:pPr>
      <w:r>
        <w:rPr>
          <w:rFonts w:hint="cs"/>
          <w:rtl/>
        </w:rPr>
        <w:t>لا بأس أن نختم هنا بوجهة نظر تقول بأ</w:t>
      </w:r>
      <w:r w:rsidRPr="00771EBE">
        <w:rPr>
          <w:rFonts w:hint="cs"/>
          <w:rtl/>
        </w:rPr>
        <w:t>نّ الإمام الحسين لم يقم بأيّ ثورة، ولم يكن لديه أيّ مشروع تغييريّ بالمعنى الواسع للكلمة، ولم تكن لديه أيّ فكرة حول حرب أو قتال أو دم أو ما شابه ذلك، وأنّ المسلمين وأتباع مذهب أهل البيت هم الذين صوّروا لأنفسهم عبر التاريخ أنّ هناك ثورة وحرباً وجهاداً ومشروعاً كبيراً أراده الإمام الحسين بحركته هذه.</w:t>
      </w:r>
    </w:p>
    <w:p w14:paraId="4685C524" w14:textId="77777777" w:rsidR="00771EBE" w:rsidRPr="00771EBE" w:rsidRDefault="00771EBE" w:rsidP="00771EBE">
      <w:pPr>
        <w:spacing w:line="214" w:lineRule="auto"/>
        <w:rPr>
          <w:b/>
          <w:bCs/>
          <w:rtl/>
        </w:rPr>
      </w:pPr>
      <w:r w:rsidRPr="00771EBE">
        <w:rPr>
          <w:rFonts w:hint="cs"/>
          <w:b/>
          <w:bCs/>
          <w:rtl/>
        </w:rPr>
        <w:t>سوف أحاول تقسيم الحديث ـ اختصاراً وبنحو الإجمال ـ إلى مرحلتين:</w:t>
      </w:r>
    </w:p>
    <w:p w14:paraId="14E8DD2F" w14:textId="77777777" w:rsidR="00771EBE" w:rsidRPr="00771EBE" w:rsidRDefault="00771EBE" w:rsidP="00771EBE">
      <w:pPr>
        <w:spacing w:line="214" w:lineRule="auto"/>
        <w:rPr>
          <w:b/>
          <w:bCs/>
          <w:rtl/>
        </w:rPr>
      </w:pPr>
      <w:r w:rsidRPr="00771EBE">
        <w:rPr>
          <w:rFonts w:hint="cs"/>
          <w:b/>
          <w:bCs/>
          <w:rtl/>
        </w:rPr>
        <w:t xml:space="preserve">المرحلة الأولى: عرض القراءة </w:t>
      </w:r>
      <w:r>
        <w:rPr>
          <w:rFonts w:hint="cs"/>
          <w:b/>
          <w:bCs/>
          <w:rtl/>
        </w:rPr>
        <w:t>التي ترفض الثورية وترى صلح الحسين.</w:t>
      </w:r>
    </w:p>
    <w:p w14:paraId="447A0527" w14:textId="77777777" w:rsidR="00771EBE" w:rsidRPr="00771EBE" w:rsidRDefault="00771EBE" w:rsidP="00771EBE">
      <w:pPr>
        <w:spacing w:line="214" w:lineRule="auto"/>
        <w:rPr>
          <w:rtl/>
        </w:rPr>
      </w:pPr>
      <w:r w:rsidRPr="00771EBE">
        <w:rPr>
          <w:rFonts w:hint="cs"/>
          <w:b/>
          <w:bCs/>
          <w:rtl/>
        </w:rPr>
        <w:t xml:space="preserve">المرحلة الثانية: مناقشة </w:t>
      </w:r>
      <w:r>
        <w:rPr>
          <w:rFonts w:hint="cs"/>
          <w:b/>
          <w:bCs/>
          <w:rtl/>
        </w:rPr>
        <w:t>ال</w:t>
      </w:r>
      <w:r w:rsidRPr="00771EBE">
        <w:rPr>
          <w:rFonts w:hint="cs"/>
          <w:b/>
          <w:bCs/>
          <w:rtl/>
        </w:rPr>
        <w:t xml:space="preserve">أطروحة والتعليق </w:t>
      </w:r>
      <w:r>
        <w:rPr>
          <w:rFonts w:hint="cs"/>
          <w:b/>
          <w:bCs/>
          <w:rtl/>
        </w:rPr>
        <w:t xml:space="preserve">الموجز </w:t>
      </w:r>
      <w:r w:rsidRPr="00771EBE">
        <w:rPr>
          <w:rFonts w:hint="cs"/>
          <w:b/>
          <w:bCs/>
          <w:rtl/>
        </w:rPr>
        <w:t>عليها.</w:t>
      </w:r>
    </w:p>
    <w:p w14:paraId="18248209" w14:textId="77777777" w:rsidR="00771EBE" w:rsidRPr="00771EBE" w:rsidRDefault="00771EBE" w:rsidP="00771EBE">
      <w:pPr>
        <w:spacing w:line="214" w:lineRule="auto"/>
        <w:rPr>
          <w:rtl/>
        </w:rPr>
      </w:pPr>
      <w:r w:rsidRPr="00771EBE">
        <w:rPr>
          <w:rFonts w:hint="cs"/>
          <w:b/>
          <w:bCs/>
          <w:rtl/>
        </w:rPr>
        <w:t>أمّا ما يخصّ بيان وجهة النظر هذه، فتبدأ هذه القراءة بتفحّص سلامة التقسيم السائد في الأوساط الشيعيّة بين الموقف الحسني والموقف الحسينيّ؛</w:t>
      </w:r>
      <w:r w:rsidRPr="00771EBE">
        <w:rPr>
          <w:rFonts w:hint="cs"/>
          <w:rtl/>
        </w:rPr>
        <w:t xml:space="preserve"> حيث إنّ الذائع على الألسن بين الشيعة هو التمييز بين موقف الإمام الحسن وجعله رمزاً للصلح والسلم واللا</w:t>
      </w:r>
      <w:r>
        <w:rPr>
          <w:rFonts w:hint="cs"/>
          <w:rtl/>
        </w:rPr>
        <w:t xml:space="preserve"> </w:t>
      </w:r>
      <w:r w:rsidRPr="00771EBE">
        <w:rPr>
          <w:rFonts w:hint="cs"/>
          <w:rtl/>
        </w:rPr>
        <w:t>حرب واللا عنف، وبين موقف الإمام الحسين وجعله رمزاً للثورة والمقاومة والبسالة والتضحية وسفك الدم والحرب؛ و</w:t>
      </w:r>
      <w:r>
        <w:rPr>
          <w:rFonts w:hint="cs"/>
          <w:rtl/>
        </w:rPr>
        <w:t xml:space="preserve">من ثمّ </w:t>
      </w:r>
      <w:r w:rsidRPr="00771EBE">
        <w:rPr>
          <w:rFonts w:hint="cs"/>
          <w:rtl/>
        </w:rPr>
        <w:t>فإنّ هناك افتراضاً ينطلق منه الموقف الشيعي يقرّر وجود فرق جوهريّ بين الحركتين والموقفين؛ فحركة الحسن حركة سلميّة صلحيّة، فيما حركة الحسين حركةٌ ثوريّة مقاومة نضاليّة، تختزن كلّ معاني الشهادة والدم والحرب والقتال.</w:t>
      </w:r>
    </w:p>
    <w:p w14:paraId="4B9D5714" w14:textId="77777777" w:rsidR="00771EBE" w:rsidRPr="00771EBE" w:rsidRDefault="00771EBE" w:rsidP="00771EBE">
      <w:pPr>
        <w:spacing w:line="214" w:lineRule="auto"/>
        <w:rPr>
          <w:rtl/>
        </w:rPr>
      </w:pPr>
      <w:r>
        <w:rPr>
          <w:rFonts w:hint="cs"/>
          <w:rtl/>
        </w:rPr>
        <w:t xml:space="preserve">لكن </w:t>
      </w:r>
      <w:r w:rsidRPr="00771EBE">
        <w:rPr>
          <w:rFonts w:hint="cs"/>
          <w:rtl/>
        </w:rPr>
        <w:t>هذا التصنيف</w:t>
      </w:r>
      <w:r>
        <w:rPr>
          <w:rFonts w:hint="cs"/>
          <w:rtl/>
        </w:rPr>
        <w:t xml:space="preserve"> غير صحيح</w:t>
      </w:r>
      <w:r w:rsidRPr="00771EBE">
        <w:rPr>
          <w:rFonts w:hint="cs"/>
          <w:rtl/>
        </w:rPr>
        <w:t>؛ فلا يوجد منهج حسنيّ يختلف عن المنهج الحسينيّ في إدارة الأمور وتحرير قضايا المسلمين.</w:t>
      </w:r>
    </w:p>
    <w:p w14:paraId="6E2282DD" w14:textId="77777777" w:rsidR="00771EBE" w:rsidRPr="00771EBE" w:rsidRDefault="00771EBE" w:rsidP="00771EBE">
      <w:pPr>
        <w:spacing w:line="214" w:lineRule="auto"/>
        <w:rPr>
          <w:rtl/>
        </w:rPr>
      </w:pPr>
      <w:r w:rsidRPr="00771EBE">
        <w:rPr>
          <w:rFonts w:hint="cs"/>
          <w:b/>
          <w:bCs/>
          <w:rtl/>
        </w:rPr>
        <w:t>وفي ضوء هذا التأسيس يتمّ انتقاد تصنيف الناس والعلماء والحركيّين وأصحاب المشاريع السياسيّة إلى: حسنيين وحسينيين،</w:t>
      </w:r>
      <w:r w:rsidRPr="00771EBE">
        <w:rPr>
          <w:rFonts w:hint="cs"/>
          <w:rtl/>
        </w:rPr>
        <w:t xml:space="preserve"> </w:t>
      </w:r>
      <w:r>
        <w:rPr>
          <w:rFonts w:hint="cs"/>
          <w:rtl/>
        </w:rPr>
        <w:t xml:space="preserve">لأنّه </w:t>
      </w:r>
      <w:r w:rsidRPr="00771EBE">
        <w:rPr>
          <w:rFonts w:hint="cs"/>
          <w:rtl/>
        </w:rPr>
        <w:t>تصنيف خاطئ؛ إذ لا يوجد لدينا هذا الانقسام من البداية حتى نصنّف الناس وحركاتها ومشاريعها على أساسه.</w:t>
      </w:r>
    </w:p>
    <w:p w14:paraId="3D034801" w14:textId="77777777" w:rsidR="00771EBE" w:rsidRPr="00771EBE" w:rsidRDefault="00771EBE" w:rsidP="00771EBE">
      <w:pPr>
        <w:spacing w:line="214" w:lineRule="auto"/>
        <w:rPr>
          <w:rtl/>
        </w:rPr>
      </w:pPr>
      <w:r>
        <w:rPr>
          <w:rFonts w:hint="cs"/>
          <w:rtl/>
        </w:rPr>
        <w:lastRenderedPageBreak/>
        <w:t>من هنا، ف</w:t>
      </w:r>
      <w:r w:rsidRPr="00771EBE">
        <w:rPr>
          <w:rFonts w:hint="cs"/>
          <w:rtl/>
        </w:rPr>
        <w:t>شعار الإمام الحسين شعار ثوريّ، لكنّه من صنف الثورة على الحرب، بمعنى أنّ</w:t>
      </w:r>
      <w:r>
        <w:rPr>
          <w:rFonts w:hint="cs"/>
          <w:rtl/>
        </w:rPr>
        <w:t>نا ن</w:t>
      </w:r>
      <w:r w:rsidRPr="00771EBE">
        <w:rPr>
          <w:rFonts w:hint="cs"/>
          <w:rtl/>
        </w:rPr>
        <w:t xml:space="preserve">ريد أن </w:t>
      </w:r>
      <w:r>
        <w:rPr>
          <w:rFonts w:hint="cs"/>
          <w:rtl/>
        </w:rPr>
        <w:t>ن</w:t>
      </w:r>
      <w:r w:rsidRPr="00771EBE">
        <w:rPr>
          <w:rFonts w:hint="cs"/>
          <w:rtl/>
        </w:rPr>
        <w:t>قدّم صورةً مختلفة تفيد أنّ الحسين ثار ضدّ الحرب واللا سلم والعنف والقتال وسفك الدم، لا أنّه ثار وكانت ثورته عنفيّةً حربيّة، مختزنةً للقتال وسفك الدم.</w:t>
      </w:r>
    </w:p>
    <w:p w14:paraId="41EE219C" w14:textId="77777777" w:rsidR="00771EBE" w:rsidRPr="00771EBE" w:rsidRDefault="00771EBE" w:rsidP="00771EBE">
      <w:pPr>
        <w:spacing w:line="214" w:lineRule="auto"/>
        <w:rPr>
          <w:rtl/>
        </w:rPr>
      </w:pPr>
      <w:r>
        <w:rPr>
          <w:rFonts w:hint="cs"/>
          <w:rtl/>
        </w:rPr>
        <w:t xml:space="preserve">إنّ </w:t>
      </w:r>
      <w:r w:rsidRPr="00771EBE">
        <w:rPr>
          <w:rFonts w:hint="cs"/>
          <w:rtl/>
        </w:rPr>
        <w:t xml:space="preserve">المذهب الإمامي </w:t>
      </w:r>
      <w:r>
        <w:rPr>
          <w:rFonts w:hint="cs"/>
          <w:rtl/>
        </w:rPr>
        <w:t>ي</w:t>
      </w:r>
      <w:r w:rsidRPr="00771EBE">
        <w:rPr>
          <w:rFonts w:hint="cs"/>
          <w:rtl/>
        </w:rPr>
        <w:t xml:space="preserve">عتقد بأنّ أهل البيت النبوي كلّهم نور واحد، والمفهوم من كلمة </w:t>
      </w:r>
      <w:r>
        <w:rPr>
          <w:rFonts w:hint="eastAsia"/>
          <w:rtl/>
        </w:rPr>
        <w:t>«</w:t>
      </w:r>
      <w:r w:rsidRPr="00771EBE">
        <w:rPr>
          <w:rFonts w:hint="cs"/>
          <w:rtl/>
        </w:rPr>
        <w:t>نور واحد</w:t>
      </w:r>
      <w:r>
        <w:rPr>
          <w:rFonts w:hint="eastAsia"/>
          <w:rtl/>
        </w:rPr>
        <w:t>»</w:t>
      </w:r>
      <w:r w:rsidRPr="00771EBE">
        <w:rPr>
          <w:rFonts w:hint="cs"/>
          <w:rtl/>
        </w:rPr>
        <w:t xml:space="preserve"> هو عدم الامتياز فيما بينهم، فلماذا وضعنا جداراً، بين الحسن والحسين؛ حينما جعلنا الحركة الحسنيّة حركةً سلميّة، وجعلنا الحركة الحسينيّة حركةً عنفيّة كما يُصوّر؟! لقد اختلقنا بهذه الطريقة حاجزاً بين هذين الإمامين، مع أنّ المفترض أن يكونا نوراً وضوءاً واحداً يشعّ على العالم، ولا امتياز ولا تمايز بينهما، فلماذا صوّرناهما على أنّهما يملكان خطّين سياسيّين، وكل خطّ يسير باتجاهٍ معاكس للخط الأوّل؛ حيث لكلّ منهما منطقٌ خاصّ في العمل السياسي يتغاير عن الآخر بدرجة مئويّة؟! وما هذا التصوير إلا مناقض</w:t>
      </w:r>
      <w:r>
        <w:rPr>
          <w:rFonts w:hint="cs"/>
          <w:rtl/>
        </w:rPr>
        <w:t>اً</w:t>
      </w:r>
      <w:r w:rsidRPr="00771EBE">
        <w:rPr>
          <w:rFonts w:hint="cs"/>
          <w:rtl/>
        </w:rPr>
        <w:t xml:space="preserve"> للمبدأ العقديّ الذي يؤمن به الشيعة من أنّ أهل البيت نورٌ واحد ومنهج وخطّ واحد.</w:t>
      </w:r>
    </w:p>
    <w:p w14:paraId="678C2FF1" w14:textId="77777777" w:rsidR="00771EBE" w:rsidRPr="00771EBE" w:rsidRDefault="00771EBE" w:rsidP="003370AC">
      <w:pPr>
        <w:spacing w:line="214" w:lineRule="auto"/>
        <w:rPr>
          <w:rtl/>
        </w:rPr>
      </w:pPr>
      <w:r w:rsidRPr="00771EBE">
        <w:rPr>
          <w:rFonts w:hint="cs"/>
          <w:rtl/>
        </w:rPr>
        <w:t xml:space="preserve">وإذا سألنا </w:t>
      </w:r>
      <w:r>
        <w:rPr>
          <w:rFonts w:hint="cs"/>
          <w:rtl/>
        </w:rPr>
        <w:t xml:space="preserve">أنصار هذه الرؤية </w:t>
      </w:r>
      <w:r w:rsidRPr="00771EBE">
        <w:rPr>
          <w:rFonts w:hint="cs"/>
          <w:rtl/>
        </w:rPr>
        <w:t>عن الهدف الذي كان يتوخّاه الإمام الحسين من حركته التي كان واقعها في نهاية المطاف حرباً وسفكاً للدماء؟ فإنّه</w:t>
      </w:r>
      <w:r>
        <w:rPr>
          <w:rFonts w:hint="cs"/>
          <w:rtl/>
        </w:rPr>
        <w:t>م</w:t>
      </w:r>
      <w:r w:rsidRPr="00771EBE">
        <w:rPr>
          <w:rFonts w:hint="cs"/>
          <w:rtl/>
        </w:rPr>
        <w:t xml:space="preserve"> يجيب</w:t>
      </w:r>
      <w:r>
        <w:rPr>
          <w:rFonts w:hint="cs"/>
          <w:rtl/>
        </w:rPr>
        <w:t>ون</w:t>
      </w:r>
      <w:r w:rsidRPr="00771EBE">
        <w:rPr>
          <w:rFonts w:hint="cs"/>
          <w:rtl/>
        </w:rPr>
        <w:t xml:space="preserve"> بأنّ الذي حصل في عام (61) من الهجرة ليس هو الذهاب للاستشهاد كما هي النظريّة السائدة، وليس هو الذهاب لخوض حربٍ لاستلام سلطةٍ، كما هي النظريّة التي يختارها بعض العلماء مثل الشيخ نعمة الله صالحي نجف آبادي صاحب كتاب الشهيد الخالد، وإن</w:t>
      </w:r>
      <w:r>
        <w:rPr>
          <w:rFonts w:hint="cs"/>
          <w:rtl/>
        </w:rPr>
        <w:t>ّ</w:t>
      </w:r>
      <w:r w:rsidRPr="00771EBE">
        <w:rPr>
          <w:rFonts w:hint="cs"/>
          <w:rtl/>
        </w:rPr>
        <w:t xml:space="preserve">ما مبايعة يزيد بن معاوية كانت أمراً مرفوضاً بالنسبة إليه وهكذا لاحقوه إلى حدّ القتل، فهو لا يريد أن يقاتل أصلاً؛ ولكن حينما هجموا عليه يريدون قتله؛ لأنه لم يبايع، اضطرّ لإشهار السيف دفاعاً عن نفسه، وهذا كلّ ما حصل، فلا يوجد هناك مشروع انقلاب على السلطة وعلى الهويّة الحاكمة انطلاقاً من العراق، ولا هناك مشروع حرب ومواجهة، ولا هناك مشروع تضحية شاملة بعشرات من الشهداء حتى تكون هذه التضحية موجبة لهزّة على مستوى الأمّة وإحياءً لضميرها، كلّ ما في الأمر أنّ الحسين لم يرد أن يعطي شرعيّةً للسلطة الحاكمة من خلال مبايعة يزيد بن معاوية، ففرّ من المدينة كي لا يبايع، ولحقوه إلى مكّة، ففرّ من مكّة إلى الكوفة، ولحقوه إلى الطريق، وكلّما طلبوا منه المبايعة أنكر ذلك ولم يطلب الحرب والقتال والمواجهة، وحينما رفعوا السيف يريدون قتاله في وسط الصحراء </w:t>
      </w:r>
      <w:r w:rsidRPr="00771EBE">
        <w:rPr>
          <w:rFonts w:hint="cs"/>
          <w:rtl/>
        </w:rPr>
        <w:lastRenderedPageBreak/>
        <w:t>أشهر السيف حينذاك دفاعاً شخصيّاً عن نفسه.</w:t>
      </w:r>
    </w:p>
    <w:p w14:paraId="08181B54" w14:textId="77777777" w:rsidR="00771EBE" w:rsidRPr="00771EBE" w:rsidRDefault="00771EBE" w:rsidP="00771EBE">
      <w:pPr>
        <w:spacing w:line="214" w:lineRule="auto"/>
        <w:rPr>
          <w:rtl/>
        </w:rPr>
      </w:pPr>
      <w:r w:rsidRPr="00771EBE">
        <w:rPr>
          <w:rFonts w:hint="cs"/>
          <w:rtl/>
        </w:rPr>
        <w:t>ولذلك نجد أنّ الإمام الحسين قد طلب في عدّة مرات أن يَدَعوه للذهاب إلى أيّ مكان في ديار الله الواسعة</w:t>
      </w:r>
      <w:r>
        <w:rPr>
          <w:rFonts w:hint="cs"/>
          <w:rtl/>
        </w:rPr>
        <w:t xml:space="preserve">، بينما </w:t>
      </w:r>
      <w:r w:rsidRPr="00771EBE">
        <w:rPr>
          <w:rFonts w:hint="cs"/>
          <w:rtl/>
        </w:rPr>
        <w:t>الذي عنده مشروع سياسي أو استشهاديّ أو ثوريّ لا يمكن أن يتفوّه بمثل هذه الكلمات، كأن يختفي في كهف من كهوف الجبال أو يعيش في بطن الصحراء مثلاً، فما معنى أن يطالب بمثل هذه المطالب لأكثر من خمس أو ستّ مرات كما تشير الشواهد الروائيّة والتاريخيّة.</w:t>
      </w:r>
    </w:p>
    <w:p w14:paraId="1FDD12C6" w14:textId="77777777" w:rsidR="00771EBE" w:rsidRPr="00771EBE" w:rsidRDefault="00771EBE" w:rsidP="00771EBE">
      <w:pPr>
        <w:spacing w:line="214" w:lineRule="auto"/>
        <w:rPr>
          <w:rtl/>
        </w:rPr>
      </w:pPr>
      <w:r w:rsidRPr="00771EBE">
        <w:rPr>
          <w:rFonts w:hint="cs"/>
          <w:b/>
          <w:bCs/>
          <w:rtl/>
        </w:rPr>
        <w:t>ومن خلال هذه الشواهد، نستنتج أنّ الإمام الحسين قام بذلك لكونه داعية صلح وسلم،</w:t>
      </w:r>
      <w:r w:rsidRPr="00771EBE">
        <w:rPr>
          <w:rFonts w:hint="cs"/>
          <w:rtl/>
        </w:rPr>
        <w:t xml:space="preserve"> ولكونه لا يريد أن يتحمّل مسؤوليّة الدماء التي ستسفك</w:t>
      </w:r>
      <w:r>
        <w:rPr>
          <w:rFonts w:hint="cs"/>
          <w:rtl/>
        </w:rPr>
        <w:t>، ولم يكن شخصاً يودّ سفك</w:t>
      </w:r>
      <w:r w:rsidRPr="00771EBE">
        <w:rPr>
          <w:rFonts w:hint="cs"/>
          <w:rtl/>
        </w:rPr>
        <w:t xml:space="preserve"> الدماء أصلاً، فحركته نظير بعض الثورات التي شهدها القرن العشرين والتي أطلق عليها ثورات اللا عنف كالثورة الهنديّة مثلاً. </w:t>
      </w:r>
      <w:r w:rsidRPr="00771EBE">
        <w:rPr>
          <w:rFonts w:hint="cs"/>
          <w:b/>
          <w:bCs/>
          <w:rtl/>
        </w:rPr>
        <w:t>فالإمام الحسين هو رمز ثورة اللا عنف. ثورةٌ تقوم على أن نرفض ممارسة العنف لا على أن نمارسه.</w:t>
      </w:r>
    </w:p>
    <w:p w14:paraId="7F2604AD" w14:textId="77777777" w:rsidR="00771EBE" w:rsidRPr="00771EBE" w:rsidRDefault="00771EBE" w:rsidP="00771EBE">
      <w:pPr>
        <w:spacing w:line="214" w:lineRule="auto"/>
        <w:rPr>
          <w:rtl/>
        </w:rPr>
      </w:pPr>
      <w:r w:rsidRPr="00DA6DF7">
        <w:rPr>
          <w:rFonts w:hint="cs"/>
          <w:b/>
          <w:bCs/>
          <w:rtl/>
        </w:rPr>
        <w:t>وتخلص</w:t>
      </w:r>
      <w:r w:rsidR="00DA6DF7" w:rsidRPr="00DA6DF7">
        <w:rPr>
          <w:rFonts w:hint="cs"/>
          <w:b/>
          <w:bCs/>
          <w:rtl/>
        </w:rPr>
        <w:t xml:space="preserve"> </w:t>
      </w:r>
      <w:r w:rsidRPr="00DA6DF7">
        <w:rPr>
          <w:rFonts w:hint="cs"/>
          <w:b/>
          <w:bCs/>
          <w:rtl/>
        </w:rPr>
        <w:t>هذه الرؤية في نهاية المطاف إلى النتيجة الآتية:</w:t>
      </w:r>
      <w:r w:rsidRPr="00771EBE">
        <w:rPr>
          <w:rFonts w:hint="cs"/>
          <w:rtl/>
        </w:rPr>
        <w:t xml:space="preserve"> إنّ الإمامين الحسن والحسين كانا يريدان إذا خاضا حرباً أن تكون عقلائيّة، ومعنى عقلائيّة الحرب أن يكون فيها توازن قوّة، وحينما لا يكون في الحرب مثل هذا التوازن فلن تكون حرباً عقلائيّة، والحسين يعلم بعدم وجود توازن قوى بينه وبين جيش يزيد بن معاوية أصلاً؛ حيث يمتلك الأخير البلدان الإسلاميّة بأجمعها، وهذا معناه أن</w:t>
      </w:r>
      <w:r>
        <w:rPr>
          <w:rFonts w:hint="cs"/>
          <w:rtl/>
        </w:rPr>
        <w:t>ّ</w:t>
      </w:r>
      <w:r w:rsidRPr="00771EBE">
        <w:rPr>
          <w:rFonts w:hint="cs"/>
          <w:rtl/>
        </w:rPr>
        <w:t>ه من غير الممكن أن يخوض هذه الحرب؛ لأنّه إنسان عقلا</w:t>
      </w:r>
      <w:r>
        <w:rPr>
          <w:rFonts w:hint="cs"/>
          <w:rtl/>
        </w:rPr>
        <w:t>ن</w:t>
      </w:r>
      <w:r w:rsidRPr="00771EBE">
        <w:rPr>
          <w:rFonts w:hint="cs"/>
          <w:rtl/>
        </w:rPr>
        <w:t>يّ، ومثل هذا الإنسان لا يخوض حرباً لا تكافؤ فيها.</w:t>
      </w:r>
    </w:p>
    <w:p w14:paraId="708E5D60" w14:textId="77777777" w:rsidR="00771EBE" w:rsidRDefault="00771EBE" w:rsidP="00637739">
      <w:pPr>
        <w:pStyle w:val="normal84"/>
        <w:rPr>
          <w:rtl/>
        </w:rPr>
      </w:pPr>
      <w:r w:rsidRPr="00771EBE">
        <w:rPr>
          <w:rFonts w:hint="cs"/>
          <w:rtl/>
        </w:rPr>
        <w:t xml:space="preserve">ولذلك يجد </w:t>
      </w:r>
      <w:r>
        <w:rPr>
          <w:rFonts w:hint="cs"/>
          <w:rtl/>
        </w:rPr>
        <w:t xml:space="preserve">هؤلاء </w:t>
      </w:r>
      <w:r w:rsidRPr="00771EBE">
        <w:rPr>
          <w:rFonts w:hint="cs"/>
          <w:rtl/>
        </w:rPr>
        <w:t>أنّ الإمام الحسن حينما شعر بعدم وجود توازن قوى مع معاوية بن أبي سفيان أقدم على إجراءات السلم والصلح؛ لأنه لا يمكن لحرب أن تخاض دون وجود توازن في القوى، وإلا اعتبرت انتحاراً وتهوّراً وعبثيّةً وسفكاً للدم يتحمّل مسؤوليّته هذا الفاعل أمام الله سبحانه وتعالى</w:t>
      </w:r>
      <w:r w:rsidR="00FE7BCF" w:rsidRPr="00763E4E">
        <w:rPr>
          <w:rFonts w:cs="Taher"/>
          <w:vertAlign w:val="superscript"/>
          <w:rtl/>
        </w:rPr>
        <w:t>(</w:t>
      </w:r>
      <w:r w:rsidR="00FE7BCF" w:rsidRPr="00763E4E">
        <w:rPr>
          <w:rFonts w:cs="Taher"/>
          <w:vertAlign w:val="superscript"/>
          <w:rtl/>
        </w:rPr>
        <w:footnoteReference w:id="298"/>
      </w:r>
      <w:r w:rsidR="00FE7BCF" w:rsidRPr="00763E4E">
        <w:rPr>
          <w:rFonts w:cs="Taher"/>
          <w:vertAlign w:val="superscript"/>
          <w:rtl/>
        </w:rPr>
        <w:t>)</w:t>
      </w:r>
      <w:r w:rsidRPr="00771EBE">
        <w:rPr>
          <w:rFonts w:hint="cs"/>
          <w:rtl/>
        </w:rPr>
        <w:t>.</w:t>
      </w:r>
    </w:p>
    <w:p w14:paraId="20A127E2" w14:textId="77777777" w:rsidR="00771EBE" w:rsidRPr="00FE7BCF" w:rsidRDefault="00FE7BCF" w:rsidP="00FE7BCF">
      <w:pPr>
        <w:spacing w:line="214" w:lineRule="auto"/>
        <w:rPr>
          <w:b/>
          <w:bCs/>
          <w:rtl/>
        </w:rPr>
      </w:pPr>
      <w:r w:rsidRPr="00FE7BCF">
        <w:rPr>
          <w:rFonts w:hint="cs"/>
          <w:b/>
          <w:bCs/>
          <w:rtl/>
        </w:rPr>
        <w:t xml:space="preserve">ويمكننا التعليق هنا سريعاً: </w:t>
      </w:r>
    </w:p>
    <w:p w14:paraId="6183D441" w14:textId="77777777" w:rsidR="00771EBE" w:rsidRPr="00771EBE" w:rsidRDefault="00771EBE" w:rsidP="00FE7BCF">
      <w:pPr>
        <w:spacing w:line="214" w:lineRule="auto"/>
        <w:rPr>
          <w:rtl/>
        </w:rPr>
      </w:pPr>
      <w:r w:rsidRPr="00FE7BCF">
        <w:rPr>
          <w:rFonts w:hint="cs"/>
          <w:b/>
          <w:bCs/>
          <w:rtl/>
        </w:rPr>
        <w:lastRenderedPageBreak/>
        <w:t>أو</w:t>
      </w:r>
      <w:r w:rsidR="00FE7BCF">
        <w:rPr>
          <w:rFonts w:hint="cs"/>
          <w:b/>
          <w:bCs/>
          <w:rtl/>
        </w:rPr>
        <w:t>ّ</w:t>
      </w:r>
      <w:r w:rsidRPr="00FE7BCF">
        <w:rPr>
          <w:rFonts w:hint="cs"/>
          <w:b/>
          <w:bCs/>
          <w:rtl/>
        </w:rPr>
        <w:t xml:space="preserve">لاً: </w:t>
      </w:r>
      <w:r w:rsidRPr="00771EBE">
        <w:rPr>
          <w:rFonts w:hint="cs"/>
          <w:rtl/>
        </w:rPr>
        <w:t>ما أعتبره الإشكاليّة المنهجية وورطة المفارقات، فإنّ الذين ينتمون إلى تيار النقد الحداثي ـ إذا جاز التعبير ـ من أشدّ الناس إيماناً في الفكر الدينيّ بالنزعة التاريخيّة، أي النزعة التي تتحدّث عن أنّ ظروف الزمان والمكان تؤدّي إلى اختلاف المواقف والتقويمات والآراء والأفكار، فمثلاً يمتلك هذا الفريق توجّهاً دائميّاً يرون من خلاله أنّه لو واجه الإنسان حكماً معيّناً مثلاً، وهذا الحكم الفقهي لا ينسجم مع الواقع الحاضر، فإنّه يقول بأنّ هذا الحكم الفقهيّ يتناسب مع ذلك الزمان، ولذلك أصدره الرسول</w:t>
      </w:r>
      <w:r w:rsidR="00FE7BCF">
        <w:rPr>
          <w:rFonts w:hint="cs"/>
          <w:rtl/>
        </w:rPr>
        <w:t xml:space="preserve">‘ </w:t>
      </w:r>
      <w:r w:rsidRPr="00771EBE">
        <w:rPr>
          <w:rFonts w:hint="cs"/>
          <w:rtl/>
        </w:rPr>
        <w:t>ليحلّ مشكلةً زمانيّة مكانيّة ظرفيّة حاليّة في لحظة تاريخيّة معيّنة، ومن ثمّ فهذا الحكم لا يخاطب الحاضر بنفس الطريقة التي يخاطب بها الماضي.</w:t>
      </w:r>
    </w:p>
    <w:p w14:paraId="1972A293" w14:textId="77777777" w:rsidR="00771EBE" w:rsidRPr="00771EBE" w:rsidRDefault="00771EBE" w:rsidP="00FE7BCF">
      <w:pPr>
        <w:spacing w:line="214" w:lineRule="auto"/>
        <w:rPr>
          <w:rtl/>
        </w:rPr>
      </w:pPr>
      <w:r w:rsidRPr="00771EBE">
        <w:rPr>
          <w:rFonts w:hint="cs"/>
          <w:rtl/>
        </w:rPr>
        <w:t>هذه النزعة موجودة، وليست في أصلها أمراً باطلاً، ولكنّني أتحدّث الآن عن مدى صحّة توظيفها في هذا المكان الذي نتحدّث عنه، وإلا فأصلها يلتزم به حتى بعض الفقهاء المسلمين.</w:t>
      </w:r>
    </w:p>
    <w:p w14:paraId="5DD39686" w14:textId="77777777" w:rsidR="00771EBE" w:rsidRPr="00771EBE" w:rsidRDefault="00771EBE" w:rsidP="001F09E7">
      <w:pPr>
        <w:spacing w:line="214" w:lineRule="auto"/>
        <w:rPr>
          <w:rtl/>
        </w:rPr>
      </w:pPr>
      <w:r w:rsidRPr="00771EBE">
        <w:rPr>
          <w:rFonts w:hint="cs"/>
          <w:rtl/>
        </w:rPr>
        <w:t xml:space="preserve">وما يبدو لي غريباً هو أنّ </w:t>
      </w:r>
      <w:r w:rsidR="00FE7BCF">
        <w:rPr>
          <w:rFonts w:hint="cs"/>
          <w:rtl/>
        </w:rPr>
        <w:t xml:space="preserve">هذه الرؤية </w:t>
      </w:r>
      <w:r w:rsidRPr="00771EBE">
        <w:rPr>
          <w:rFonts w:hint="cs"/>
          <w:rtl/>
        </w:rPr>
        <w:t>تعاط</w:t>
      </w:r>
      <w:r w:rsidR="00FE7BCF">
        <w:rPr>
          <w:rFonts w:hint="cs"/>
          <w:rtl/>
        </w:rPr>
        <w:t>ت</w:t>
      </w:r>
      <w:r w:rsidRPr="00771EBE">
        <w:rPr>
          <w:rFonts w:hint="cs"/>
          <w:rtl/>
        </w:rPr>
        <w:t xml:space="preserve"> مع الموضوع محلّ البحث بذهنيّةٍ لا تمتّ إلى هذا التفكير التاريخي بصلة على الإطلاق، أي إنّه وبدل أن </w:t>
      </w:r>
      <w:r w:rsidR="00FE7BCF">
        <w:rPr>
          <w:rFonts w:hint="cs"/>
          <w:rtl/>
        </w:rPr>
        <w:t>ت</w:t>
      </w:r>
      <w:r w:rsidRPr="00771EBE">
        <w:rPr>
          <w:rFonts w:hint="cs"/>
          <w:rtl/>
        </w:rPr>
        <w:t xml:space="preserve">درس ظاهرتين مختلفتين في التاريخ، إحداهما وقع فيها صلحٌ بين شخصين كانا يتحاربان، والثانية وقعت فيها حربٌ أدّت إلى مجزرة رهيبة في التاريخ، أقول: بدل أن </w:t>
      </w:r>
      <w:r w:rsidR="00FE7BCF">
        <w:rPr>
          <w:rFonts w:hint="cs"/>
          <w:rtl/>
        </w:rPr>
        <w:t>ت</w:t>
      </w:r>
      <w:r w:rsidRPr="00771EBE">
        <w:rPr>
          <w:rFonts w:hint="cs"/>
          <w:rtl/>
        </w:rPr>
        <w:t xml:space="preserve">قرّر أنّ المواقف المختلفة بين الظاهرة الأولى والثانيّة تعود إلى اختلاف الظروف، ثمّ </w:t>
      </w:r>
      <w:r w:rsidR="00FE7BCF">
        <w:rPr>
          <w:rFonts w:hint="cs"/>
          <w:rtl/>
        </w:rPr>
        <w:t>ت</w:t>
      </w:r>
      <w:r w:rsidRPr="00771EBE">
        <w:rPr>
          <w:rFonts w:hint="cs"/>
          <w:rtl/>
        </w:rPr>
        <w:t>قوم بدراسة الظروف التي برّرت هذه الاختلافات في المواقع، ألغ</w:t>
      </w:r>
      <w:r w:rsidR="001F09E7">
        <w:rPr>
          <w:rFonts w:hint="cs"/>
          <w:rtl/>
        </w:rPr>
        <w:t>ت</w:t>
      </w:r>
      <w:r w:rsidRPr="00771EBE">
        <w:rPr>
          <w:rFonts w:hint="cs"/>
          <w:rtl/>
        </w:rPr>
        <w:t xml:space="preserve"> هذا الأساس في طريقة التفكير الذي </w:t>
      </w:r>
      <w:r w:rsidR="001F09E7">
        <w:rPr>
          <w:rFonts w:hint="cs"/>
          <w:rtl/>
        </w:rPr>
        <w:t>ت</w:t>
      </w:r>
      <w:r w:rsidRPr="00771EBE">
        <w:rPr>
          <w:rFonts w:hint="cs"/>
          <w:rtl/>
        </w:rPr>
        <w:t>تبنّاه في أمكنة أخرى كثيرة، ل</w:t>
      </w:r>
      <w:r w:rsidR="001F09E7">
        <w:rPr>
          <w:rFonts w:hint="cs"/>
          <w:rtl/>
        </w:rPr>
        <w:t>ت</w:t>
      </w:r>
      <w:r w:rsidRPr="00771EBE">
        <w:rPr>
          <w:rFonts w:hint="cs"/>
          <w:rtl/>
        </w:rPr>
        <w:t>ذهب فوراً إلى القول بأنّ الأئم</w:t>
      </w:r>
      <w:r w:rsidR="001F09E7">
        <w:rPr>
          <w:rFonts w:hint="cs"/>
          <w:rtl/>
        </w:rPr>
        <w:t>ّ</w:t>
      </w:r>
      <w:r w:rsidRPr="00771EBE">
        <w:rPr>
          <w:rFonts w:hint="cs"/>
          <w:rtl/>
        </w:rPr>
        <w:t>ة نورٌ واحد، وكونهم كذلك يعني أنهم نسخة واحدة، وكأنّ التاريخ يعيد نفسه، فهل ينسجم هذا النمط من التفكير مع منطق القراءة التاريخيّة الذي يعدّ أحد أهم أساسيّات تفكير هذا الفريق الذي يشتغل على قراءة الأحداث التاريخيّة بنظرة تاريخيّة زمكانيّة؟!</w:t>
      </w:r>
      <w:r w:rsidR="001F09E7">
        <w:rPr>
          <w:rFonts w:hint="cs"/>
          <w:rtl/>
        </w:rPr>
        <w:t xml:space="preserve"> </w:t>
      </w:r>
      <w:r w:rsidRPr="001F09E7">
        <w:rPr>
          <w:rFonts w:hint="cs"/>
          <w:b/>
          <w:bCs/>
          <w:rtl/>
        </w:rPr>
        <w:t>وإذا كان أهل البيت نوراً واحداً، فإنّ ذلك لا يعني عدم وجود اختلافات في المواقف تبعاً للاختلافات القائمة في الظروف التاريخيّة</w:t>
      </w:r>
      <w:r w:rsidR="001F09E7">
        <w:rPr>
          <w:rFonts w:hint="cs"/>
          <w:b/>
          <w:bCs/>
          <w:rtl/>
        </w:rPr>
        <w:t>.</w:t>
      </w:r>
    </w:p>
    <w:p w14:paraId="19428A91" w14:textId="77777777" w:rsidR="00771EBE" w:rsidRPr="00771EBE" w:rsidRDefault="00771EBE" w:rsidP="001F09E7">
      <w:pPr>
        <w:spacing w:line="214" w:lineRule="auto"/>
        <w:rPr>
          <w:rtl/>
        </w:rPr>
      </w:pPr>
      <w:r w:rsidRPr="001F09E7">
        <w:rPr>
          <w:rFonts w:hint="cs"/>
          <w:b/>
          <w:bCs/>
          <w:rtl/>
        </w:rPr>
        <w:t>ثانياً:</w:t>
      </w:r>
      <w:r w:rsidRPr="00771EBE">
        <w:rPr>
          <w:rFonts w:hint="cs"/>
          <w:rtl/>
        </w:rPr>
        <w:t xml:space="preserve"> إذا كان أهل البيت النبوي نوراً واحداً، فنحن نسأل: كيف يمكن لهم أن يفسّروا لنا الاختلاف ما بين التجربة العلويّة والتجربة الحسنيّة، مع إغماض النظر عن التجربة الحسينيّة؟ فالتجربة العلويّة هي التي بادرت في حرب الجمل لقتال جيش البصرة، لا أنّها كانت تدافع عن </w:t>
      </w:r>
      <w:r w:rsidRPr="00771EBE">
        <w:rPr>
          <w:rFonts w:hint="cs"/>
          <w:rtl/>
        </w:rPr>
        <w:lastRenderedPageBreak/>
        <w:t>نفسها دفاعاً شخصيّاً، فأين هو منطق المصالحة والمسالمة الذي تتحدّث عنه هذه النظريّة؟ وإذا كانوا نوراً واحداً فلماذا حصلنا على اختلاف في الأداء؟</w:t>
      </w:r>
    </w:p>
    <w:p w14:paraId="28CAA821" w14:textId="77777777" w:rsidR="00771EBE" w:rsidRPr="00771EBE" w:rsidRDefault="00771EBE" w:rsidP="001F09E7">
      <w:pPr>
        <w:spacing w:line="214" w:lineRule="auto"/>
        <w:rPr>
          <w:rtl/>
        </w:rPr>
      </w:pPr>
      <w:r w:rsidRPr="00771EBE">
        <w:rPr>
          <w:rFonts w:hint="cs"/>
          <w:rtl/>
        </w:rPr>
        <w:t>ومهما جاءت الإجابة، فنحن نخلص إلى أنّ مبدأ (نور واحد) والذي ركّز</w:t>
      </w:r>
      <w:r w:rsidR="001F09E7">
        <w:rPr>
          <w:rFonts w:hint="cs"/>
          <w:rtl/>
        </w:rPr>
        <w:t>ت هذه الرؤية عليه</w:t>
      </w:r>
      <w:r w:rsidRPr="00771EBE">
        <w:rPr>
          <w:rFonts w:hint="cs"/>
          <w:rtl/>
        </w:rPr>
        <w:t>، لا ينفي اختلاف المواقف السياسيّة التاريخيّة بين الأئمة، تبعاً لاختلاف الظروف والمتغيّرات الزمانيّة والمكانيّة.</w:t>
      </w:r>
    </w:p>
    <w:p w14:paraId="01A0D076" w14:textId="77777777" w:rsidR="00771EBE" w:rsidRPr="00771EBE" w:rsidRDefault="00771EBE" w:rsidP="001F09E7">
      <w:pPr>
        <w:spacing w:line="214" w:lineRule="auto"/>
        <w:rPr>
          <w:rtl/>
        </w:rPr>
      </w:pPr>
      <w:r w:rsidRPr="001F09E7">
        <w:rPr>
          <w:rFonts w:hint="cs"/>
          <w:b/>
          <w:bCs/>
          <w:rtl/>
        </w:rPr>
        <w:t>ثالثاً:</w:t>
      </w:r>
      <w:r w:rsidRPr="00771EBE">
        <w:rPr>
          <w:rFonts w:hint="cs"/>
          <w:rtl/>
        </w:rPr>
        <w:t xml:space="preserve"> نصّ</w:t>
      </w:r>
      <w:r w:rsidR="001F09E7">
        <w:rPr>
          <w:rFonts w:hint="cs"/>
          <w:rtl/>
        </w:rPr>
        <w:t xml:space="preserve">ت هذه الرؤية على مبدأ عقلانيّة الحرب، </w:t>
      </w:r>
      <w:r w:rsidRPr="00771EBE">
        <w:rPr>
          <w:rFonts w:hint="cs"/>
          <w:rtl/>
        </w:rPr>
        <w:t>وهي بطبيعتها تقوم على توازن القوى، وهو ما لم يكن متوفّراً في التجربة الحسنيّة؛ ولذلك أحجم الإمام الحسن عنها وأقدم على الصلح، وكذا الحال في التجربة الحسينيّة، حيث إنّه لمّا لم يكن توازن القوى قائماً لم يصرّ الحسين على الحرب، بل دعا للذهاب في الأرض.. إذا كان هذا الأمر صحيحاً وأن توازن القوى مفقودٌ، فهنا سؤال: لماذا لم يبايع الإمام الحسين، وبذلك يتخلّص من المجزرة التي حصلت على أقلّ التقادير؟! ألم يكن الإمام الحسن قد وقّع على عريضة الصلّح التي تنصّ على أنّ معاوية هو إمام المسلمين لمصالح اقتضتها المرحلة كما يقال</w:t>
      </w:r>
      <w:r w:rsidR="001F09E7">
        <w:rPr>
          <w:rFonts w:hint="cs"/>
          <w:rtl/>
        </w:rPr>
        <w:t>، إذا صحّت الروايات التاريخية في قضيّة الصلح</w:t>
      </w:r>
      <w:r w:rsidRPr="00771EBE">
        <w:rPr>
          <w:rFonts w:hint="cs"/>
          <w:rtl/>
        </w:rPr>
        <w:t>؟</w:t>
      </w:r>
    </w:p>
    <w:p w14:paraId="1169E383" w14:textId="77777777" w:rsidR="00771EBE" w:rsidRPr="00771EBE" w:rsidRDefault="00771EBE" w:rsidP="001F09E7">
      <w:pPr>
        <w:spacing w:line="214" w:lineRule="auto"/>
        <w:rPr>
          <w:rtl/>
        </w:rPr>
      </w:pPr>
      <w:r w:rsidRPr="00771EBE">
        <w:rPr>
          <w:rFonts w:hint="cs"/>
          <w:rtl/>
        </w:rPr>
        <w:t>وعليه، إذا كان عدم توازن القوى يسمح للإمام الحسن أن يوقّع صلحاً يعطي الخلافة لمعاوية بن أبي سفيان، فلماذا لا يكون هذا الأمر مبرّراً يعطي للإمام الحسين مجالاً للتوقيع على مبايعة يزيد بن معاوية؟ ولماذا أصرّ على الامتناع إلى اللحظة الأخيرة؟ ألا يُعدّ هذا الأمر غير عقلا</w:t>
      </w:r>
      <w:r w:rsidR="001F09E7">
        <w:rPr>
          <w:rFonts w:hint="cs"/>
          <w:rtl/>
        </w:rPr>
        <w:t>ن</w:t>
      </w:r>
      <w:r w:rsidRPr="00771EBE">
        <w:rPr>
          <w:rFonts w:hint="cs"/>
          <w:rtl/>
        </w:rPr>
        <w:t>يّ</w:t>
      </w:r>
      <w:r w:rsidR="001F09E7">
        <w:rPr>
          <w:rFonts w:hint="cs"/>
          <w:rtl/>
        </w:rPr>
        <w:t xml:space="preserve"> وفق منطق هذه الرؤية</w:t>
      </w:r>
      <w:r w:rsidRPr="00771EBE">
        <w:rPr>
          <w:rFonts w:hint="cs"/>
          <w:rtl/>
        </w:rPr>
        <w:t>؟!</w:t>
      </w:r>
    </w:p>
    <w:p w14:paraId="2649C540" w14:textId="77777777" w:rsidR="00771EBE" w:rsidRPr="00771EBE" w:rsidRDefault="00771EBE" w:rsidP="00771EBE">
      <w:pPr>
        <w:spacing w:line="214" w:lineRule="auto"/>
        <w:rPr>
          <w:rtl/>
        </w:rPr>
      </w:pPr>
      <w:r w:rsidRPr="001F09E7">
        <w:rPr>
          <w:rFonts w:hint="cs"/>
          <w:b/>
          <w:bCs/>
          <w:rtl/>
        </w:rPr>
        <w:t>رابعاً:</w:t>
      </w:r>
      <w:r w:rsidRPr="00771EBE">
        <w:rPr>
          <w:rFonts w:hint="cs"/>
          <w:rtl/>
        </w:rPr>
        <w:t xml:space="preserve"> ومن خلال منطق التحليل السياسي، إذا كان الإمام الحسين قد جاءته في مكّة المكرّمة تلك الرسائل الكثيرة تطالبه أن يأتي إلى الكوفة من وجوه القوم وعيونهم، فما معنى أن يأتي إلى الكوفة جرّاء ذلك؟! ألا يعني ذلك أنّ الحسين تحرّك إلى هناك لأنّ هؤلاء قالوا له: إنهم سيعزلون الوالي، وسوف ينصّبون والياً على خلاف إرادة الدولة المركزيّة في الشام، أي سيشكّلون باصطلاحنا المعاصر دولةً انفصاليّة؟ وهل هذا إلا إعلان حرب على السلطة المركزيّة بالمدلول السياسي الذي لا نفهم لإعلان الحرب معنى غيره؟! فلو كان هناك دولة وفي داخلها إثنيّات وقوميّات وأعراق متعدّدة، وتقوم واحدة من هذه القوميّات بإعلان الانفصال عن الدولة المركزيّة، فهل من المعقول أن تصمت الدولة المركزيّة حيالهم؟</w:t>
      </w:r>
    </w:p>
    <w:p w14:paraId="7720F11D" w14:textId="77777777" w:rsidR="00771EBE" w:rsidRPr="00771EBE" w:rsidRDefault="00771EBE" w:rsidP="001F09E7">
      <w:pPr>
        <w:spacing w:line="214" w:lineRule="auto"/>
        <w:rPr>
          <w:rtl/>
        </w:rPr>
      </w:pPr>
      <w:r w:rsidRPr="00771EBE">
        <w:rPr>
          <w:rFonts w:hint="cs"/>
          <w:rtl/>
        </w:rPr>
        <w:lastRenderedPageBreak/>
        <w:t>إنّ نفس موافقة الإمام الحسين على تلك الرسائل التي جاءته من العراق لتعلن موالاة جميع وجوه العشائر والقبائل له لاستتباب الأمر له في الكوفة.. أقول: إنّ نفس الموافقة هو إعلان انفصال عن الدولة المركزيّة، وهو بمثابة إعلان حرب، وإذا لم يكن مثل هذا الموقف إعلاناً للحرب، فما هو إعلان الحرب إذ</w:t>
      </w:r>
      <w:r w:rsidR="001F09E7">
        <w:rPr>
          <w:rFonts w:hint="cs"/>
          <w:rtl/>
        </w:rPr>
        <w:t>اً</w:t>
      </w:r>
      <w:r w:rsidRPr="00771EBE">
        <w:rPr>
          <w:rFonts w:hint="cs"/>
          <w:rtl/>
        </w:rPr>
        <w:t xml:space="preserve">؟ ولا أقلّ من أنّه المرحلة الأولى لإعلان الحرب، فكيف يقدم الحسين </w:t>
      </w:r>
      <w:r w:rsidR="001F09E7">
        <w:rPr>
          <w:rFonts w:hint="cs"/>
          <w:rtl/>
        </w:rPr>
        <w:t>على خطوة من هذا النوع لا تعبّر إ</w:t>
      </w:r>
      <w:r w:rsidRPr="00771EBE">
        <w:rPr>
          <w:rFonts w:hint="cs"/>
          <w:rtl/>
        </w:rPr>
        <w:t>لا عن إعلان حرب</w:t>
      </w:r>
      <w:r w:rsidR="001F09E7">
        <w:rPr>
          <w:rFonts w:hint="cs"/>
          <w:rtl/>
        </w:rPr>
        <w:t>،</w:t>
      </w:r>
      <w:r w:rsidRPr="00771EBE">
        <w:rPr>
          <w:rFonts w:hint="cs"/>
          <w:rtl/>
        </w:rPr>
        <w:t xml:space="preserve"> ثم</w:t>
      </w:r>
      <w:r w:rsidR="001F09E7">
        <w:rPr>
          <w:rFonts w:hint="cs"/>
          <w:rtl/>
        </w:rPr>
        <w:t>ّ</w:t>
      </w:r>
      <w:r w:rsidRPr="00771EBE">
        <w:rPr>
          <w:rFonts w:hint="cs"/>
          <w:rtl/>
        </w:rPr>
        <w:t xml:space="preserve"> بعد ذلك نقرأ تجر</w:t>
      </w:r>
      <w:r w:rsidR="001F09E7">
        <w:rPr>
          <w:rFonts w:hint="cs"/>
          <w:rtl/>
        </w:rPr>
        <w:t>بته على أ</w:t>
      </w:r>
      <w:r w:rsidRPr="00771EBE">
        <w:rPr>
          <w:rFonts w:hint="cs"/>
          <w:rtl/>
        </w:rPr>
        <w:t>نّه</w:t>
      </w:r>
      <w:r w:rsidR="001F09E7">
        <w:rPr>
          <w:rFonts w:hint="cs"/>
          <w:rtl/>
        </w:rPr>
        <w:t>ا</w:t>
      </w:r>
      <w:r w:rsidRPr="00771EBE">
        <w:rPr>
          <w:rFonts w:hint="cs"/>
          <w:rtl/>
        </w:rPr>
        <w:t xml:space="preserve"> معارضة للحرب؟ ألا يصحّ أن نقول بأنّ خطوته هذه انفصالٌ يعلن فيه أيضاً استعداده للحرب لو وقعت، وهي بالتأكيد سوف تقع كما رأينا؟ فهل هذا الشخص داعية سلام بالمعنى الذي </w:t>
      </w:r>
      <w:r w:rsidR="001F09E7">
        <w:rPr>
          <w:rFonts w:hint="cs"/>
          <w:rtl/>
        </w:rPr>
        <w:t>تريده هذه الرؤية</w:t>
      </w:r>
      <w:r w:rsidRPr="00771EBE">
        <w:rPr>
          <w:rFonts w:hint="cs"/>
          <w:rtl/>
        </w:rPr>
        <w:t>؟</w:t>
      </w:r>
      <w:r w:rsidR="001F09E7">
        <w:rPr>
          <w:rFonts w:hint="cs"/>
          <w:rtl/>
        </w:rPr>
        <w:t>!</w:t>
      </w:r>
    </w:p>
    <w:p w14:paraId="45CEEB52" w14:textId="77777777" w:rsidR="00771EBE" w:rsidRPr="00771EBE" w:rsidRDefault="00771EBE" w:rsidP="00637739">
      <w:pPr>
        <w:pStyle w:val="normal930"/>
        <w:rPr>
          <w:rtl/>
        </w:rPr>
      </w:pPr>
      <w:r w:rsidRPr="001F09E7">
        <w:rPr>
          <w:rFonts w:hint="cs"/>
          <w:b/>
          <w:bCs/>
          <w:rtl/>
        </w:rPr>
        <w:t xml:space="preserve">خامساً: </w:t>
      </w:r>
      <w:r w:rsidRPr="00771EBE">
        <w:rPr>
          <w:rFonts w:hint="cs"/>
          <w:rtl/>
        </w:rPr>
        <w:t xml:space="preserve">إنّ </w:t>
      </w:r>
      <w:r w:rsidR="001F09E7">
        <w:rPr>
          <w:rFonts w:hint="cs"/>
          <w:rtl/>
        </w:rPr>
        <w:t xml:space="preserve">هذه الرؤية </w:t>
      </w:r>
      <w:r w:rsidRPr="00771EBE">
        <w:rPr>
          <w:rFonts w:hint="cs"/>
          <w:rtl/>
        </w:rPr>
        <w:t>ركّز</w:t>
      </w:r>
      <w:r w:rsidR="001F09E7">
        <w:rPr>
          <w:rFonts w:hint="cs"/>
          <w:rtl/>
        </w:rPr>
        <w:t>ت</w:t>
      </w:r>
      <w:r w:rsidRPr="00771EBE">
        <w:rPr>
          <w:rFonts w:hint="cs"/>
          <w:rtl/>
        </w:rPr>
        <w:t xml:space="preserve"> على تلك النصوص التي نقلت في التاريخ ـ كتاريخ الطبري واليعقوبي ـ وهي خمسة أو ستة نصوص، والتي يقول فيها الإمام الحسين: اتركوني أذهب إلى أيّ مكان في الأرض، وفي بعضها إنّه عرض عليهم الذهاب إلى يزيد، كما احتمل السيد المرتضى، وعلّل ذلك بأنّ الإمام الحسين يحتمل أن يكون يزيد أرأف به من عبيد الله بن زياد</w:t>
      </w:r>
      <w:r w:rsidR="00DA6DF7" w:rsidRPr="00763E4E">
        <w:rPr>
          <w:rFonts w:cs="Taher"/>
          <w:vertAlign w:val="superscript"/>
          <w:rtl/>
        </w:rPr>
        <w:t>(</w:t>
      </w:r>
      <w:r w:rsidR="00DA6DF7" w:rsidRPr="00763E4E">
        <w:rPr>
          <w:rFonts w:cs="Taher"/>
          <w:vertAlign w:val="superscript"/>
          <w:rtl/>
        </w:rPr>
        <w:footnoteReference w:id="299"/>
      </w:r>
      <w:r w:rsidR="00DA6DF7" w:rsidRPr="00763E4E">
        <w:rPr>
          <w:rFonts w:cs="Taher"/>
          <w:vertAlign w:val="superscript"/>
          <w:rtl/>
        </w:rPr>
        <w:t>)</w:t>
      </w:r>
      <w:r w:rsidRPr="00771EBE">
        <w:rPr>
          <w:rFonts w:hint="cs"/>
          <w:rtl/>
        </w:rPr>
        <w:t>.</w:t>
      </w:r>
    </w:p>
    <w:p w14:paraId="2E267BBC" w14:textId="77777777" w:rsidR="00771EBE" w:rsidRPr="00771EBE" w:rsidRDefault="00771EBE" w:rsidP="00637739">
      <w:pPr>
        <w:rPr>
          <w:rtl/>
        </w:rPr>
      </w:pPr>
      <w:r w:rsidRPr="00771EBE">
        <w:rPr>
          <w:rFonts w:hint="cs"/>
          <w:rtl/>
        </w:rPr>
        <w:t xml:space="preserve">لا نريد في هذه النقطة أن نتحدّث عن سلامة هذه النصوص، وما هو الوجه في تفسيرها، ولكن نريد أن نسأل: لماذا لم </w:t>
      </w:r>
      <w:r w:rsidR="00DA6DF7">
        <w:rPr>
          <w:rFonts w:hint="cs"/>
          <w:rtl/>
        </w:rPr>
        <w:t>ت</w:t>
      </w:r>
      <w:r w:rsidRPr="00771EBE">
        <w:rPr>
          <w:rFonts w:hint="cs"/>
          <w:rtl/>
        </w:rPr>
        <w:t xml:space="preserve">أخذ </w:t>
      </w:r>
      <w:r w:rsidR="00DA6DF7">
        <w:rPr>
          <w:rFonts w:hint="cs"/>
          <w:rtl/>
        </w:rPr>
        <w:t xml:space="preserve">هذه الرؤية هنا </w:t>
      </w:r>
      <w:r w:rsidRPr="00771EBE">
        <w:rPr>
          <w:rFonts w:hint="cs"/>
          <w:rtl/>
        </w:rPr>
        <w:t>مجموع النصوص والوثائق التاريخيّة التي صدرت عن الإمام الحسين، ل</w:t>
      </w:r>
      <w:r w:rsidR="00DA6DF7">
        <w:rPr>
          <w:rFonts w:hint="cs"/>
          <w:rtl/>
        </w:rPr>
        <w:t>ت</w:t>
      </w:r>
      <w:r w:rsidRPr="00771EBE">
        <w:rPr>
          <w:rFonts w:hint="cs"/>
          <w:rtl/>
        </w:rPr>
        <w:t>قارن بينها؛ إذ هناك نصوص صدرت منه يعلن فيها مبادئ ثوريّة، ويمهّد للانفصال عن الدولة وأنّه سيواجه السلطة المركزيّة، أي هي نصوص إقدام على ما من شأنه إعلان حرب، فلِمَ لم تؤخذ هذه النصوص بعين الاعتبار؟!</w:t>
      </w:r>
      <w:r w:rsidR="00DA6DF7">
        <w:rPr>
          <w:rFonts w:hint="cs"/>
          <w:rtl/>
        </w:rPr>
        <w:t xml:space="preserve"> وقد سبق أن نقلنا مضمونها فيما مضى فلا نعيد.</w:t>
      </w:r>
    </w:p>
    <w:p w14:paraId="1565B810" w14:textId="77777777" w:rsidR="00771EBE" w:rsidRPr="00771EBE" w:rsidRDefault="00DA6DF7" w:rsidP="00637739">
      <w:pPr>
        <w:rPr>
          <w:rtl/>
        </w:rPr>
      </w:pPr>
      <w:r>
        <w:rPr>
          <w:rFonts w:hint="cs"/>
          <w:rtl/>
        </w:rPr>
        <w:t xml:space="preserve">إنّ هذه </w:t>
      </w:r>
      <w:r w:rsidR="00771EBE" w:rsidRPr="00771EBE">
        <w:rPr>
          <w:rFonts w:hint="cs"/>
          <w:rtl/>
        </w:rPr>
        <w:t>الن</w:t>
      </w:r>
      <w:r>
        <w:rPr>
          <w:rFonts w:hint="cs"/>
          <w:rtl/>
        </w:rPr>
        <w:t>صوص</w:t>
      </w:r>
      <w:r w:rsidR="00771EBE" w:rsidRPr="00771EBE">
        <w:rPr>
          <w:rFonts w:hint="cs"/>
          <w:rtl/>
        </w:rPr>
        <w:t xml:space="preserve"> </w:t>
      </w:r>
      <w:r>
        <w:rPr>
          <w:rFonts w:hint="cs"/>
          <w:rtl/>
        </w:rPr>
        <w:t>ت</w:t>
      </w:r>
      <w:r w:rsidR="00771EBE" w:rsidRPr="00771EBE">
        <w:rPr>
          <w:rFonts w:hint="cs"/>
          <w:rtl/>
        </w:rPr>
        <w:t>حمل مضامين كثيرة يمكن أن يطول الحديث في شرحها؛ لأنّ كلّ فقرة من</w:t>
      </w:r>
      <w:r>
        <w:rPr>
          <w:rFonts w:hint="cs"/>
          <w:rtl/>
        </w:rPr>
        <w:t xml:space="preserve">ها </w:t>
      </w:r>
      <w:r w:rsidR="00771EBE" w:rsidRPr="00771EBE">
        <w:rPr>
          <w:rFonts w:hint="cs"/>
          <w:rtl/>
        </w:rPr>
        <w:t>لها مداليلها بمفاهيم السياسة المعاصرة؛ حيث إنّه</w:t>
      </w:r>
      <w:r>
        <w:rPr>
          <w:rFonts w:hint="cs"/>
          <w:rtl/>
        </w:rPr>
        <w:t>ا</w:t>
      </w:r>
      <w:r w:rsidR="00771EBE" w:rsidRPr="00771EBE">
        <w:rPr>
          <w:rFonts w:hint="cs"/>
          <w:rtl/>
        </w:rPr>
        <w:t xml:space="preserve"> </w:t>
      </w:r>
      <w:r>
        <w:rPr>
          <w:rFonts w:hint="cs"/>
          <w:rtl/>
        </w:rPr>
        <w:t>ت</w:t>
      </w:r>
      <w:r w:rsidR="00771EBE" w:rsidRPr="00771EBE">
        <w:rPr>
          <w:rFonts w:hint="cs"/>
          <w:rtl/>
        </w:rPr>
        <w:t xml:space="preserve">حمل اعتراضاً على السياسة الاقتصاديّة للدولة وعلى السياسة الجزائيّة والجنائيّة لها، ويعترض على هذه الطبقيّة القائمة في البلاد، كما يعترض على عدم تطبيق الدولة للدستور حينما حرّموا حلال الله وحرّموا حلاله.. وبعد ذلك </w:t>
      </w:r>
      <w:r w:rsidR="00771EBE" w:rsidRPr="00771EBE">
        <w:rPr>
          <w:rFonts w:hint="cs"/>
          <w:rtl/>
        </w:rPr>
        <w:lastRenderedPageBreak/>
        <w:t xml:space="preserve">يقول: أنا أحقّ من غيري.. فإذا لم </w:t>
      </w:r>
      <w:r>
        <w:rPr>
          <w:rFonts w:hint="cs"/>
          <w:rtl/>
        </w:rPr>
        <w:t>ت</w:t>
      </w:r>
      <w:r w:rsidR="00771EBE" w:rsidRPr="00771EBE">
        <w:rPr>
          <w:rFonts w:hint="cs"/>
          <w:rtl/>
        </w:rPr>
        <w:t xml:space="preserve">كن </w:t>
      </w:r>
      <w:r>
        <w:rPr>
          <w:rFonts w:hint="cs"/>
          <w:rtl/>
        </w:rPr>
        <w:t xml:space="preserve">مثل </w:t>
      </w:r>
      <w:r w:rsidR="00771EBE" w:rsidRPr="00771EBE">
        <w:rPr>
          <w:rFonts w:hint="cs"/>
          <w:rtl/>
        </w:rPr>
        <w:t>هذ</w:t>
      </w:r>
      <w:r>
        <w:rPr>
          <w:rFonts w:hint="cs"/>
          <w:rtl/>
        </w:rPr>
        <w:t>ه</w:t>
      </w:r>
      <w:r w:rsidR="00771EBE" w:rsidRPr="00771EBE">
        <w:rPr>
          <w:rFonts w:hint="cs"/>
          <w:rtl/>
        </w:rPr>
        <w:t xml:space="preserve"> الن</w:t>
      </w:r>
      <w:r>
        <w:rPr>
          <w:rFonts w:hint="cs"/>
          <w:rtl/>
        </w:rPr>
        <w:t>صوص</w:t>
      </w:r>
      <w:r w:rsidR="00771EBE" w:rsidRPr="00771EBE">
        <w:rPr>
          <w:rFonts w:hint="cs"/>
          <w:rtl/>
        </w:rPr>
        <w:t xml:space="preserve"> دليلاً على إعلان مشروعٍ سياسيٍّ وإعلان مواجهة ورفض يدرك أنّه يؤدّي إلى مواجهة مسلّحة فأيّ نصّ يفي بهذا الأمر؟! ولا ندري حينما يطلب الإمام ـ في ظلّ طبيعة الحياة السياسية آنذاك ـ التغييرَ بالفعل </w:t>
      </w:r>
      <w:r>
        <w:rPr>
          <w:rFonts w:hint="eastAsia"/>
          <w:rtl/>
        </w:rPr>
        <w:t>«</w:t>
      </w:r>
      <w:r w:rsidR="00771EBE" w:rsidRPr="00771EBE">
        <w:rPr>
          <w:rFonts w:hint="cs"/>
          <w:rtl/>
        </w:rPr>
        <w:t>فلم يغيّر عليه بفعل</w:t>
      </w:r>
      <w:r>
        <w:rPr>
          <w:rFonts w:hint="eastAsia"/>
          <w:rtl/>
        </w:rPr>
        <w:t>»</w:t>
      </w:r>
      <w:r w:rsidR="00771EBE" w:rsidRPr="00771EBE">
        <w:rPr>
          <w:rFonts w:hint="cs"/>
          <w:rtl/>
        </w:rPr>
        <w:t>، فكيف يمكن أن لا يكون ذلك إعلاناً للحرب؟!</w:t>
      </w:r>
    </w:p>
    <w:p w14:paraId="7A52EC57" w14:textId="77777777" w:rsidR="00771EBE" w:rsidRPr="00771EBE" w:rsidRDefault="00771EBE" w:rsidP="00637739">
      <w:pPr>
        <w:pStyle w:val="normal930"/>
        <w:rPr>
          <w:rtl/>
        </w:rPr>
      </w:pPr>
      <w:r w:rsidRPr="00771EBE">
        <w:rPr>
          <w:rFonts w:hint="cs"/>
          <w:rtl/>
        </w:rPr>
        <w:t>هذا كلّه معناه أنّ السلطة الحاكمة سلطة غير شرعيّة، وأنا الذي أستطيع أن أمثّل السلطة الشرعيّة دون غيري، فهل يعني هذا النصّ أنّه يريد أن يقول لأصحابه بأنّه لا يريد المواجهة وأنّ غرضه الاعتراض السلمي مثلاً؟! وهل يعني ذلك أنّ مقتله واستشهاده في العاشر من المحرّم هو دفاع شخصيّ؟!</w:t>
      </w:r>
      <w:r w:rsidR="00DA6DF7">
        <w:rPr>
          <w:rFonts w:hint="cs"/>
          <w:rtl/>
        </w:rPr>
        <w:t xml:space="preserve"> </w:t>
      </w:r>
      <w:r w:rsidRPr="00771EBE">
        <w:rPr>
          <w:rFonts w:hint="cs"/>
          <w:rtl/>
        </w:rPr>
        <w:t xml:space="preserve">لو كان </w:t>
      </w:r>
      <w:r w:rsidR="00DA6DF7">
        <w:rPr>
          <w:rFonts w:hint="cs"/>
          <w:rtl/>
        </w:rPr>
        <w:t xml:space="preserve">هذا </w:t>
      </w:r>
      <w:r w:rsidRPr="00771EBE">
        <w:rPr>
          <w:rFonts w:hint="cs"/>
          <w:rtl/>
        </w:rPr>
        <w:t>الشخص يريد أن يذهب إلى أيّ مكان في ديار الله فلِمَ يقرّر أنّ الموت شهادة وسعادة؟!</w:t>
      </w:r>
    </w:p>
    <w:p w14:paraId="5A41BE17" w14:textId="77777777" w:rsidR="00771EBE" w:rsidRPr="00771EBE" w:rsidRDefault="00771EBE" w:rsidP="00637739">
      <w:pPr>
        <w:pStyle w:val="normal84"/>
        <w:rPr>
          <w:rtl/>
        </w:rPr>
      </w:pPr>
      <w:r w:rsidRPr="00771EBE">
        <w:rPr>
          <w:rFonts w:hint="cs"/>
          <w:rtl/>
        </w:rPr>
        <w:t xml:space="preserve">إذن، علينا حينما نريد استخراج صورة عن التجربة الحسينيّة أن لا نقوم باجتزاء النصوص والاقتصار على بعضها وترك سائر النصوص الأساسيّة التي وردت في المصادر الرئيسة، هذا فضلاً عن أنّ النصوص التي تتحدّث عن أنّه طلب الخروج إلى أيّ مكان في الأرض أو طلب أن يذهب إلى يزيد بن معاوية هي نصوص بينها تناقض ـ ولا نريد الدخول في هذا الموضوع حاليّاً </w:t>
      </w:r>
      <w:r w:rsidR="00DA6DF7">
        <w:rPr>
          <w:rFonts w:hint="cs"/>
          <w:rtl/>
        </w:rPr>
        <w:t>وأشرنا سابقاً إليها</w:t>
      </w:r>
      <w:r w:rsidRPr="00771EBE">
        <w:rPr>
          <w:rFonts w:hint="cs"/>
          <w:rtl/>
        </w:rPr>
        <w:t xml:space="preserve"> </w:t>
      </w:r>
      <w:r w:rsidR="00DA6DF7">
        <w:rPr>
          <w:rFonts w:hint="cs"/>
          <w:rtl/>
        </w:rPr>
        <w:t xml:space="preserve">ـ </w:t>
      </w:r>
      <w:r w:rsidRPr="00771EBE">
        <w:rPr>
          <w:rFonts w:hint="cs"/>
          <w:rtl/>
        </w:rPr>
        <w:t>وبينها تهافت في الجملة، وغير ثابتة من الناحية التاريخيّة، بل بعضها لم يرد في المصادر التاريخيّة القديمة، وإنما جاء في المصادر المتأخّرة.</w:t>
      </w:r>
    </w:p>
    <w:p w14:paraId="27265532" w14:textId="77777777" w:rsidR="00771EBE" w:rsidRDefault="00771EBE" w:rsidP="00637739">
      <w:pPr>
        <w:pStyle w:val="normal84"/>
        <w:rPr>
          <w:rtl/>
        </w:rPr>
      </w:pPr>
      <w:r w:rsidRPr="00771EBE">
        <w:rPr>
          <w:rFonts w:hint="cs"/>
          <w:rtl/>
        </w:rPr>
        <w:t>فلا يصحّ لي ـ وفق هذا النظرة الموجزة ـ الخروج بتفسير يقول: لا يوجد فرق بين حركة الإمام الحسن والإمام الحسين، وأنّ منهجهما معاً صلحٌ، ولا يمتّ إلى الثورة والعنف والمواجهة بصلة، ومن ثمّ يكون تقسيم التيارات إلى حسنيّة وحسينيّة لا أساس له من الصحّة</w:t>
      </w:r>
      <w:r w:rsidR="00DA6DF7">
        <w:rPr>
          <w:rFonts w:hint="cs"/>
          <w:rtl/>
        </w:rPr>
        <w:t>، إنّ هذه المعطيات وغيرها</w:t>
      </w:r>
      <w:r w:rsidRPr="00771EBE">
        <w:rPr>
          <w:rFonts w:hint="cs"/>
          <w:rtl/>
        </w:rPr>
        <w:t xml:space="preserve"> كفيلة في تقدير</w:t>
      </w:r>
      <w:r w:rsidR="00DA6DF7">
        <w:rPr>
          <w:rFonts w:hint="cs"/>
          <w:rtl/>
        </w:rPr>
        <w:t>ي</w:t>
      </w:r>
      <w:r w:rsidRPr="00771EBE">
        <w:rPr>
          <w:rFonts w:hint="cs"/>
          <w:rtl/>
        </w:rPr>
        <w:t xml:space="preserve"> بأن تضعنا أمام تشكيك أساسي في تلك ال</w:t>
      </w:r>
      <w:r w:rsidR="00DA6DF7">
        <w:rPr>
          <w:rFonts w:hint="cs"/>
          <w:rtl/>
        </w:rPr>
        <w:t>رؤية.</w:t>
      </w:r>
    </w:p>
    <w:p w14:paraId="049F14AB" w14:textId="77777777" w:rsidR="00DA6DF7" w:rsidRPr="00DA6DF7" w:rsidRDefault="00DA6DF7" w:rsidP="00DA6DF7">
      <w:pPr>
        <w:spacing w:line="214" w:lineRule="auto"/>
        <w:rPr>
          <w:b/>
          <w:bCs/>
          <w:rtl/>
        </w:rPr>
      </w:pPr>
      <w:r w:rsidRPr="00DA6DF7">
        <w:rPr>
          <w:rFonts w:hint="cs"/>
          <w:b/>
          <w:bCs/>
          <w:rtl/>
        </w:rPr>
        <w:t>أكتفي بهذا القدر من التعليقات وقد سبق غيرها مما يرتبط بها.</w:t>
      </w:r>
    </w:p>
    <w:p w14:paraId="65E88BC2" w14:textId="77777777" w:rsidR="00DD6401" w:rsidRPr="00236AA7" w:rsidRDefault="00DD6401" w:rsidP="0096148C">
      <w:pPr>
        <w:pStyle w:val="Heading2"/>
        <w:rPr>
          <w:rtl/>
        </w:rPr>
      </w:pPr>
      <w:bookmarkStart w:id="173" w:name="_Toc307009629"/>
      <w:bookmarkStart w:id="174" w:name="_Toc143804167"/>
      <w:bookmarkStart w:id="175" w:name="_Toc238123292"/>
      <w:r w:rsidRPr="00236AA7">
        <w:rPr>
          <w:rFonts w:hint="cs"/>
          <w:rtl/>
        </w:rPr>
        <w:t>خاتمة واستنتاج</w:t>
      </w:r>
      <w:bookmarkEnd w:id="173"/>
      <w:bookmarkEnd w:id="174"/>
      <w:bookmarkEnd w:id="175"/>
    </w:p>
    <w:p w14:paraId="25466EB0" w14:textId="77777777" w:rsidR="00DD6401" w:rsidRDefault="00DD6401" w:rsidP="00637739">
      <w:pPr>
        <w:pStyle w:val="normal84"/>
        <w:rPr>
          <w:rtl/>
        </w:rPr>
      </w:pPr>
      <w:r w:rsidRPr="00E4028C">
        <w:rPr>
          <w:rFonts w:hint="cs"/>
          <w:rtl/>
        </w:rPr>
        <w:t>من خلال هذه المطالعة الموجزة لحركة الإمام الحسين، يتبيّن أن</w:t>
      </w:r>
      <w:r w:rsidR="00B31405">
        <w:rPr>
          <w:rFonts w:hint="cs"/>
          <w:rtl/>
        </w:rPr>
        <w:t>ّ</w:t>
      </w:r>
      <w:r w:rsidRPr="00E4028C">
        <w:rPr>
          <w:rFonts w:hint="cs"/>
          <w:rtl/>
        </w:rPr>
        <w:t xml:space="preserve"> الاستدلال بها لصالح نظري</w:t>
      </w:r>
      <w:r w:rsidR="00B31405">
        <w:rPr>
          <w:rFonts w:hint="cs"/>
          <w:rtl/>
        </w:rPr>
        <w:t>ّ</w:t>
      </w:r>
      <w:r w:rsidRPr="00E4028C">
        <w:rPr>
          <w:rFonts w:hint="cs"/>
          <w:rtl/>
        </w:rPr>
        <w:t>ة الثورة على الأنظمة ممكنٌ من حيث المبدأ، لكن</w:t>
      </w:r>
      <w:r w:rsidR="00B31405">
        <w:rPr>
          <w:rFonts w:hint="cs"/>
          <w:rtl/>
        </w:rPr>
        <w:t>ّ</w:t>
      </w:r>
      <w:r w:rsidRPr="00E4028C">
        <w:rPr>
          <w:rFonts w:hint="cs"/>
          <w:rtl/>
        </w:rPr>
        <w:t xml:space="preserve"> ذلك لا يعني أن</w:t>
      </w:r>
      <w:r w:rsidR="00B31405">
        <w:rPr>
          <w:rFonts w:hint="cs"/>
          <w:rtl/>
        </w:rPr>
        <w:t>ّ</w:t>
      </w:r>
      <w:r w:rsidRPr="00E4028C">
        <w:rPr>
          <w:rFonts w:hint="cs"/>
          <w:rtl/>
        </w:rPr>
        <w:t xml:space="preserve"> دائرة الاستناد واسعة، بل هي </w:t>
      </w:r>
      <w:r w:rsidRPr="00E4028C">
        <w:rPr>
          <w:rFonts w:hint="cs"/>
          <w:rtl/>
        </w:rPr>
        <w:lastRenderedPageBreak/>
        <w:t>محدّدة بالأطر التي تمثل القدر المتيق</w:t>
      </w:r>
      <w:r w:rsidR="00B31405">
        <w:rPr>
          <w:rFonts w:hint="cs"/>
          <w:rtl/>
        </w:rPr>
        <w:t>ّ</w:t>
      </w:r>
      <w:r w:rsidRPr="00E4028C">
        <w:rPr>
          <w:rFonts w:hint="cs"/>
          <w:rtl/>
        </w:rPr>
        <w:t>ن من العناصر المبرّرة ل</w:t>
      </w:r>
      <w:r w:rsidR="00B31405">
        <w:rPr>
          <w:rFonts w:hint="cs"/>
          <w:rtl/>
        </w:rPr>
        <w:t xml:space="preserve">حركة </w:t>
      </w:r>
      <w:r w:rsidRPr="00E4028C">
        <w:rPr>
          <w:rFonts w:hint="cs"/>
          <w:rtl/>
        </w:rPr>
        <w:t>الحسين، بحيث تتقارب مع الظروف التي تأتي فيما بعد، دون إدخال الاحتمالات البعيدة عن الذوق والعرف والعقلائي</w:t>
      </w:r>
      <w:r w:rsidR="00B31405">
        <w:rPr>
          <w:rFonts w:hint="cs"/>
          <w:rtl/>
        </w:rPr>
        <w:t>ّ</w:t>
      </w:r>
      <w:r w:rsidRPr="00E4028C">
        <w:rPr>
          <w:rFonts w:hint="cs"/>
          <w:rtl/>
        </w:rPr>
        <w:t>ة، الأمر الذي يجعل الاستناد محدود الدائرة</w:t>
      </w:r>
      <w:r w:rsidR="00B31405">
        <w:rPr>
          <w:rFonts w:hint="cs"/>
          <w:rtl/>
        </w:rPr>
        <w:t xml:space="preserve"> جدّاً</w:t>
      </w:r>
      <w:r w:rsidRPr="00E4028C">
        <w:rPr>
          <w:rFonts w:hint="cs"/>
          <w:rtl/>
        </w:rPr>
        <w:t>.</w:t>
      </w:r>
    </w:p>
    <w:p w14:paraId="1A112E48" w14:textId="77777777" w:rsidR="00B31405" w:rsidRPr="00E4028C" w:rsidRDefault="00B31405" w:rsidP="00B31405">
      <w:pPr>
        <w:spacing w:line="214" w:lineRule="auto"/>
        <w:rPr>
          <w:rtl/>
        </w:rPr>
      </w:pPr>
      <w:r>
        <w:rPr>
          <w:rFonts w:hint="cs"/>
          <w:rtl/>
        </w:rPr>
        <w:t>ونكتفي بهذا القدر في الحديث عن هذا الدليل ـ الحركة الحسينيّة ـ حتى لا نطيل أكثر.</w:t>
      </w:r>
    </w:p>
    <w:p w14:paraId="2029398E" w14:textId="77777777" w:rsidR="0080185A" w:rsidRPr="0080185A" w:rsidRDefault="0080185A" w:rsidP="0096148C">
      <w:pPr>
        <w:pStyle w:val="Heading2"/>
        <w:rPr>
          <w:rtl/>
        </w:rPr>
      </w:pPr>
      <w:bookmarkStart w:id="176" w:name="_Toc143804168"/>
      <w:bookmarkStart w:id="177" w:name="_Toc238123293"/>
      <w:r w:rsidRPr="0080185A">
        <w:rPr>
          <w:rFonts w:hint="cs"/>
          <w:rtl/>
        </w:rPr>
        <w:t xml:space="preserve">16 ـ مقاتلة الظلمة بوصفها </w:t>
      </w:r>
      <w:r>
        <w:rPr>
          <w:rFonts w:hint="cs"/>
          <w:rtl/>
        </w:rPr>
        <w:t xml:space="preserve">شكلاً </w:t>
      </w:r>
      <w:r w:rsidRPr="0080185A">
        <w:rPr>
          <w:rFonts w:hint="cs"/>
          <w:rtl/>
        </w:rPr>
        <w:t>من أشكال الدفاع عن الإسلام</w:t>
      </w:r>
      <w:bookmarkEnd w:id="176"/>
      <w:bookmarkEnd w:id="177"/>
    </w:p>
    <w:p w14:paraId="6891B54E" w14:textId="77777777" w:rsidR="000A4159" w:rsidRPr="00822CE9" w:rsidRDefault="003619EF" w:rsidP="003619EF">
      <w:pPr>
        <w:spacing w:line="214" w:lineRule="auto"/>
        <w:rPr>
          <w:rtl/>
        </w:rPr>
      </w:pPr>
      <w:r>
        <w:rPr>
          <w:rFonts w:hint="cs"/>
          <w:rtl/>
        </w:rPr>
        <w:t xml:space="preserve">يُتداول </w:t>
      </w:r>
      <w:r w:rsidR="0080185A">
        <w:rPr>
          <w:rFonts w:hint="cs"/>
          <w:rtl/>
        </w:rPr>
        <w:t xml:space="preserve">هذا الاستدلال </w:t>
      </w:r>
      <w:r w:rsidR="000A4159" w:rsidRPr="00822CE9">
        <w:rPr>
          <w:rFonts w:hint="cs"/>
          <w:rtl/>
        </w:rPr>
        <w:t>ـ بكثرة ـ في ثقافة الحركات الإسلامي</w:t>
      </w:r>
      <w:r w:rsidR="00B97B2A">
        <w:rPr>
          <w:rFonts w:hint="cs"/>
          <w:rtl/>
        </w:rPr>
        <w:t>ّ</w:t>
      </w:r>
      <w:r w:rsidR="000A4159" w:rsidRPr="00822CE9">
        <w:rPr>
          <w:rFonts w:hint="cs"/>
          <w:rtl/>
        </w:rPr>
        <w:t>ة المعاصرة</w:t>
      </w:r>
      <w:r w:rsidR="00B97B2A">
        <w:rPr>
          <w:rFonts w:hint="cs"/>
          <w:rtl/>
        </w:rPr>
        <w:t>، حيث يرى</w:t>
      </w:r>
      <w:r w:rsidR="000A4159" w:rsidRPr="00822CE9">
        <w:rPr>
          <w:rFonts w:hint="cs"/>
          <w:rtl/>
        </w:rPr>
        <w:t xml:space="preserve"> أن</w:t>
      </w:r>
      <w:r w:rsidR="00B97B2A">
        <w:rPr>
          <w:rFonts w:hint="cs"/>
          <w:rtl/>
        </w:rPr>
        <w:t>ّ</w:t>
      </w:r>
      <w:r w:rsidR="000A4159" w:rsidRPr="00822CE9">
        <w:rPr>
          <w:rFonts w:hint="cs"/>
          <w:rtl/>
        </w:rPr>
        <w:t xml:space="preserve"> مقاتلة الحك</w:t>
      </w:r>
      <w:r w:rsidR="00B97B2A">
        <w:rPr>
          <w:rFonts w:hint="cs"/>
          <w:rtl/>
        </w:rPr>
        <w:t>ّ</w:t>
      </w:r>
      <w:r w:rsidR="000A4159" w:rsidRPr="00822CE9">
        <w:rPr>
          <w:rFonts w:hint="cs"/>
          <w:rtl/>
        </w:rPr>
        <w:t>ام الظالمين الذين لا يقيمون شرع الله تعالى ي</w:t>
      </w:r>
      <w:r w:rsidR="00B97B2A">
        <w:rPr>
          <w:rFonts w:hint="cs"/>
          <w:rtl/>
        </w:rPr>
        <w:t>عدّ من مصاديق الدفاع عن الإسلام؛</w:t>
      </w:r>
      <w:r w:rsidR="000A4159" w:rsidRPr="00822CE9">
        <w:rPr>
          <w:rFonts w:hint="cs"/>
          <w:rtl/>
        </w:rPr>
        <w:t xml:space="preserve"> لأن</w:t>
      </w:r>
      <w:r w:rsidR="00B97B2A">
        <w:rPr>
          <w:rFonts w:hint="cs"/>
          <w:rtl/>
        </w:rPr>
        <w:t>ّ</w:t>
      </w:r>
      <w:r w:rsidR="000A4159" w:rsidRPr="00822CE9">
        <w:rPr>
          <w:rFonts w:hint="cs"/>
          <w:rtl/>
        </w:rPr>
        <w:t xml:space="preserve"> هذه الأنظمة الحاكمة أ</w:t>
      </w:r>
      <w:r w:rsidR="00B97B2A">
        <w:rPr>
          <w:rFonts w:hint="cs"/>
          <w:rtl/>
        </w:rPr>
        <w:t>ن</w:t>
      </w:r>
      <w:r w:rsidR="000A4159" w:rsidRPr="00822CE9">
        <w:rPr>
          <w:rFonts w:hint="cs"/>
          <w:rtl/>
        </w:rPr>
        <w:t xml:space="preserve">ظمة كافرة، حتى لو </w:t>
      </w:r>
      <w:r w:rsidR="00CA6AA3">
        <w:rPr>
          <w:rFonts w:hint="cs"/>
          <w:rtl/>
        </w:rPr>
        <w:t xml:space="preserve">كان </w:t>
      </w:r>
      <w:r w:rsidR="000A4159" w:rsidRPr="00822CE9">
        <w:rPr>
          <w:rFonts w:hint="cs"/>
          <w:rtl/>
        </w:rPr>
        <w:t>الحك</w:t>
      </w:r>
      <w:r w:rsidR="00B97B2A">
        <w:rPr>
          <w:rFonts w:hint="cs"/>
          <w:rtl/>
        </w:rPr>
        <w:t>ّ</w:t>
      </w:r>
      <w:r w:rsidR="000A4159" w:rsidRPr="00822CE9">
        <w:rPr>
          <w:rFonts w:hint="cs"/>
          <w:rtl/>
        </w:rPr>
        <w:t>ام وأعوانهم مسلمين</w:t>
      </w:r>
      <w:r w:rsidR="000A4159" w:rsidRPr="000A4159">
        <w:rPr>
          <w:rFonts w:cs="Taher"/>
          <w:vertAlign w:val="superscript"/>
          <w:rtl/>
        </w:rPr>
        <w:t>(</w:t>
      </w:r>
      <w:r w:rsidR="000A4159" w:rsidRPr="000A4159">
        <w:rPr>
          <w:rStyle w:val="FootnoteReference"/>
          <w:rFonts w:cs="Taher"/>
          <w:rtl/>
        </w:rPr>
        <w:footnoteReference w:id="300"/>
      </w:r>
      <w:r w:rsidR="000A4159" w:rsidRPr="000A4159">
        <w:rPr>
          <w:rFonts w:cs="Taher"/>
          <w:vertAlign w:val="superscript"/>
          <w:rtl/>
        </w:rPr>
        <w:t>)</w:t>
      </w:r>
      <w:r w:rsidR="00B97B2A">
        <w:rPr>
          <w:rtl/>
        </w:rPr>
        <w:t>.</w:t>
      </w:r>
    </w:p>
    <w:p w14:paraId="38E55E6F" w14:textId="77777777" w:rsidR="000A4159" w:rsidRPr="00822CE9" w:rsidRDefault="000A4159" w:rsidP="00637739">
      <w:pPr>
        <w:rPr>
          <w:rtl/>
        </w:rPr>
      </w:pPr>
      <w:r w:rsidRPr="00B97B2A">
        <w:rPr>
          <w:rFonts w:hint="cs"/>
          <w:b/>
          <w:bCs/>
          <w:rtl/>
        </w:rPr>
        <w:t>ويحاول الشيخ شمس الدين الإجابة عن هذا الدليل وغيره</w:t>
      </w:r>
      <w:r w:rsidRPr="00822CE9">
        <w:rPr>
          <w:rFonts w:hint="cs"/>
          <w:rtl/>
        </w:rPr>
        <w:t xml:space="preserve"> بأنّ قضيةً من هذا النوع تحتاج إلى نص</w:t>
      </w:r>
      <w:r w:rsidR="00B97B2A">
        <w:rPr>
          <w:rFonts w:hint="cs"/>
          <w:rtl/>
        </w:rPr>
        <w:t>ّ</w:t>
      </w:r>
      <w:r w:rsidRPr="00822CE9">
        <w:rPr>
          <w:rFonts w:hint="cs"/>
          <w:rtl/>
        </w:rPr>
        <w:t xml:space="preserve"> صريح، والأئم</w:t>
      </w:r>
      <w:r w:rsidR="00B97B2A">
        <w:rPr>
          <w:rFonts w:hint="cs"/>
          <w:rtl/>
        </w:rPr>
        <w:t>ّ</w:t>
      </w:r>
      <w:r w:rsidRPr="00822CE9">
        <w:rPr>
          <w:rFonts w:hint="cs"/>
          <w:rtl/>
        </w:rPr>
        <w:t>ة ها</w:t>
      </w:r>
      <w:r w:rsidR="00B97B2A">
        <w:rPr>
          <w:rFonts w:hint="cs"/>
          <w:rtl/>
        </w:rPr>
        <w:t>د</w:t>
      </w:r>
      <w:r w:rsidRPr="00822CE9">
        <w:rPr>
          <w:rFonts w:hint="cs"/>
          <w:rtl/>
        </w:rPr>
        <w:t>نوا لقرابة قرنين بعد الحسين، ولا يحتمل التقي</w:t>
      </w:r>
      <w:r w:rsidR="00B97B2A">
        <w:rPr>
          <w:rFonts w:hint="cs"/>
          <w:rtl/>
        </w:rPr>
        <w:t>ّ</w:t>
      </w:r>
      <w:r w:rsidRPr="00822CE9">
        <w:rPr>
          <w:rFonts w:hint="cs"/>
          <w:rtl/>
        </w:rPr>
        <w:t>ة كل</w:t>
      </w:r>
      <w:r w:rsidR="00B97B2A">
        <w:rPr>
          <w:rFonts w:hint="cs"/>
          <w:rtl/>
        </w:rPr>
        <w:t>ّ</w:t>
      </w:r>
      <w:r w:rsidRPr="00822CE9">
        <w:rPr>
          <w:rFonts w:hint="cs"/>
          <w:rtl/>
        </w:rPr>
        <w:t xml:space="preserve"> هذه الفترة، فلو كان لهم موقف</w:t>
      </w:r>
      <w:r w:rsidR="00B97B2A">
        <w:rPr>
          <w:rFonts w:hint="cs"/>
          <w:rtl/>
        </w:rPr>
        <w:t>ٌ</w:t>
      </w:r>
      <w:r w:rsidRPr="00822CE9">
        <w:rPr>
          <w:rFonts w:hint="cs"/>
          <w:rtl/>
        </w:rPr>
        <w:t xml:space="preserve"> ينسجم مع الثورة وأن</w:t>
      </w:r>
      <w:r w:rsidR="00B97B2A">
        <w:rPr>
          <w:rFonts w:hint="cs"/>
          <w:rtl/>
        </w:rPr>
        <w:t>ّ</w:t>
      </w:r>
      <w:r w:rsidRPr="00822CE9">
        <w:rPr>
          <w:rFonts w:hint="cs"/>
          <w:rtl/>
        </w:rPr>
        <w:t>ها مصداق</w:t>
      </w:r>
      <w:r w:rsidR="00B97B2A">
        <w:rPr>
          <w:rFonts w:hint="cs"/>
          <w:rtl/>
        </w:rPr>
        <w:t>ٌ</w:t>
      </w:r>
      <w:r w:rsidRPr="00822CE9">
        <w:rPr>
          <w:rFonts w:hint="cs"/>
          <w:rtl/>
        </w:rPr>
        <w:t xml:space="preserve"> للدفاع عن الإسلام</w:t>
      </w:r>
      <w:r w:rsidR="00B97B2A">
        <w:rPr>
          <w:rFonts w:hint="cs"/>
          <w:rtl/>
        </w:rPr>
        <w:t>،</w:t>
      </w:r>
      <w:r w:rsidRPr="00822CE9">
        <w:rPr>
          <w:rFonts w:hint="cs"/>
          <w:rtl/>
        </w:rPr>
        <w:t xml:space="preserve"> لظهر</w:t>
      </w:r>
      <w:r w:rsidR="00B97B2A">
        <w:rPr>
          <w:rFonts w:hint="cs"/>
          <w:rtl/>
        </w:rPr>
        <w:t xml:space="preserve"> </w:t>
      </w:r>
      <w:r w:rsidRPr="00822CE9">
        <w:rPr>
          <w:rFonts w:hint="cs"/>
          <w:rtl/>
        </w:rPr>
        <w:t>وبان</w:t>
      </w:r>
      <w:r w:rsidRPr="000A4159">
        <w:rPr>
          <w:rFonts w:cs="Taher"/>
          <w:vertAlign w:val="superscript"/>
          <w:rtl/>
        </w:rPr>
        <w:t>(</w:t>
      </w:r>
      <w:r w:rsidRPr="000A4159">
        <w:rPr>
          <w:rStyle w:val="FootnoteReference"/>
          <w:rFonts w:cs="Taher"/>
          <w:rtl/>
        </w:rPr>
        <w:footnoteReference w:id="301"/>
      </w:r>
      <w:r w:rsidRPr="000A4159">
        <w:rPr>
          <w:rFonts w:cs="Taher"/>
          <w:vertAlign w:val="superscript"/>
          <w:rtl/>
        </w:rPr>
        <w:t>)</w:t>
      </w:r>
      <w:r w:rsidRPr="00822CE9">
        <w:rPr>
          <w:rtl/>
        </w:rPr>
        <w:t>.</w:t>
      </w:r>
    </w:p>
    <w:p w14:paraId="52648DC8" w14:textId="77777777" w:rsidR="000A4159" w:rsidRPr="00822CE9" w:rsidRDefault="00B97B2A" w:rsidP="00637739">
      <w:pPr>
        <w:rPr>
          <w:rtl/>
        </w:rPr>
      </w:pPr>
      <w:r>
        <w:rPr>
          <w:rFonts w:hint="cs"/>
          <w:b/>
          <w:bCs/>
          <w:rtl/>
        </w:rPr>
        <w:t>ولكن الذي يتخذ الأدلّة المتق</w:t>
      </w:r>
      <w:r w:rsidR="000A4159" w:rsidRPr="00B97B2A">
        <w:rPr>
          <w:rFonts w:hint="cs"/>
          <w:b/>
          <w:bCs/>
          <w:rtl/>
        </w:rPr>
        <w:t>د</w:t>
      </w:r>
      <w:r>
        <w:rPr>
          <w:rFonts w:hint="cs"/>
          <w:b/>
          <w:bCs/>
          <w:rtl/>
        </w:rPr>
        <w:t>ّ</w:t>
      </w:r>
      <w:r w:rsidR="000A4159" w:rsidRPr="00B97B2A">
        <w:rPr>
          <w:rFonts w:hint="cs"/>
          <w:b/>
          <w:bCs/>
          <w:rtl/>
        </w:rPr>
        <w:t>مة يمكنه أن يعتبرها نصوصاً واضحة،</w:t>
      </w:r>
      <w:r w:rsidR="000A4159" w:rsidRPr="00822CE9">
        <w:rPr>
          <w:rFonts w:hint="cs"/>
          <w:rtl/>
        </w:rPr>
        <w:t xml:space="preserve"> لا ينبغي المبالغة في عدم وضوحها، على تقدير تمامي</w:t>
      </w:r>
      <w:r>
        <w:rPr>
          <w:rFonts w:hint="cs"/>
          <w:rtl/>
        </w:rPr>
        <w:t>ّ</w:t>
      </w:r>
      <w:r w:rsidR="000A4159" w:rsidRPr="00822CE9">
        <w:rPr>
          <w:rFonts w:hint="cs"/>
          <w:rtl/>
        </w:rPr>
        <w:t>تها؛ ف</w:t>
      </w:r>
      <w:r w:rsidR="003619EF">
        <w:rPr>
          <w:rFonts w:hint="cs"/>
          <w:rtl/>
        </w:rPr>
        <w:t xml:space="preserve">خطوة </w:t>
      </w:r>
      <w:r w:rsidR="000A4159" w:rsidRPr="00822CE9">
        <w:rPr>
          <w:rFonts w:hint="cs"/>
          <w:rtl/>
        </w:rPr>
        <w:t xml:space="preserve">بوضوح </w:t>
      </w:r>
      <w:r w:rsidR="003619EF">
        <w:rPr>
          <w:rFonts w:hint="cs"/>
          <w:rtl/>
        </w:rPr>
        <w:t xml:space="preserve">خروج </w:t>
      </w:r>
      <w:r w:rsidR="000A4159" w:rsidRPr="00822CE9">
        <w:rPr>
          <w:rFonts w:hint="cs"/>
          <w:rtl/>
        </w:rPr>
        <w:t xml:space="preserve">الحسين ـ بقطع النظر عن الملاحظات السابقة ـ </w:t>
      </w:r>
      <w:r>
        <w:rPr>
          <w:rFonts w:hint="cs"/>
          <w:rtl/>
        </w:rPr>
        <w:t xml:space="preserve">لا </w:t>
      </w:r>
      <w:r w:rsidR="000A4159" w:rsidRPr="00822CE9">
        <w:rPr>
          <w:rFonts w:hint="cs"/>
          <w:rtl/>
        </w:rPr>
        <w:t>سي</w:t>
      </w:r>
      <w:r w:rsidR="003619EF">
        <w:rPr>
          <w:rFonts w:hint="cs"/>
          <w:rtl/>
        </w:rPr>
        <w:t>ّ</w:t>
      </w:r>
      <w:r w:rsidR="000A4159" w:rsidRPr="00822CE9">
        <w:rPr>
          <w:rFonts w:hint="cs"/>
          <w:rtl/>
        </w:rPr>
        <w:t>ما على التفسير السياسي</w:t>
      </w:r>
      <w:r>
        <w:rPr>
          <w:rFonts w:hint="cs"/>
          <w:rtl/>
        </w:rPr>
        <w:t>،</w:t>
      </w:r>
      <w:r w:rsidR="000A4159" w:rsidRPr="00822CE9">
        <w:rPr>
          <w:rFonts w:hint="cs"/>
          <w:rtl/>
        </w:rPr>
        <w:t xml:space="preserve"> لماذا لا يصحّ جعلها صريحة، </w:t>
      </w:r>
      <w:r>
        <w:rPr>
          <w:rFonts w:hint="cs"/>
          <w:rtl/>
        </w:rPr>
        <w:t>وبخاصّة</w:t>
      </w:r>
      <w:r w:rsidR="000A4159" w:rsidRPr="00822CE9">
        <w:rPr>
          <w:rFonts w:hint="cs"/>
          <w:rtl/>
        </w:rPr>
        <w:t xml:space="preserve"> مع ضمّ موقف أهل البيت من مثل ثورة زيد وصاحب فخ</w:t>
      </w:r>
      <w:r>
        <w:rPr>
          <w:rFonts w:hint="cs"/>
          <w:rtl/>
        </w:rPr>
        <w:t>ّ</w:t>
      </w:r>
      <w:r w:rsidR="000A4159" w:rsidRPr="00822CE9">
        <w:rPr>
          <w:rFonts w:hint="cs"/>
          <w:rtl/>
        </w:rPr>
        <w:t xml:space="preserve"> و</w:t>
      </w:r>
      <w:r>
        <w:rPr>
          <w:rFonts w:hint="cs"/>
          <w:rtl/>
        </w:rPr>
        <w:t>غيرهما؟!</w:t>
      </w:r>
      <w:r w:rsidR="000A4159" w:rsidRPr="00822CE9">
        <w:rPr>
          <w:rFonts w:hint="cs"/>
          <w:rtl/>
        </w:rPr>
        <w:t xml:space="preserve"> وقد لاحظت</w:t>
      </w:r>
      <w:r>
        <w:rPr>
          <w:rFonts w:hint="cs"/>
          <w:rtl/>
        </w:rPr>
        <w:t>ُ</w:t>
      </w:r>
      <w:r w:rsidR="000A4159" w:rsidRPr="00822CE9">
        <w:rPr>
          <w:rFonts w:hint="cs"/>
          <w:rtl/>
        </w:rPr>
        <w:t xml:space="preserve"> أن</w:t>
      </w:r>
      <w:r>
        <w:rPr>
          <w:rFonts w:hint="cs"/>
          <w:rtl/>
        </w:rPr>
        <w:t>ّ</w:t>
      </w:r>
      <w:r w:rsidR="000A4159" w:rsidRPr="00822CE9">
        <w:rPr>
          <w:rFonts w:hint="cs"/>
          <w:rtl/>
        </w:rPr>
        <w:t xml:space="preserve"> الشيخ شمس الدين في دراسته لهذا الموضوع قد حاول أن يصوّر الأمر أن</w:t>
      </w:r>
      <w:r>
        <w:rPr>
          <w:rFonts w:hint="cs"/>
          <w:rtl/>
        </w:rPr>
        <w:t>ّ</w:t>
      </w:r>
      <w:r w:rsidR="000A4159" w:rsidRPr="00822CE9">
        <w:rPr>
          <w:rFonts w:hint="cs"/>
          <w:rtl/>
        </w:rPr>
        <w:t>ه بحاجة إلى نصّ واضح جلي</w:t>
      </w:r>
      <w:r>
        <w:rPr>
          <w:rFonts w:hint="cs"/>
          <w:rtl/>
        </w:rPr>
        <w:t>ّ</w:t>
      </w:r>
      <w:r w:rsidR="000A4159" w:rsidRPr="00822CE9">
        <w:rPr>
          <w:rFonts w:hint="cs"/>
          <w:rtl/>
        </w:rPr>
        <w:t xml:space="preserve"> من الأئم</w:t>
      </w:r>
      <w:r>
        <w:rPr>
          <w:rFonts w:hint="cs"/>
          <w:rtl/>
        </w:rPr>
        <w:t>ّ</w:t>
      </w:r>
      <w:r w:rsidR="000A4159" w:rsidRPr="00822CE9">
        <w:rPr>
          <w:rFonts w:hint="cs"/>
          <w:rtl/>
        </w:rPr>
        <w:t>ة يعلنون فيه هذا الموقف، وكلّما قدّم دليلاً أعاد تكرار هذه المقولة، ونحن وإن كنّا نميل في أصول الفقه إلى عدم الاكتفاء بخبر الواحد ـ على تقدير حجي</w:t>
      </w:r>
      <w:r>
        <w:rPr>
          <w:rFonts w:hint="cs"/>
          <w:rtl/>
        </w:rPr>
        <w:t>ّته</w:t>
      </w:r>
      <w:r w:rsidR="000A4159" w:rsidRPr="00822CE9">
        <w:rPr>
          <w:rFonts w:hint="cs"/>
          <w:rtl/>
        </w:rPr>
        <w:t xml:space="preserve"> </w:t>
      </w:r>
      <w:r>
        <w:rPr>
          <w:rFonts w:hint="cs"/>
          <w:rtl/>
        </w:rPr>
        <w:t xml:space="preserve">أصلاً </w:t>
      </w:r>
      <w:r w:rsidR="000A4159" w:rsidRPr="00822CE9">
        <w:rPr>
          <w:rFonts w:hint="cs"/>
          <w:rtl/>
        </w:rPr>
        <w:t>ـ في القضايا الخطيرة، إلا أن</w:t>
      </w:r>
      <w:r>
        <w:rPr>
          <w:rFonts w:hint="cs"/>
          <w:rtl/>
        </w:rPr>
        <w:t>ّ</w:t>
      </w:r>
      <w:r w:rsidR="000A4159" w:rsidRPr="00822CE9">
        <w:rPr>
          <w:rFonts w:hint="cs"/>
          <w:rtl/>
        </w:rPr>
        <w:t xml:space="preserve"> الشيخ شمس الدين لم يظهر لنا أن</w:t>
      </w:r>
      <w:r>
        <w:rPr>
          <w:rFonts w:hint="cs"/>
          <w:rtl/>
        </w:rPr>
        <w:t>ّ</w:t>
      </w:r>
      <w:r w:rsidR="000A4159" w:rsidRPr="00822CE9">
        <w:rPr>
          <w:rFonts w:hint="cs"/>
          <w:rtl/>
        </w:rPr>
        <w:t>ه يصرّح بموقف</w:t>
      </w:r>
      <w:r>
        <w:rPr>
          <w:rFonts w:hint="cs"/>
          <w:rtl/>
        </w:rPr>
        <w:t>ٍ</w:t>
      </w:r>
      <w:r w:rsidR="000A4159" w:rsidRPr="00822CE9">
        <w:rPr>
          <w:rFonts w:hint="cs"/>
          <w:rtl/>
        </w:rPr>
        <w:t xml:space="preserve"> من هذا النوع.</w:t>
      </w:r>
    </w:p>
    <w:p w14:paraId="76A01A1A" w14:textId="77777777" w:rsidR="000A4159" w:rsidRPr="00B97B2A" w:rsidRDefault="000A4159" w:rsidP="00B97B2A">
      <w:pPr>
        <w:spacing w:line="214" w:lineRule="auto"/>
        <w:rPr>
          <w:b/>
          <w:bCs/>
          <w:rtl/>
        </w:rPr>
      </w:pPr>
      <w:r w:rsidRPr="00B97B2A">
        <w:rPr>
          <w:rFonts w:hint="cs"/>
          <w:b/>
          <w:bCs/>
          <w:rtl/>
        </w:rPr>
        <w:t>وعلى أي</w:t>
      </w:r>
      <w:r w:rsidR="00B97B2A">
        <w:rPr>
          <w:rFonts w:hint="cs"/>
          <w:b/>
          <w:bCs/>
          <w:rtl/>
        </w:rPr>
        <w:t>ّ</w:t>
      </w:r>
      <w:r w:rsidRPr="00B97B2A">
        <w:rPr>
          <w:rFonts w:hint="cs"/>
          <w:b/>
          <w:bCs/>
          <w:rtl/>
        </w:rPr>
        <w:t>ة حال، فيمكن أن يناق</w:t>
      </w:r>
      <w:r w:rsidR="00B97B2A">
        <w:rPr>
          <w:rFonts w:hint="cs"/>
          <w:b/>
          <w:bCs/>
          <w:rtl/>
        </w:rPr>
        <w:t>ش</w:t>
      </w:r>
      <w:r w:rsidRPr="00B97B2A">
        <w:rPr>
          <w:rFonts w:hint="cs"/>
          <w:b/>
          <w:bCs/>
          <w:rtl/>
        </w:rPr>
        <w:t xml:space="preserve"> </w:t>
      </w:r>
      <w:r w:rsidR="00B97B2A">
        <w:rPr>
          <w:rFonts w:hint="cs"/>
          <w:b/>
          <w:bCs/>
          <w:rtl/>
        </w:rPr>
        <w:t>هذا الدليل</w:t>
      </w:r>
      <w:r w:rsidRPr="00B97B2A">
        <w:rPr>
          <w:rFonts w:hint="cs"/>
          <w:b/>
          <w:bCs/>
          <w:rtl/>
        </w:rPr>
        <w:t xml:space="preserve"> بأن</w:t>
      </w:r>
      <w:r w:rsidR="00B97B2A">
        <w:rPr>
          <w:rFonts w:hint="cs"/>
          <w:b/>
          <w:bCs/>
          <w:rtl/>
        </w:rPr>
        <w:t>ّ</w:t>
      </w:r>
      <w:r w:rsidRPr="00B97B2A">
        <w:rPr>
          <w:rFonts w:hint="cs"/>
          <w:b/>
          <w:bCs/>
          <w:rtl/>
        </w:rPr>
        <w:t xml:space="preserve"> هناك حالتين:</w:t>
      </w:r>
    </w:p>
    <w:p w14:paraId="77165F96" w14:textId="77777777" w:rsidR="000A4159" w:rsidRPr="00822CE9" w:rsidRDefault="00B97B2A" w:rsidP="00637739">
      <w:pPr>
        <w:pStyle w:val="normal84"/>
        <w:rPr>
          <w:rtl/>
        </w:rPr>
      </w:pPr>
      <w:r>
        <w:rPr>
          <w:rFonts w:hint="cs"/>
          <w:b/>
          <w:bCs/>
          <w:rtl/>
        </w:rPr>
        <w:t xml:space="preserve">الحالة </w:t>
      </w:r>
      <w:r w:rsidR="000A4159" w:rsidRPr="00B97B2A">
        <w:rPr>
          <w:rFonts w:hint="cs"/>
          <w:b/>
          <w:bCs/>
          <w:rtl/>
        </w:rPr>
        <w:t xml:space="preserve">الأولى: </w:t>
      </w:r>
      <w:r w:rsidR="000A4159" w:rsidRPr="00822CE9">
        <w:rPr>
          <w:rFonts w:hint="cs"/>
          <w:rtl/>
        </w:rPr>
        <w:t>أن يكون الحكم غير شرعي والحك</w:t>
      </w:r>
      <w:r>
        <w:rPr>
          <w:rFonts w:hint="cs"/>
          <w:rtl/>
        </w:rPr>
        <w:t>ّ</w:t>
      </w:r>
      <w:r w:rsidR="000A4159" w:rsidRPr="00822CE9">
        <w:rPr>
          <w:rFonts w:hint="cs"/>
          <w:rtl/>
        </w:rPr>
        <w:t xml:space="preserve">ام مسلمون لا يملكون أهلية تولّي السلطة، </w:t>
      </w:r>
      <w:r w:rsidR="000A4159" w:rsidRPr="00822CE9">
        <w:rPr>
          <w:rFonts w:hint="cs"/>
          <w:rtl/>
        </w:rPr>
        <w:lastRenderedPageBreak/>
        <w:t>ولا يهتمّون بقضايا الدين باعتبارها من أولوي</w:t>
      </w:r>
      <w:r>
        <w:rPr>
          <w:rFonts w:hint="cs"/>
          <w:rtl/>
        </w:rPr>
        <w:t>ّ</w:t>
      </w:r>
      <w:r w:rsidR="000A4159" w:rsidRPr="00822CE9">
        <w:rPr>
          <w:rFonts w:hint="cs"/>
          <w:rtl/>
        </w:rPr>
        <w:t>اتهم، بل قد تجدهم ينتقدون حكماً شرعي</w:t>
      </w:r>
      <w:r>
        <w:rPr>
          <w:rFonts w:hint="cs"/>
          <w:rtl/>
        </w:rPr>
        <w:t>ّ</w:t>
      </w:r>
      <w:r w:rsidR="000A4159" w:rsidRPr="00822CE9">
        <w:rPr>
          <w:rFonts w:hint="cs"/>
          <w:rtl/>
        </w:rPr>
        <w:t xml:space="preserve">اً هنا، وحكماً شرعياً </w:t>
      </w:r>
      <w:r>
        <w:rPr>
          <w:rFonts w:hint="cs"/>
          <w:rtl/>
        </w:rPr>
        <w:t xml:space="preserve">آخر </w:t>
      </w:r>
      <w:r w:rsidR="000A4159" w:rsidRPr="00822CE9">
        <w:rPr>
          <w:rFonts w:hint="cs"/>
          <w:rtl/>
        </w:rPr>
        <w:t>هناك، ويحاولون تغييره، مثل ما حدث مع الحركة البورقيب</w:t>
      </w:r>
      <w:r>
        <w:rPr>
          <w:rFonts w:hint="cs"/>
          <w:rtl/>
        </w:rPr>
        <w:t>يّ</w:t>
      </w:r>
      <w:r w:rsidR="000A4159" w:rsidRPr="00822CE9">
        <w:rPr>
          <w:rFonts w:hint="cs"/>
          <w:rtl/>
        </w:rPr>
        <w:t>ة في تونس.</w:t>
      </w:r>
    </w:p>
    <w:p w14:paraId="305DFF58" w14:textId="77777777" w:rsidR="000A4159" w:rsidRPr="00822CE9" w:rsidRDefault="00B97B2A" w:rsidP="00637739">
      <w:pPr>
        <w:pStyle w:val="normal84"/>
        <w:rPr>
          <w:rtl/>
        </w:rPr>
      </w:pPr>
      <w:r w:rsidRPr="00B97B2A">
        <w:rPr>
          <w:rFonts w:hint="cs"/>
          <w:b/>
          <w:bCs/>
          <w:rtl/>
        </w:rPr>
        <w:t xml:space="preserve">الحالة </w:t>
      </w:r>
      <w:r w:rsidR="000A4159" w:rsidRPr="00B97B2A">
        <w:rPr>
          <w:rFonts w:hint="cs"/>
          <w:b/>
          <w:bCs/>
          <w:rtl/>
        </w:rPr>
        <w:t>الثانية:</w:t>
      </w:r>
      <w:r w:rsidR="000A4159" w:rsidRPr="00822CE9">
        <w:rPr>
          <w:rFonts w:hint="cs"/>
          <w:rtl/>
        </w:rPr>
        <w:t xml:space="preserve"> أن يكون الحكم غير شرعي، والحك</w:t>
      </w:r>
      <w:r>
        <w:rPr>
          <w:rFonts w:hint="cs"/>
          <w:rtl/>
        </w:rPr>
        <w:t>ّام المسلم</w:t>
      </w:r>
      <w:r w:rsidR="00F414D8">
        <w:rPr>
          <w:rFonts w:hint="cs"/>
          <w:rtl/>
        </w:rPr>
        <w:t>و</w:t>
      </w:r>
      <w:r>
        <w:rPr>
          <w:rFonts w:hint="cs"/>
          <w:rtl/>
        </w:rPr>
        <w:t>ن لا يملكون أهلية تو</w:t>
      </w:r>
      <w:r w:rsidR="000A4159" w:rsidRPr="00822CE9">
        <w:rPr>
          <w:rFonts w:hint="cs"/>
          <w:rtl/>
        </w:rPr>
        <w:t>ل</w:t>
      </w:r>
      <w:r>
        <w:rPr>
          <w:rFonts w:hint="cs"/>
          <w:rtl/>
        </w:rPr>
        <w:t>ّ</w:t>
      </w:r>
      <w:r w:rsidR="000A4159" w:rsidRPr="00822CE9">
        <w:rPr>
          <w:rFonts w:hint="cs"/>
          <w:rtl/>
        </w:rPr>
        <w:t>ي السلطة، ولا يقتص</w:t>
      </w:r>
      <w:r>
        <w:rPr>
          <w:rFonts w:hint="cs"/>
          <w:rtl/>
        </w:rPr>
        <w:t>ر</w:t>
      </w:r>
      <w:r w:rsidR="000A4159" w:rsidRPr="00822CE9">
        <w:rPr>
          <w:rFonts w:hint="cs"/>
          <w:rtl/>
        </w:rPr>
        <w:t>ون فقط على عدم الاهتمام بقضايا الدين،</w:t>
      </w:r>
      <w:r>
        <w:rPr>
          <w:rFonts w:hint="cs"/>
          <w:rtl/>
        </w:rPr>
        <w:t xml:space="preserve"> </w:t>
      </w:r>
      <w:r w:rsidR="000A4159" w:rsidRPr="00822CE9">
        <w:rPr>
          <w:rFonts w:hint="cs"/>
          <w:rtl/>
        </w:rPr>
        <w:t>بل لديهم مشروع منظ</w:t>
      </w:r>
      <w:r>
        <w:rPr>
          <w:rFonts w:hint="cs"/>
          <w:rtl/>
        </w:rPr>
        <w:t>ّ</w:t>
      </w:r>
      <w:r w:rsidR="000A4159" w:rsidRPr="00822CE9">
        <w:rPr>
          <w:rFonts w:hint="cs"/>
          <w:rtl/>
        </w:rPr>
        <w:t>م من أنفسهم أو مشروع للآخرين يسمحون به في بلدانهم، يهدف إلى إبادة دين المسلمين وإسلام الأم</w:t>
      </w:r>
      <w:r>
        <w:rPr>
          <w:rFonts w:hint="cs"/>
          <w:rtl/>
        </w:rPr>
        <w:t>ّ</w:t>
      </w:r>
      <w:r w:rsidR="000A4159" w:rsidRPr="00822CE9">
        <w:rPr>
          <w:rFonts w:hint="cs"/>
          <w:rtl/>
        </w:rPr>
        <w:t>ة، بحيث يتلاشى أمر هذا الدين تدريجي</w:t>
      </w:r>
      <w:r>
        <w:rPr>
          <w:rFonts w:hint="cs"/>
          <w:rtl/>
        </w:rPr>
        <w:t>ّ</w:t>
      </w:r>
      <w:r w:rsidR="000A4159" w:rsidRPr="00822CE9">
        <w:rPr>
          <w:rFonts w:hint="cs"/>
          <w:rtl/>
        </w:rPr>
        <w:t>اً في المجتمع، ويصبح بقاء الإسلام في هذا البلد أو ذاك عرضة لخطر الفناء.</w:t>
      </w:r>
    </w:p>
    <w:p w14:paraId="2119A491" w14:textId="77777777" w:rsidR="000A4159" w:rsidRPr="00822CE9" w:rsidRDefault="000A4159" w:rsidP="00B97B2A">
      <w:pPr>
        <w:spacing w:line="214" w:lineRule="auto"/>
        <w:rPr>
          <w:rtl/>
        </w:rPr>
      </w:pPr>
      <w:r w:rsidRPr="00822CE9">
        <w:rPr>
          <w:rFonts w:hint="cs"/>
          <w:rtl/>
        </w:rPr>
        <w:t>ففي الحالة الأولى يصعب تعميم مفهوم الدفاع عن الإسلام لها لإثبات جواز أو وجوب الثورة المسلّحة؛ إ</w:t>
      </w:r>
      <w:r w:rsidR="00B97B2A">
        <w:rPr>
          <w:rFonts w:hint="cs"/>
          <w:rtl/>
        </w:rPr>
        <w:t>ذ يلزم لو كان هذا الحكم صحيحاً أ</w:t>
      </w:r>
      <w:r w:rsidRPr="00822CE9">
        <w:rPr>
          <w:rFonts w:hint="cs"/>
          <w:rtl/>
        </w:rPr>
        <w:t>ن ي</w:t>
      </w:r>
      <w:r w:rsidR="00B97B2A">
        <w:rPr>
          <w:rFonts w:hint="cs"/>
          <w:rtl/>
        </w:rPr>
        <w:t>ُ</w:t>
      </w:r>
      <w:r w:rsidRPr="00822CE9">
        <w:rPr>
          <w:rFonts w:hint="cs"/>
          <w:rtl/>
        </w:rPr>
        <w:t>قات</w:t>
      </w:r>
      <w:r w:rsidR="00B97B2A">
        <w:rPr>
          <w:rFonts w:hint="cs"/>
          <w:rtl/>
        </w:rPr>
        <w:t>َ</w:t>
      </w:r>
      <w:r w:rsidRPr="00822CE9">
        <w:rPr>
          <w:rFonts w:hint="cs"/>
          <w:rtl/>
        </w:rPr>
        <w:t>ل دوماً تمام</w:t>
      </w:r>
      <w:r w:rsidR="00B97B2A">
        <w:rPr>
          <w:rFonts w:hint="cs"/>
          <w:rtl/>
        </w:rPr>
        <w:t>ُ</w:t>
      </w:r>
      <w:r w:rsidRPr="00822CE9">
        <w:rPr>
          <w:rFonts w:hint="cs"/>
          <w:rtl/>
        </w:rPr>
        <w:t xml:space="preserve"> حك</w:t>
      </w:r>
      <w:r w:rsidR="00B97B2A">
        <w:rPr>
          <w:rFonts w:hint="cs"/>
          <w:rtl/>
        </w:rPr>
        <w:t>ّ</w:t>
      </w:r>
      <w:r w:rsidRPr="00822CE9">
        <w:rPr>
          <w:rFonts w:hint="cs"/>
          <w:rtl/>
        </w:rPr>
        <w:t>ام المسلمين، ولو كان هذا حقيقياً لدلّت النصوص والأ</w:t>
      </w:r>
      <w:r w:rsidR="00B97B2A">
        <w:rPr>
          <w:rFonts w:hint="cs"/>
          <w:rtl/>
        </w:rPr>
        <w:t>دلّة عليه، لكثرة الابتلاء به منذ</w:t>
      </w:r>
      <w:r w:rsidRPr="00822CE9">
        <w:rPr>
          <w:rFonts w:hint="cs"/>
          <w:rtl/>
        </w:rPr>
        <w:t xml:space="preserve"> وفاة النبي</w:t>
      </w:r>
      <w:r w:rsidR="00B97B2A">
        <w:rPr>
          <w:rFonts w:hint="cs"/>
          <w:rtl/>
        </w:rPr>
        <w:t>ّ‘،</w:t>
      </w:r>
      <w:r w:rsidRPr="00822CE9">
        <w:rPr>
          <w:rFonts w:hint="cs"/>
          <w:rtl/>
        </w:rPr>
        <w:t xml:space="preserve"> ولعلم النبي</w:t>
      </w:r>
      <w:r w:rsidR="00B97B2A">
        <w:rPr>
          <w:rFonts w:hint="cs"/>
          <w:rtl/>
        </w:rPr>
        <w:t>ّ</w:t>
      </w:r>
      <w:r w:rsidRPr="00822CE9">
        <w:rPr>
          <w:rFonts w:hint="cs"/>
          <w:rtl/>
        </w:rPr>
        <w:t xml:space="preserve"> وأهل بيته أنّ الأمة سوف تبتلي بهذا النوع من الحكومات على امتداد التاريخ، علماً عادياً حتى لو لم يكن غيبي</w:t>
      </w:r>
      <w:r w:rsidR="00B97B2A">
        <w:rPr>
          <w:rFonts w:hint="cs"/>
          <w:rtl/>
        </w:rPr>
        <w:t>ّ</w:t>
      </w:r>
      <w:r w:rsidRPr="00822CE9">
        <w:rPr>
          <w:rFonts w:hint="cs"/>
          <w:rtl/>
        </w:rPr>
        <w:t>اً، فإذ</w:t>
      </w:r>
      <w:r w:rsidR="00B97B2A">
        <w:rPr>
          <w:rFonts w:hint="cs"/>
          <w:rtl/>
        </w:rPr>
        <w:t>ا كانت الأدلة الخمسة عشرة المتق</w:t>
      </w:r>
      <w:r w:rsidRPr="00822CE9">
        <w:rPr>
          <w:rFonts w:hint="cs"/>
          <w:rtl/>
        </w:rPr>
        <w:t>د</w:t>
      </w:r>
      <w:r w:rsidR="00B97B2A">
        <w:rPr>
          <w:rFonts w:hint="cs"/>
          <w:rtl/>
        </w:rPr>
        <w:t>ّ</w:t>
      </w:r>
      <w:r w:rsidRPr="00822CE9">
        <w:rPr>
          <w:rFonts w:hint="cs"/>
          <w:rtl/>
        </w:rPr>
        <w:t>مة لا تدلّ على أمر</w:t>
      </w:r>
      <w:r w:rsidR="00B97B2A">
        <w:rPr>
          <w:rFonts w:hint="cs"/>
          <w:rtl/>
        </w:rPr>
        <w:t>ٍ</w:t>
      </w:r>
      <w:r w:rsidRPr="00822CE9">
        <w:rPr>
          <w:rFonts w:hint="cs"/>
          <w:rtl/>
        </w:rPr>
        <w:t xml:space="preserve"> من هذا القبيل، ولم تكن توجد أدلّة على ذلك، ولو على نحو ال</w:t>
      </w:r>
      <w:r w:rsidR="00B97B2A">
        <w:rPr>
          <w:rFonts w:hint="cs"/>
          <w:rtl/>
        </w:rPr>
        <w:t xml:space="preserve">تقعييد </w:t>
      </w:r>
      <w:r w:rsidRPr="00822CE9">
        <w:rPr>
          <w:rFonts w:hint="cs"/>
          <w:rtl/>
        </w:rPr>
        <w:t>العام، لكان هذا دليلاً على عدم وجود مفهوم الثورة المسلّحة في هذه الحال، وإلا لظهر وبان موقف</w:t>
      </w:r>
      <w:r w:rsidR="00B97B2A">
        <w:rPr>
          <w:rFonts w:hint="cs"/>
          <w:rtl/>
        </w:rPr>
        <w:t>ٌ</w:t>
      </w:r>
      <w:r w:rsidRPr="00822CE9">
        <w:rPr>
          <w:rFonts w:hint="cs"/>
          <w:rtl/>
        </w:rPr>
        <w:t xml:space="preserve"> صريح هنا.</w:t>
      </w:r>
    </w:p>
    <w:p w14:paraId="6FCB2118" w14:textId="77777777" w:rsidR="00AF2863" w:rsidRDefault="000A4159" w:rsidP="00AF2863">
      <w:pPr>
        <w:spacing w:line="214" w:lineRule="auto"/>
        <w:rPr>
          <w:rtl/>
        </w:rPr>
      </w:pPr>
      <w:r w:rsidRPr="00822CE9">
        <w:rPr>
          <w:rFonts w:hint="cs"/>
          <w:rtl/>
        </w:rPr>
        <w:t>وإن</w:t>
      </w:r>
      <w:r w:rsidR="006409A2">
        <w:rPr>
          <w:rFonts w:hint="cs"/>
          <w:rtl/>
        </w:rPr>
        <w:t>ّ</w:t>
      </w:r>
      <w:r w:rsidRPr="00822CE9">
        <w:rPr>
          <w:rFonts w:hint="cs"/>
          <w:rtl/>
        </w:rPr>
        <w:t>ما نقول: على نحو التقعيد العام، كي لا يورد علينا بأن</w:t>
      </w:r>
      <w:r w:rsidR="00AF2863">
        <w:rPr>
          <w:rFonts w:hint="cs"/>
          <w:rtl/>
        </w:rPr>
        <w:t>ّ</w:t>
      </w:r>
      <w:r w:rsidRPr="00822CE9">
        <w:rPr>
          <w:rFonts w:hint="cs"/>
          <w:rtl/>
        </w:rPr>
        <w:t xml:space="preserve"> فترة الإمامة الظاهرة وعصر الحضور كانت تحكمها التقي</w:t>
      </w:r>
      <w:r w:rsidR="00AF2863">
        <w:rPr>
          <w:rFonts w:hint="cs"/>
          <w:rtl/>
        </w:rPr>
        <w:t>ّ</w:t>
      </w:r>
      <w:r w:rsidRPr="00822CE9">
        <w:rPr>
          <w:rFonts w:hint="cs"/>
          <w:rtl/>
        </w:rPr>
        <w:t>ة؛ لهذا لم يدع</w:t>
      </w:r>
      <w:r w:rsidR="00AF2863">
        <w:rPr>
          <w:rFonts w:hint="cs"/>
          <w:rtl/>
        </w:rPr>
        <w:t>ُ</w:t>
      </w:r>
      <w:r w:rsidRPr="00822CE9">
        <w:rPr>
          <w:rFonts w:hint="cs"/>
          <w:rtl/>
        </w:rPr>
        <w:t xml:space="preserve"> </w:t>
      </w:r>
      <w:r w:rsidR="009A1626" w:rsidRPr="00822CE9">
        <w:rPr>
          <w:rFonts w:hint="cs"/>
          <w:rtl/>
        </w:rPr>
        <w:t>أهل البيت</w:t>
      </w:r>
      <w:r w:rsidRPr="00822CE9">
        <w:rPr>
          <w:rFonts w:hint="cs"/>
          <w:rtl/>
        </w:rPr>
        <w:t xml:space="preserve"> إلى الثورة، فإن</w:t>
      </w:r>
      <w:r w:rsidR="00AF2863">
        <w:rPr>
          <w:rFonts w:hint="cs"/>
          <w:rtl/>
        </w:rPr>
        <w:t>ّ</w:t>
      </w:r>
      <w:r w:rsidRPr="00822CE9">
        <w:rPr>
          <w:rFonts w:hint="cs"/>
          <w:rtl/>
        </w:rPr>
        <w:t>نا وإن كن</w:t>
      </w:r>
      <w:r w:rsidR="00AF2863">
        <w:rPr>
          <w:rFonts w:hint="cs"/>
          <w:rtl/>
        </w:rPr>
        <w:t>ّ</w:t>
      </w:r>
      <w:r w:rsidRPr="00822CE9">
        <w:rPr>
          <w:rFonts w:hint="cs"/>
          <w:rtl/>
        </w:rPr>
        <w:t>ا لا نمانع منطقي</w:t>
      </w:r>
      <w:r w:rsidR="00AF2863">
        <w:rPr>
          <w:rFonts w:hint="cs"/>
          <w:rtl/>
        </w:rPr>
        <w:t>ّ</w:t>
      </w:r>
      <w:r w:rsidRPr="00822CE9">
        <w:rPr>
          <w:rFonts w:hint="cs"/>
          <w:rtl/>
        </w:rPr>
        <w:t>اً وتاريخي</w:t>
      </w:r>
      <w:r w:rsidR="00AF2863">
        <w:rPr>
          <w:rFonts w:hint="cs"/>
          <w:rtl/>
        </w:rPr>
        <w:t>ّ</w:t>
      </w:r>
      <w:r w:rsidRPr="00822CE9">
        <w:rPr>
          <w:rFonts w:hint="cs"/>
          <w:rtl/>
        </w:rPr>
        <w:t xml:space="preserve">اً أن يعجز </w:t>
      </w:r>
      <w:r w:rsidR="009A1626" w:rsidRPr="00822CE9">
        <w:rPr>
          <w:rFonts w:hint="cs"/>
          <w:rtl/>
        </w:rPr>
        <w:t>أهل البيت</w:t>
      </w:r>
      <w:r w:rsidRPr="00822CE9">
        <w:rPr>
          <w:rFonts w:hint="cs"/>
          <w:rtl/>
        </w:rPr>
        <w:t xml:space="preserve"> والشيعة لقرابة قرنين من ممارسة ثورة مسلّحة ناجحة، </w:t>
      </w:r>
      <w:r w:rsidR="00AF2863">
        <w:rPr>
          <w:rFonts w:hint="cs"/>
          <w:rtl/>
        </w:rPr>
        <w:t xml:space="preserve">لا </w:t>
      </w:r>
      <w:r w:rsidRPr="00822CE9">
        <w:rPr>
          <w:rFonts w:hint="cs"/>
          <w:rtl/>
        </w:rPr>
        <w:t>سيما في تلك العصور، إلا أن</w:t>
      </w:r>
      <w:r w:rsidR="00AF2863">
        <w:rPr>
          <w:rFonts w:hint="cs"/>
          <w:rtl/>
        </w:rPr>
        <w:t>ّ</w:t>
      </w:r>
      <w:r w:rsidRPr="00822CE9">
        <w:rPr>
          <w:rFonts w:hint="cs"/>
          <w:rtl/>
        </w:rPr>
        <w:t xml:space="preserve"> إصدار نصوص قواعدي</w:t>
      </w:r>
      <w:r w:rsidR="00AF2863">
        <w:rPr>
          <w:rFonts w:hint="cs"/>
          <w:rtl/>
        </w:rPr>
        <w:t>ّ</w:t>
      </w:r>
      <w:r w:rsidRPr="00822CE9">
        <w:rPr>
          <w:rFonts w:hint="cs"/>
          <w:rtl/>
        </w:rPr>
        <w:t xml:space="preserve">ة عامة تتعالى عن ملامسة الواقع الخارجي المحيط آنذاك، نظراً لظروفه </w:t>
      </w:r>
      <w:r w:rsidR="003619EF">
        <w:rPr>
          <w:rFonts w:hint="cs"/>
          <w:rtl/>
        </w:rPr>
        <w:t>الخاصّة، يظلّ أمراً ممكناً.</w:t>
      </w:r>
      <w:r w:rsidRPr="00822CE9">
        <w:rPr>
          <w:rFonts w:hint="cs"/>
          <w:rtl/>
        </w:rPr>
        <w:t xml:space="preserve"> وكما أنّ الكتاب والسنّة مسؤولان عن بيان الأحكام التي تبتلي الأم</w:t>
      </w:r>
      <w:r w:rsidR="00AF2863">
        <w:rPr>
          <w:rFonts w:hint="cs"/>
          <w:rtl/>
        </w:rPr>
        <w:t>ّ</w:t>
      </w:r>
      <w:r w:rsidRPr="00822CE9">
        <w:rPr>
          <w:rFonts w:hint="cs"/>
          <w:rtl/>
        </w:rPr>
        <w:t>ة بموضوعاتها في عصورهم</w:t>
      </w:r>
      <w:r w:rsidR="003619EF">
        <w:rPr>
          <w:rFonts w:hint="cs"/>
          <w:rtl/>
        </w:rPr>
        <w:t>ا</w:t>
      </w:r>
      <w:r w:rsidRPr="00822CE9">
        <w:rPr>
          <w:rFonts w:hint="cs"/>
          <w:rtl/>
        </w:rPr>
        <w:t>، كذلك هم</w:t>
      </w:r>
      <w:r w:rsidR="003619EF">
        <w:rPr>
          <w:rFonts w:hint="cs"/>
          <w:rtl/>
        </w:rPr>
        <w:t>ا</w:t>
      </w:r>
      <w:r w:rsidRPr="00822CE9">
        <w:rPr>
          <w:rFonts w:hint="cs"/>
          <w:rtl/>
        </w:rPr>
        <w:t xml:space="preserve"> مسؤولان عن بيان الأحكام لما تبتلي به الأم</w:t>
      </w:r>
      <w:r w:rsidR="00AF2863">
        <w:rPr>
          <w:rFonts w:hint="cs"/>
          <w:rtl/>
        </w:rPr>
        <w:t>ّ</w:t>
      </w:r>
      <w:r w:rsidRPr="00822CE9">
        <w:rPr>
          <w:rFonts w:hint="cs"/>
          <w:rtl/>
        </w:rPr>
        <w:t>ة في العصور اللاحقة لفرض الخاتمي</w:t>
      </w:r>
      <w:r w:rsidR="00AF2863">
        <w:rPr>
          <w:rFonts w:hint="cs"/>
          <w:rtl/>
        </w:rPr>
        <w:t>ّ</w:t>
      </w:r>
      <w:r w:rsidRPr="00822CE9">
        <w:rPr>
          <w:rFonts w:hint="cs"/>
          <w:rtl/>
        </w:rPr>
        <w:t xml:space="preserve">ة والخلود، </w:t>
      </w:r>
      <w:r w:rsidR="00AF2863">
        <w:rPr>
          <w:rFonts w:hint="cs"/>
          <w:rtl/>
        </w:rPr>
        <w:t xml:space="preserve">وخاصّة </w:t>
      </w:r>
      <w:r w:rsidRPr="00822CE9">
        <w:rPr>
          <w:rFonts w:hint="cs"/>
          <w:rtl/>
        </w:rPr>
        <w:t>في موضوع</w:t>
      </w:r>
      <w:r w:rsidR="00AF2863">
        <w:rPr>
          <w:rFonts w:hint="cs"/>
          <w:rtl/>
        </w:rPr>
        <w:t>ٍ</w:t>
      </w:r>
      <w:r w:rsidRPr="00822CE9">
        <w:rPr>
          <w:rFonts w:hint="cs"/>
          <w:rtl/>
        </w:rPr>
        <w:t xml:space="preserve"> بالغ الابتلاء وكثير</w:t>
      </w:r>
      <w:r w:rsidR="00AF2863">
        <w:rPr>
          <w:rFonts w:hint="cs"/>
          <w:rtl/>
        </w:rPr>
        <w:t>ه</w:t>
      </w:r>
      <w:r w:rsidRPr="00822CE9">
        <w:rPr>
          <w:rFonts w:hint="cs"/>
          <w:rtl/>
        </w:rPr>
        <w:t>، ويمسّ مصالح الأمة بأجمعها، فهذا يكشف عن عدم شرعي</w:t>
      </w:r>
      <w:r w:rsidR="00AF2863">
        <w:rPr>
          <w:rFonts w:hint="cs"/>
          <w:rtl/>
        </w:rPr>
        <w:t>ّ</w:t>
      </w:r>
      <w:r w:rsidRPr="00822CE9">
        <w:rPr>
          <w:rFonts w:hint="cs"/>
          <w:rtl/>
        </w:rPr>
        <w:t>ة هذه الثورة على أساس عدم جواز سفك دماء المسلمين.</w:t>
      </w:r>
    </w:p>
    <w:p w14:paraId="5EC18E6D" w14:textId="77777777" w:rsidR="000A4159" w:rsidRPr="00822CE9" w:rsidRDefault="000A4159" w:rsidP="00AF2863">
      <w:pPr>
        <w:spacing w:line="214" w:lineRule="auto"/>
        <w:rPr>
          <w:rtl/>
        </w:rPr>
      </w:pPr>
      <w:r w:rsidRPr="003619EF">
        <w:rPr>
          <w:rFonts w:hint="cs"/>
          <w:b/>
          <w:bCs/>
          <w:rtl/>
        </w:rPr>
        <w:t xml:space="preserve">وعبر ذلك </w:t>
      </w:r>
      <w:r w:rsidR="00AF2863" w:rsidRPr="003619EF">
        <w:rPr>
          <w:rFonts w:hint="cs"/>
          <w:b/>
          <w:bCs/>
          <w:rtl/>
        </w:rPr>
        <w:t>ي</w:t>
      </w:r>
      <w:r w:rsidRPr="003619EF">
        <w:rPr>
          <w:rFonts w:hint="cs"/>
          <w:b/>
          <w:bCs/>
          <w:rtl/>
        </w:rPr>
        <w:t>تبد</w:t>
      </w:r>
      <w:r w:rsidR="00AF2863" w:rsidRPr="003619EF">
        <w:rPr>
          <w:rFonts w:hint="cs"/>
          <w:b/>
          <w:bCs/>
          <w:rtl/>
        </w:rPr>
        <w:t>ّى</w:t>
      </w:r>
      <w:r w:rsidRPr="003619EF">
        <w:rPr>
          <w:rFonts w:hint="cs"/>
          <w:b/>
          <w:bCs/>
          <w:rtl/>
        </w:rPr>
        <w:t xml:space="preserve"> هنا أن</w:t>
      </w:r>
      <w:r w:rsidR="00AF2863" w:rsidRPr="003619EF">
        <w:rPr>
          <w:rFonts w:hint="cs"/>
          <w:b/>
          <w:bCs/>
          <w:rtl/>
        </w:rPr>
        <w:t>ّ</w:t>
      </w:r>
      <w:r w:rsidRPr="003619EF">
        <w:rPr>
          <w:rFonts w:hint="cs"/>
          <w:b/>
          <w:bCs/>
          <w:rtl/>
        </w:rPr>
        <w:t xml:space="preserve"> الدفاع عن الإسلام في هذه الحال واجب</w:t>
      </w:r>
      <w:r w:rsidR="00AF2863" w:rsidRPr="003619EF">
        <w:rPr>
          <w:rFonts w:hint="cs"/>
          <w:b/>
          <w:bCs/>
          <w:rtl/>
        </w:rPr>
        <w:t>ٌ</w:t>
      </w:r>
      <w:r w:rsidRPr="003619EF">
        <w:rPr>
          <w:rFonts w:hint="cs"/>
          <w:b/>
          <w:bCs/>
          <w:rtl/>
        </w:rPr>
        <w:t xml:space="preserve"> بكل</w:t>
      </w:r>
      <w:r w:rsidR="00AF2863" w:rsidRPr="003619EF">
        <w:rPr>
          <w:rFonts w:hint="cs"/>
          <w:b/>
          <w:bCs/>
          <w:rtl/>
        </w:rPr>
        <w:t>ّ</w:t>
      </w:r>
      <w:r w:rsidRPr="003619EF">
        <w:rPr>
          <w:rFonts w:hint="cs"/>
          <w:b/>
          <w:bCs/>
          <w:rtl/>
        </w:rPr>
        <w:t xml:space="preserve"> الوسائل التي لم يثبت </w:t>
      </w:r>
      <w:r w:rsidRPr="003619EF">
        <w:rPr>
          <w:rFonts w:hint="cs"/>
          <w:b/>
          <w:bCs/>
          <w:rtl/>
        </w:rPr>
        <w:lastRenderedPageBreak/>
        <w:t>بدليل</w:t>
      </w:r>
      <w:r w:rsidR="00AF2863" w:rsidRPr="003619EF">
        <w:rPr>
          <w:rFonts w:hint="cs"/>
          <w:b/>
          <w:bCs/>
          <w:rtl/>
        </w:rPr>
        <w:t>ٍ</w:t>
      </w:r>
      <w:r w:rsidRPr="003619EF">
        <w:rPr>
          <w:rFonts w:hint="cs"/>
          <w:b/>
          <w:bCs/>
          <w:rtl/>
        </w:rPr>
        <w:t xml:space="preserve"> آخر حر</w:t>
      </w:r>
      <w:r w:rsidR="00AF2863" w:rsidRPr="003619EF">
        <w:rPr>
          <w:rFonts w:hint="cs"/>
          <w:b/>
          <w:bCs/>
          <w:rtl/>
        </w:rPr>
        <w:t>متها</w:t>
      </w:r>
      <w:r w:rsidRPr="003619EF">
        <w:rPr>
          <w:rFonts w:hint="cs"/>
          <w:b/>
          <w:bCs/>
          <w:rtl/>
        </w:rPr>
        <w:t xml:space="preserve"> مثل قتل المسلمين وإيجاد الفتنة المحر</w:t>
      </w:r>
      <w:r w:rsidR="00AF2863" w:rsidRPr="003619EF">
        <w:rPr>
          <w:rFonts w:hint="cs"/>
          <w:b/>
          <w:bCs/>
          <w:rtl/>
        </w:rPr>
        <w:t>ّ</w:t>
      </w:r>
      <w:r w:rsidRPr="003619EF">
        <w:rPr>
          <w:rFonts w:hint="cs"/>
          <w:b/>
          <w:bCs/>
          <w:rtl/>
        </w:rPr>
        <w:t>مة بينهم، فيدافع هنا بالفكر والقلم والاحتجاجات المدني</w:t>
      </w:r>
      <w:r w:rsidR="00AF2863" w:rsidRPr="003619EF">
        <w:rPr>
          <w:rFonts w:hint="cs"/>
          <w:b/>
          <w:bCs/>
          <w:rtl/>
        </w:rPr>
        <w:t>ّ</w:t>
      </w:r>
      <w:r w:rsidRPr="003619EF">
        <w:rPr>
          <w:rFonts w:hint="cs"/>
          <w:b/>
          <w:bCs/>
          <w:rtl/>
        </w:rPr>
        <w:t>ة والمقاطعة وممارسة وسائل الضغط المتنوّعة التي تتسم جميعها بالطابع السلمي،</w:t>
      </w:r>
      <w:r w:rsidRPr="00822CE9">
        <w:rPr>
          <w:rFonts w:hint="cs"/>
          <w:rtl/>
        </w:rPr>
        <w:t xml:space="preserve"> فنحن لا نقول هنا بعدم وجوب الدفاع والسعي لعدم حصول انحراف كلّ بحسب وجهة نظر</w:t>
      </w:r>
      <w:r w:rsidR="00AF2863">
        <w:rPr>
          <w:rFonts w:hint="cs"/>
          <w:rtl/>
        </w:rPr>
        <w:t>ه</w:t>
      </w:r>
      <w:r w:rsidRPr="00822CE9">
        <w:rPr>
          <w:rFonts w:hint="cs"/>
          <w:rtl/>
        </w:rPr>
        <w:t>، لكن</w:t>
      </w:r>
      <w:r w:rsidR="00AF2863">
        <w:rPr>
          <w:rFonts w:hint="cs"/>
          <w:rtl/>
        </w:rPr>
        <w:t>ّ</w:t>
      </w:r>
      <w:r w:rsidRPr="00822CE9">
        <w:rPr>
          <w:rFonts w:hint="cs"/>
          <w:rtl/>
        </w:rPr>
        <w:t>نا لا نرى إطلاقاً في مقولة الدفاع هذه يشمل ا</w:t>
      </w:r>
      <w:r w:rsidR="00AF2863">
        <w:rPr>
          <w:rFonts w:hint="cs"/>
          <w:rtl/>
        </w:rPr>
        <w:t>ستخدام العنف المفضي إلى الدماء</w:t>
      </w:r>
      <w:r w:rsidR="003619EF">
        <w:rPr>
          <w:rFonts w:hint="cs"/>
          <w:rtl/>
        </w:rPr>
        <w:t xml:space="preserve"> ما لم يطرأ عنوان ثانوي خاصّ</w:t>
      </w:r>
      <w:r w:rsidR="00AF2863">
        <w:rPr>
          <w:rFonts w:hint="cs"/>
          <w:rtl/>
        </w:rPr>
        <w:t>.</w:t>
      </w:r>
    </w:p>
    <w:p w14:paraId="4281DD6A" w14:textId="77777777" w:rsidR="000A4159" w:rsidRPr="00822CE9" w:rsidRDefault="000A4159" w:rsidP="00A079D6">
      <w:pPr>
        <w:spacing w:line="214" w:lineRule="auto"/>
        <w:rPr>
          <w:rtl/>
        </w:rPr>
      </w:pPr>
      <w:r w:rsidRPr="00AF2863">
        <w:rPr>
          <w:rFonts w:hint="cs"/>
          <w:b/>
          <w:bCs/>
          <w:rtl/>
        </w:rPr>
        <w:t>أم</w:t>
      </w:r>
      <w:r w:rsidR="00AF2863" w:rsidRPr="00AF2863">
        <w:rPr>
          <w:rFonts w:hint="cs"/>
          <w:b/>
          <w:bCs/>
          <w:rtl/>
        </w:rPr>
        <w:t>ّ</w:t>
      </w:r>
      <w:r w:rsidRPr="00AF2863">
        <w:rPr>
          <w:rFonts w:hint="cs"/>
          <w:b/>
          <w:bCs/>
          <w:rtl/>
        </w:rPr>
        <w:t>ا في الحالة الثانية؛</w:t>
      </w:r>
      <w:r w:rsidRPr="00822CE9">
        <w:rPr>
          <w:rFonts w:hint="cs"/>
          <w:rtl/>
        </w:rPr>
        <w:t xml:space="preserve"> فيمكن أن يقال بأنّه يجوز استخدام تمام الوسائل للوصول إلى الحيلولة دون إبادة أم</w:t>
      </w:r>
      <w:r w:rsidR="00AF2863">
        <w:rPr>
          <w:rFonts w:hint="cs"/>
          <w:rtl/>
        </w:rPr>
        <w:t>ّ</w:t>
      </w:r>
      <w:r w:rsidRPr="00822CE9">
        <w:rPr>
          <w:rFonts w:hint="cs"/>
          <w:rtl/>
        </w:rPr>
        <w:t>ة الإسلام، يعرف ذلك بأدلّة الجهاد الدفاعي نفسها؛ فإذا شرّع الجهاد المسلّح كي لا تحتلّ ديار المسلمين من قبل الكافرين، مع أنّه لا خوف على إسلامهم، فكيف لا يكون مشرّعاً مع الخوف على هيمنة الكفر على بلد إسلامي وديار المسلمين مع إلغاء الإسلام فيما بينهم؟! لكن ينبغي التفريق هنا بين صورتين أيضاً:</w:t>
      </w:r>
    </w:p>
    <w:p w14:paraId="0B1801FB" w14:textId="77777777" w:rsidR="000A4159" w:rsidRPr="00822CE9" w:rsidRDefault="000A4159" w:rsidP="003619EF">
      <w:pPr>
        <w:spacing w:line="214" w:lineRule="auto"/>
        <w:rPr>
          <w:rtl/>
        </w:rPr>
      </w:pPr>
      <w:r w:rsidRPr="00AF2863">
        <w:rPr>
          <w:rFonts w:hint="cs"/>
          <w:b/>
          <w:bCs/>
          <w:rtl/>
        </w:rPr>
        <w:t>الصورة الأولى:</w:t>
      </w:r>
      <w:r w:rsidRPr="00822CE9">
        <w:rPr>
          <w:rFonts w:hint="cs"/>
          <w:rtl/>
        </w:rPr>
        <w:t xml:space="preserve"> أن</w:t>
      </w:r>
      <w:r w:rsidR="00AF2863">
        <w:rPr>
          <w:rFonts w:hint="cs"/>
          <w:rtl/>
        </w:rPr>
        <w:t xml:space="preserve"> يكون هذا الحاكم المسلم الذي يه</w:t>
      </w:r>
      <w:r w:rsidRPr="00822CE9">
        <w:rPr>
          <w:rFonts w:hint="cs"/>
          <w:rtl/>
        </w:rPr>
        <w:t>د</w:t>
      </w:r>
      <w:r w:rsidR="00AF2863">
        <w:rPr>
          <w:rFonts w:hint="cs"/>
          <w:rtl/>
        </w:rPr>
        <w:t>ّ</w:t>
      </w:r>
      <w:r w:rsidRPr="00822CE9">
        <w:rPr>
          <w:rFonts w:hint="cs"/>
          <w:rtl/>
        </w:rPr>
        <w:t>د وجود الإسلام في هذا البلد أو ذاك، قامعاً للحرّيات ف</w:t>
      </w:r>
      <w:r w:rsidR="00AF2863">
        <w:rPr>
          <w:rFonts w:hint="cs"/>
          <w:rtl/>
        </w:rPr>
        <w:t>ي</w:t>
      </w:r>
      <w:r w:rsidRPr="00822CE9">
        <w:rPr>
          <w:rFonts w:hint="cs"/>
          <w:rtl/>
        </w:rPr>
        <w:t>لغي وجود الإس</w:t>
      </w:r>
      <w:r w:rsidR="00AF2863">
        <w:rPr>
          <w:rFonts w:hint="cs"/>
          <w:rtl/>
        </w:rPr>
        <w:t>لام بالقمع والقوّة، بحيث لا تتم</w:t>
      </w:r>
      <w:r w:rsidRPr="00822CE9">
        <w:rPr>
          <w:rFonts w:hint="cs"/>
          <w:rtl/>
        </w:rPr>
        <w:t>ك</w:t>
      </w:r>
      <w:r w:rsidR="00AF2863">
        <w:rPr>
          <w:rFonts w:hint="cs"/>
          <w:rtl/>
        </w:rPr>
        <w:t>ّ</w:t>
      </w:r>
      <w:r w:rsidRPr="00822CE9">
        <w:rPr>
          <w:rFonts w:hint="cs"/>
          <w:rtl/>
        </w:rPr>
        <w:t>ن الحركة الإسلامي</w:t>
      </w:r>
      <w:r w:rsidR="00AF2863">
        <w:rPr>
          <w:rFonts w:hint="cs"/>
          <w:rtl/>
        </w:rPr>
        <w:t>ّ</w:t>
      </w:r>
      <w:r w:rsidRPr="00822CE9">
        <w:rPr>
          <w:rFonts w:hint="cs"/>
          <w:rtl/>
        </w:rPr>
        <w:t xml:space="preserve">ة ـ بالمعنى العام للكلمة ـ من ممارسة دور </w:t>
      </w:r>
      <w:r w:rsidR="00AF2863">
        <w:rPr>
          <w:rFonts w:hint="cs"/>
          <w:rtl/>
        </w:rPr>
        <w:t>مضادّ</w:t>
      </w:r>
      <w:r w:rsidRPr="00822CE9">
        <w:rPr>
          <w:rFonts w:hint="cs"/>
          <w:rtl/>
        </w:rPr>
        <w:t xml:space="preserve"> يحافظ على حركة الإسلام وبقائه، فهنا يمكن ا</w:t>
      </w:r>
      <w:r w:rsidR="00AF2863">
        <w:rPr>
          <w:rFonts w:hint="cs"/>
          <w:rtl/>
        </w:rPr>
        <w:t>لاستناد إلى السيرة المتشرّعية وإ</w:t>
      </w:r>
      <w:r w:rsidRPr="00822CE9">
        <w:rPr>
          <w:rFonts w:hint="cs"/>
          <w:rtl/>
        </w:rPr>
        <w:t xml:space="preserve">لى الإطلاق </w:t>
      </w:r>
      <w:r w:rsidR="00AF2863">
        <w:rPr>
          <w:rFonts w:hint="cs"/>
          <w:rtl/>
        </w:rPr>
        <w:t>ال</w:t>
      </w:r>
      <w:r w:rsidRPr="00822CE9">
        <w:rPr>
          <w:rFonts w:hint="cs"/>
          <w:rtl/>
        </w:rPr>
        <w:t>مضمو</w:t>
      </w:r>
      <w:r w:rsidR="003619EF">
        <w:rPr>
          <w:rFonts w:hint="cs"/>
          <w:rtl/>
        </w:rPr>
        <w:t>ني</w:t>
      </w:r>
      <w:r w:rsidRPr="00822CE9">
        <w:rPr>
          <w:rFonts w:hint="cs"/>
          <w:rtl/>
        </w:rPr>
        <w:t xml:space="preserve"> لمفهوم الجهاد الدفاعي</w:t>
      </w:r>
      <w:r w:rsidR="00AF2863">
        <w:rPr>
          <w:rFonts w:hint="cs"/>
          <w:rtl/>
        </w:rPr>
        <w:t>.</w:t>
      </w:r>
      <w:r w:rsidRPr="00822CE9">
        <w:rPr>
          <w:rFonts w:hint="cs"/>
          <w:rtl/>
        </w:rPr>
        <w:t xml:space="preserve"> ونقصد بالإطلاق المضموني أنّ هذا الحكم حتى لو لم نجد له إطلاقاً لفظي</w:t>
      </w:r>
      <w:r w:rsidR="00AF2863">
        <w:rPr>
          <w:rFonts w:hint="cs"/>
          <w:rtl/>
        </w:rPr>
        <w:t>ّ</w:t>
      </w:r>
      <w:r w:rsidRPr="00822CE9">
        <w:rPr>
          <w:rFonts w:hint="cs"/>
          <w:rtl/>
        </w:rPr>
        <w:t>اً يشمل ما نحن فيه، بالمعنى الأصولي للكلمة، إلا أن</w:t>
      </w:r>
      <w:r w:rsidR="00AF2863">
        <w:rPr>
          <w:rFonts w:hint="cs"/>
          <w:rtl/>
        </w:rPr>
        <w:t>ّ</w:t>
      </w:r>
      <w:r w:rsidRPr="00822CE9">
        <w:rPr>
          <w:rFonts w:hint="cs"/>
          <w:rtl/>
        </w:rPr>
        <w:t xml:space="preserve"> روحه ومضمونه وفلسفته عقلائي</w:t>
      </w:r>
      <w:r w:rsidR="00AF2863">
        <w:rPr>
          <w:rFonts w:hint="cs"/>
          <w:rtl/>
        </w:rPr>
        <w:t>ّ</w:t>
      </w:r>
      <w:r w:rsidRPr="00822CE9">
        <w:rPr>
          <w:rFonts w:hint="cs"/>
          <w:rtl/>
        </w:rPr>
        <w:t>اً تصلح لتعميمه إلى كل</w:t>
      </w:r>
      <w:r w:rsidR="00AF2863">
        <w:rPr>
          <w:rFonts w:hint="cs"/>
          <w:rtl/>
        </w:rPr>
        <w:t>ّ</w:t>
      </w:r>
      <w:r w:rsidRPr="00822CE9">
        <w:rPr>
          <w:rFonts w:hint="cs"/>
          <w:rtl/>
        </w:rPr>
        <w:t xml:space="preserve"> حالة يستخدم فيها الآخر</w:t>
      </w:r>
      <w:r w:rsidR="00AF2863">
        <w:rPr>
          <w:rFonts w:hint="cs"/>
          <w:rtl/>
        </w:rPr>
        <w:t>ُ</w:t>
      </w:r>
      <w:r w:rsidRPr="00822CE9">
        <w:rPr>
          <w:rFonts w:hint="cs"/>
          <w:rtl/>
        </w:rPr>
        <w:t xml:space="preserve"> القوّة</w:t>
      </w:r>
      <w:r w:rsidR="00AF2863">
        <w:rPr>
          <w:rFonts w:hint="cs"/>
          <w:rtl/>
        </w:rPr>
        <w:t>َ لفرط عقد الإسلام وإ</w:t>
      </w:r>
      <w:r w:rsidRPr="00822CE9">
        <w:rPr>
          <w:rFonts w:hint="cs"/>
          <w:rtl/>
        </w:rPr>
        <w:t>سقاطه.</w:t>
      </w:r>
    </w:p>
    <w:p w14:paraId="33109ED3" w14:textId="77777777" w:rsidR="000A4159" w:rsidRPr="00822CE9" w:rsidRDefault="000A4159" w:rsidP="00AF2863">
      <w:pPr>
        <w:spacing w:line="214" w:lineRule="auto"/>
        <w:rPr>
          <w:rtl/>
        </w:rPr>
      </w:pPr>
      <w:r w:rsidRPr="00AF2863">
        <w:rPr>
          <w:rFonts w:hint="cs"/>
          <w:b/>
          <w:bCs/>
          <w:rtl/>
        </w:rPr>
        <w:t>الصورة الثانية:</w:t>
      </w:r>
      <w:r w:rsidRPr="00822CE9">
        <w:rPr>
          <w:rFonts w:hint="cs"/>
          <w:rtl/>
        </w:rPr>
        <w:t xml:space="preserve"> أن لا يكون الحاكم قامعاً للحري</w:t>
      </w:r>
      <w:r w:rsidR="00AF2863">
        <w:rPr>
          <w:rFonts w:hint="cs"/>
          <w:rtl/>
        </w:rPr>
        <w:t>ّ</w:t>
      </w:r>
      <w:r w:rsidRPr="00822CE9">
        <w:rPr>
          <w:rFonts w:hint="cs"/>
          <w:rtl/>
        </w:rPr>
        <w:t>ات، وإن</w:t>
      </w:r>
      <w:r w:rsidR="00AF2863">
        <w:rPr>
          <w:rFonts w:hint="cs"/>
          <w:rtl/>
        </w:rPr>
        <w:t>ّما لأجل سماحه بالحريات يتس</w:t>
      </w:r>
      <w:r w:rsidRPr="00822CE9">
        <w:rPr>
          <w:rFonts w:hint="cs"/>
          <w:rtl/>
        </w:rPr>
        <w:t>ب</w:t>
      </w:r>
      <w:r w:rsidR="00AF2863">
        <w:rPr>
          <w:rFonts w:hint="cs"/>
          <w:rtl/>
        </w:rPr>
        <w:t>ّ</w:t>
      </w:r>
      <w:r w:rsidRPr="00822CE9">
        <w:rPr>
          <w:rFonts w:hint="cs"/>
          <w:rtl/>
        </w:rPr>
        <w:t>ب</w:t>
      </w:r>
      <w:r w:rsidR="00AF2863">
        <w:rPr>
          <w:rFonts w:hint="cs"/>
          <w:rtl/>
        </w:rPr>
        <w:t xml:space="preserve"> ذلك في نفوذ أفكار الكافرين فتض</w:t>
      </w:r>
      <w:r w:rsidRPr="00822CE9">
        <w:rPr>
          <w:rFonts w:hint="cs"/>
          <w:rtl/>
        </w:rPr>
        <w:t>ل</w:t>
      </w:r>
      <w:r w:rsidR="00AF2863">
        <w:rPr>
          <w:rFonts w:hint="cs"/>
          <w:rtl/>
        </w:rPr>
        <w:t>ّ</w:t>
      </w:r>
      <w:r w:rsidRPr="00822CE9">
        <w:rPr>
          <w:rFonts w:hint="cs"/>
          <w:rtl/>
        </w:rPr>
        <w:t>ل</w:t>
      </w:r>
      <w:r w:rsidR="00AF2863">
        <w:rPr>
          <w:rFonts w:hint="cs"/>
          <w:rtl/>
        </w:rPr>
        <w:t>ُ</w:t>
      </w:r>
      <w:r w:rsidRPr="00822CE9">
        <w:rPr>
          <w:rFonts w:hint="cs"/>
          <w:rtl/>
        </w:rPr>
        <w:t xml:space="preserve"> أجيال</w:t>
      </w:r>
      <w:r w:rsidR="00AF2863">
        <w:rPr>
          <w:rFonts w:hint="cs"/>
          <w:rtl/>
        </w:rPr>
        <w:t>ُ</w:t>
      </w:r>
      <w:r w:rsidRPr="00822CE9">
        <w:rPr>
          <w:rFonts w:hint="cs"/>
          <w:rtl/>
        </w:rPr>
        <w:t xml:space="preserve"> المسلمين بما يؤد</w:t>
      </w:r>
      <w:r w:rsidR="00AF2863">
        <w:rPr>
          <w:rFonts w:hint="cs"/>
          <w:rtl/>
        </w:rPr>
        <w:t>ّ</w:t>
      </w:r>
      <w:r w:rsidRPr="00822CE9">
        <w:rPr>
          <w:rFonts w:hint="cs"/>
          <w:rtl/>
        </w:rPr>
        <w:t>ي ـ كما أشرنا ـ إلى زوال أصل الإسلام</w:t>
      </w:r>
      <w:r w:rsidR="00AF2863">
        <w:rPr>
          <w:rFonts w:hint="cs"/>
          <w:rtl/>
        </w:rPr>
        <w:t>،</w:t>
      </w:r>
      <w:r w:rsidRPr="00822CE9">
        <w:rPr>
          <w:rFonts w:hint="cs"/>
          <w:rtl/>
        </w:rPr>
        <w:t xml:space="preserve"> كظهور حالة التنصير بشكل واسع في هذا المجتمع، بما يقول فيه </w:t>
      </w:r>
      <w:r w:rsidR="00AF2863">
        <w:rPr>
          <w:rFonts w:hint="cs"/>
          <w:rtl/>
        </w:rPr>
        <w:t>الخبراء</w:t>
      </w:r>
      <w:r w:rsidRPr="00822CE9">
        <w:rPr>
          <w:rFonts w:hint="cs"/>
          <w:rtl/>
        </w:rPr>
        <w:t>: إن</w:t>
      </w:r>
      <w:r w:rsidR="00AF2863">
        <w:rPr>
          <w:rFonts w:hint="cs"/>
          <w:rtl/>
        </w:rPr>
        <w:t>ّ</w:t>
      </w:r>
      <w:r w:rsidRPr="00822CE9">
        <w:rPr>
          <w:rFonts w:hint="cs"/>
          <w:rtl/>
        </w:rPr>
        <w:t>ه لو استمرّ لأد</w:t>
      </w:r>
      <w:r w:rsidR="00AF2863">
        <w:rPr>
          <w:rFonts w:hint="cs"/>
          <w:rtl/>
        </w:rPr>
        <w:t>ّ</w:t>
      </w:r>
      <w:r w:rsidRPr="00822CE9">
        <w:rPr>
          <w:rFonts w:hint="cs"/>
          <w:rtl/>
        </w:rPr>
        <w:t>ى إلى تنصّر المجتمع مثلاً.. ففي هذه الحال يجب الدفاع عن الإسلام بتمام الوسائل، إلا أن</w:t>
      </w:r>
      <w:r w:rsidR="00AF2863">
        <w:rPr>
          <w:rFonts w:hint="cs"/>
          <w:rtl/>
        </w:rPr>
        <w:t>ّ</w:t>
      </w:r>
      <w:r w:rsidRPr="00822CE9">
        <w:rPr>
          <w:rFonts w:hint="cs"/>
          <w:rtl/>
        </w:rPr>
        <w:t>ه لا دليل على شرعي</w:t>
      </w:r>
      <w:r w:rsidR="00AF2863">
        <w:rPr>
          <w:rFonts w:hint="cs"/>
          <w:rtl/>
        </w:rPr>
        <w:t>ّ</w:t>
      </w:r>
      <w:r w:rsidRPr="00822CE9">
        <w:rPr>
          <w:rFonts w:hint="cs"/>
          <w:rtl/>
        </w:rPr>
        <w:t>ة الحرب والقتال ضدّ هذا الحاكم للحيلولة دون نشر الكفر؛ لأن</w:t>
      </w:r>
      <w:r w:rsidR="00AF2863">
        <w:rPr>
          <w:rFonts w:hint="cs"/>
          <w:rtl/>
        </w:rPr>
        <w:t>ّ</w:t>
      </w:r>
      <w:r w:rsidRPr="00822CE9">
        <w:rPr>
          <w:rFonts w:hint="cs"/>
          <w:rtl/>
        </w:rPr>
        <w:t xml:space="preserve"> أدلّة الجهاد والدفاع لا يوجد إطلاق مضموني ولا لفظي لها لحالة استخدام القوّة، فما دام هذا الحاكم يسمح بنشر الإسلام ومدارسه ويسمح بنشر الكفر ومدارسه، مهما كان رأينا الفقهي من هذه السياسة، </w:t>
      </w:r>
      <w:r w:rsidRPr="00822CE9">
        <w:rPr>
          <w:rFonts w:hint="cs"/>
          <w:rtl/>
        </w:rPr>
        <w:lastRenderedPageBreak/>
        <w:t>فإن</w:t>
      </w:r>
      <w:r w:rsidR="00AF2863">
        <w:rPr>
          <w:rFonts w:hint="cs"/>
          <w:rtl/>
        </w:rPr>
        <w:t>ّ</w:t>
      </w:r>
      <w:r w:rsidRPr="00822CE9">
        <w:rPr>
          <w:rFonts w:hint="cs"/>
          <w:rtl/>
        </w:rPr>
        <w:t>ه لا يصحّ القول بأن</w:t>
      </w:r>
      <w:r w:rsidR="00AF2863">
        <w:rPr>
          <w:rFonts w:hint="cs"/>
          <w:rtl/>
        </w:rPr>
        <w:t>ّ</w:t>
      </w:r>
      <w:r w:rsidRPr="00822CE9">
        <w:rPr>
          <w:rFonts w:hint="cs"/>
          <w:rtl/>
        </w:rPr>
        <w:t xml:space="preserve"> الدفاع عن الإسلام هنا يلزمنا</w:t>
      </w:r>
      <w:r w:rsidR="00AF2863">
        <w:rPr>
          <w:rFonts w:hint="cs"/>
          <w:rtl/>
        </w:rPr>
        <w:t xml:space="preserve"> </w:t>
      </w:r>
      <w:r w:rsidRPr="00822CE9">
        <w:rPr>
          <w:rFonts w:hint="cs"/>
          <w:rtl/>
        </w:rPr>
        <w:t>بالحرب، ما دام المسلمون الذين يتنص</w:t>
      </w:r>
      <w:r w:rsidR="00AF2863">
        <w:rPr>
          <w:rFonts w:hint="cs"/>
          <w:rtl/>
        </w:rPr>
        <w:t>ّ</w:t>
      </w:r>
      <w:r w:rsidRPr="00822CE9">
        <w:rPr>
          <w:rFonts w:hint="cs"/>
          <w:rtl/>
        </w:rPr>
        <w:t>رون إن</w:t>
      </w:r>
      <w:r w:rsidR="00AF2863">
        <w:rPr>
          <w:rFonts w:hint="cs"/>
          <w:rtl/>
        </w:rPr>
        <w:t>ّ</w:t>
      </w:r>
      <w:r w:rsidRPr="00822CE9">
        <w:rPr>
          <w:rFonts w:hint="cs"/>
          <w:rtl/>
        </w:rPr>
        <w:t>ما يفعلون ذلك في جوّ</w:t>
      </w:r>
      <w:r w:rsidR="00AF2863">
        <w:rPr>
          <w:rFonts w:hint="cs"/>
          <w:rtl/>
        </w:rPr>
        <w:t>ٍ</w:t>
      </w:r>
      <w:r w:rsidRPr="00822CE9">
        <w:rPr>
          <w:rFonts w:hint="cs"/>
          <w:rtl/>
        </w:rPr>
        <w:t xml:space="preserve"> من الحرية الديني</w:t>
      </w:r>
      <w:r w:rsidR="00AF2863">
        <w:rPr>
          <w:rFonts w:hint="cs"/>
          <w:rtl/>
        </w:rPr>
        <w:t>ّ</w:t>
      </w:r>
      <w:r w:rsidRPr="00822CE9">
        <w:rPr>
          <w:rFonts w:hint="cs"/>
          <w:rtl/>
        </w:rPr>
        <w:t xml:space="preserve">ة، فيكون كفرهم نتيجة </w:t>
      </w:r>
      <w:r w:rsidR="00651EF9">
        <w:rPr>
          <w:rFonts w:hint="cs"/>
          <w:rtl/>
        </w:rPr>
        <w:t xml:space="preserve">مثل </w:t>
      </w:r>
      <w:r w:rsidRPr="00822CE9">
        <w:rPr>
          <w:rFonts w:hint="cs"/>
          <w:rtl/>
        </w:rPr>
        <w:t>ضعف الحركة الإسلامي</w:t>
      </w:r>
      <w:r w:rsidR="00AF2863">
        <w:rPr>
          <w:rFonts w:hint="cs"/>
          <w:rtl/>
        </w:rPr>
        <w:t>ّ</w:t>
      </w:r>
      <w:r w:rsidRPr="00822CE9">
        <w:rPr>
          <w:rFonts w:hint="cs"/>
          <w:rtl/>
        </w:rPr>
        <w:t>ة فكرياً وثقافياً ودعوي</w:t>
      </w:r>
      <w:r w:rsidR="00AF2863">
        <w:rPr>
          <w:rFonts w:hint="cs"/>
          <w:rtl/>
        </w:rPr>
        <w:t>ّ</w:t>
      </w:r>
      <w:r w:rsidRPr="00822CE9">
        <w:rPr>
          <w:rFonts w:hint="cs"/>
          <w:rtl/>
        </w:rPr>
        <w:t>اً و.. لا لاعتداء خارجي أو من قبل الحاكم</w:t>
      </w:r>
      <w:r w:rsidR="00AF2863">
        <w:rPr>
          <w:rFonts w:hint="cs"/>
          <w:rtl/>
        </w:rPr>
        <w:t>.</w:t>
      </w:r>
      <w:r w:rsidRPr="00822CE9">
        <w:rPr>
          <w:rFonts w:hint="cs"/>
          <w:rtl/>
        </w:rPr>
        <w:t xml:space="preserve"> نعم للحركة الإسلامي</w:t>
      </w:r>
      <w:r w:rsidR="00AF2863">
        <w:rPr>
          <w:rFonts w:hint="cs"/>
          <w:rtl/>
        </w:rPr>
        <w:t>ّ</w:t>
      </w:r>
      <w:r w:rsidRPr="00822CE9">
        <w:rPr>
          <w:rFonts w:hint="cs"/>
          <w:rtl/>
        </w:rPr>
        <w:t>ة م</w:t>
      </w:r>
      <w:r w:rsidR="00AF2863">
        <w:rPr>
          <w:rFonts w:hint="cs"/>
          <w:rtl/>
        </w:rPr>
        <w:t>م</w:t>
      </w:r>
      <w:r w:rsidRPr="00822CE9">
        <w:rPr>
          <w:rFonts w:hint="cs"/>
          <w:rtl/>
        </w:rPr>
        <w:t>ارسة أشكال الضغط السلمي على الحاكم كي يحدّ من هذه الحري</w:t>
      </w:r>
      <w:r w:rsidR="00AF2863">
        <w:rPr>
          <w:rFonts w:hint="cs"/>
          <w:rtl/>
        </w:rPr>
        <w:t>ّ</w:t>
      </w:r>
      <w:r w:rsidRPr="00822CE9">
        <w:rPr>
          <w:rFonts w:hint="cs"/>
          <w:rtl/>
        </w:rPr>
        <w:t>ات، ذلك كلّه بحسب العنوان الأو</w:t>
      </w:r>
      <w:r w:rsidR="00AF2863">
        <w:rPr>
          <w:rFonts w:hint="cs"/>
          <w:rtl/>
        </w:rPr>
        <w:t>ّ</w:t>
      </w:r>
      <w:r w:rsidRPr="00822CE9">
        <w:rPr>
          <w:rFonts w:hint="cs"/>
          <w:rtl/>
        </w:rPr>
        <w:t>لي؛ وإلا فقد يرى الفقيه هنا أو هناك أن</w:t>
      </w:r>
      <w:r w:rsidR="00AF2863">
        <w:rPr>
          <w:rFonts w:hint="cs"/>
          <w:rtl/>
        </w:rPr>
        <w:t>ّ</w:t>
      </w:r>
      <w:r w:rsidRPr="00822CE9">
        <w:rPr>
          <w:rFonts w:hint="cs"/>
          <w:rtl/>
        </w:rPr>
        <w:t xml:space="preserve"> هناك عناوين ثانوية قد تطرأ تدفعه إلى الإلزام بالقتال لإسقاط هذا الحاكم أو إسقاط منحه الحري</w:t>
      </w:r>
      <w:r w:rsidR="00AF2863">
        <w:rPr>
          <w:rFonts w:hint="cs"/>
          <w:rtl/>
        </w:rPr>
        <w:t>ّ</w:t>
      </w:r>
      <w:r w:rsidRPr="00822CE9">
        <w:rPr>
          <w:rFonts w:hint="cs"/>
          <w:rtl/>
        </w:rPr>
        <w:t>ات الدعوي</w:t>
      </w:r>
      <w:r w:rsidR="00AF2863">
        <w:rPr>
          <w:rFonts w:hint="cs"/>
          <w:rtl/>
        </w:rPr>
        <w:t>ّ</w:t>
      </w:r>
      <w:r w:rsidRPr="00822CE9">
        <w:rPr>
          <w:rFonts w:hint="cs"/>
          <w:rtl/>
        </w:rPr>
        <w:t>ة مثلاً للكافرين، وهذا مطلب</w:t>
      </w:r>
      <w:r w:rsidR="00AF2863">
        <w:rPr>
          <w:rFonts w:hint="cs"/>
          <w:rtl/>
        </w:rPr>
        <w:t>ٌ</w:t>
      </w:r>
      <w:r w:rsidRPr="00822CE9">
        <w:rPr>
          <w:rFonts w:hint="cs"/>
          <w:rtl/>
        </w:rPr>
        <w:t xml:space="preserve"> آخر، أو نقول بالولاية العامة للفقيه، ثم يصدر الفقيه حكماً ولائي</w:t>
      </w:r>
      <w:r w:rsidR="00AF2863">
        <w:rPr>
          <w:rFonts w:hint="cs"/>
          <w:rtl/>
        </w:rPr>
        <w:t>ّ</w:t>
      </w:r>
      <w:r w:rsidRPr="00822CE9">
        <w:rPr>
          <w:rFonts w:hint="cs"/>
          <w:rtl/>
        </w:rPr>
        <w:t>اً في المقام.</w:t>
      </w:r>
    </w:p>
    <w:p w14:paraId="1FA9D7AD" w14:textId="77777777" w:rsidR="000A4159" w:rsidRPr="00822CE9" w:rsidRDefault="000A4159" w:rsidP="007F54FE">
      <w:pPr>
        <w:rPr>
          <w:rtl/>
        </w:rPr>
      </w:pPr>
      <w:r w:rsidRPr="00822CE9">
        <w:rPr>
          <w:rFonts w:hint="cs"/>
          <w:rtl/>
        </w:rPr>
        <w:t>وبهذا يتبيّن عدم صحّة إطلاق وجوب الثورة في الحالة الثانية كما تفيده بعض الكلمات</w:t>
      </w:r>
      <w:r w:rsidRPr="000A4159">
        <w:rPr>
          <w:rFonts w:cs="Taher"/>
          <w:vertAlign w:val="superscript"/>
          <w:rtl/>
        </w:rPr>
        <w:t>(</w:t>
      </w:r>
      <w:r w:rsidRPr="000A4159">
        <w:rPr>
          <w:rStyle w:val="FootnoteReference"/>
          <w:rFonts w:cs="Taher"/>
          <w:rtl/>
        </w:rPr>
        <w:footnoteReference w:id="302"/>
      </w:r>
      <w:r w:rsidRPr="000A4159">
        <w:rPr>
          <w:rFonts w:cs="Taher"/>
          <w:vertAlign w:val="superscript"/>
          <w:rtl/>
        </w:rPr>
        <w:t>)</w:t>
      </w:r>
      <w:r w:rsidRPr="00822CE9">
        <w:rPr>
          <w:rtl/>
        </w:rPr>
        <w:t xml:space="preserve">، </w:t>
      </w:r>
      <w:r w:rsidRPr="00822CE9">
        <w:rPr>
          <w:rFonts w:hint="cs"/>
          <w:rtl/>
        </w:rPr>
        <w:t>كما يتبيّن أن</w:t>
      </w:r>
      <w:r w:rsidR="00AF2863">
        <w:rPr>
          <w:rFonts w:hint="cs"/>
          <w:rtl/>
        </w:rPr>
        <w:t>ّ</w:t>
      </w:r>
      <w:r w:rsidRPr="00822CE9">
        <w:rPr>
          <w:rFonts w:hint="cs"/>
          <w:rtl/>
        </w:rPr>
        <w:t xml:space="preserve"> تعدّد الاجتهادات المشروعة لا يدخل ضمن هذا النطاق؛ فلو كان إلغاء هذا الحكم أو ذاك أو ات</w:t>
      </w:r>
      <w:r w:rsidR="00AF2863">
        <w:rPr>
          <w:rFonts w:hint="cs"/>
          <w:rtl/>
        </w:rPr>
        <w:t>ّ</w:t>
      </w:r>
      <w:r w:rsidRPr="00822CE9">
        <w:rPr>
          <w:rFonts w:hint="cs"/>
          <w:rtl/>
        </w:rPr>
        <w:t>باع هذا الإجراء أو ذاك منطلقاً من نظري</w:t>
      </w:r>
      <w:r w:rsidR="00AF2863">
        <w:rPr>
          <w:rFonts w:hint="cs"/>
          <w:rtl/>
        </w:rPr>
        <w:t>ّ</w:t>
      </w:r>
      <w:r w:rsidRPr="00822CE9">
        <w:rPr>
          <w:rFonts w:hint="cs"/>
          <w:rtl/>
        </w:rPr>
        <w:t>ة علمي</w:t>
      </w:r>
      <w:r w:rsidR="00AF2863">
        <w:rPr>
          <w:rFonts w:hint="cs"/>
          <w:rtl/>
        </w:rPr>
        <w:t>ّ</w:t>
      </w:r>
      <w:r w:rsidRPr="00822CE9">
        <w:rPr>
          <w:rFonts w:hint="cs"/>
          <w:rtl/>
        </w:rPr>
        <w:t>ة في فهم الدين واجتهاد</w:t>
      </w:r>
      <w:r w:rsidR="00AF2863">
        <w:rPr>
          <w:rFonts w:hint="cs"/>
          <w:rtl/>
        </w:rPr>
        <w:t>ٍ</w:t>
      </w:r>
      <w:r w:rsidRPr="00822CE9">
        <w:rPr>
          <w:rFonts w:hint="cs"/>
          <w:rtl/>
        </w:rPr>
        <w:t xml:space="preserve"> مشروع</w:t>
      </w:r>
      <w:r w:rsidR="00AF2863">
        <w:rPr>
          <w:rFonts w:hint="cs"/>
          <w:rtl/>
        </w:rPr>
        <w:t>،</w:t>
      </w:r>
      <w:r w:rsidRPr="00822CE9">
        <w:rPr>
          <w:rFonts w:hint="cs"/>
          <w:rtl/>
        </w:rPr>
        <w:t xml:space="preserve"> كان خارجاً عن كلامنا</w:t>
      </w:r>
      <w:r w:rsidR="00AF2863">
        <w:rPr>
          <w:rFonts w:hint="cs"/>
          <w:rtl/>
        </w:rPr>
        <w:t>؛</w:t>
      </w:r>
      <w:r w:rsidRPr="00822CE9">
        <w:rPr>
          <w:rFonts w:hint="cs"/>
          <w:rtl/>
        </w:rPr>
        <w:t xml:space="preserve"> نظراً لحجي</w:t>
      </w:r>
      <w:r w:rsidR="00AF2863">
        <w:rPr>
          <w:rFonts w:hint="cs"/>
          <w:rtl/>
        </w:rPr>
        <w:t>ّ</w:t>
      </w:r>
      <w:r w:rsidRPr="00822CE9">
        <w:rPr>
          <w:rFonts w:hint="cs"/>
          <w:rtl/>
        </w:rPr>
        <w:t>ة الاجتهاد وشرعي</w:t>
      </w:r>
      <w:r w:rsidR="00AF2863">
        <w:rPr>
          <w:rFonts w:hint="cs"/>
          <w:rtl/>
        </w:rPr>
        <w:t>ّ</w:t>
      </w:r>
      <w:r w:rsidRPr="00822CE9">
        <w:rPr>
          <w:rFonts w:hint="cs"/>
          <w:rtl/>
        </w:rPr>
        <w:t>ته ما دام ملتزماً بالضوابط العلمي</w:t>
      </w:r>
      <w:r w:rsidR="00AF2863">
        <w:rPr>
          <w:rFonts w:hint="cs"/>
          <w:rtl/>
        </w:rPr>
        <w:t>ّ</w:t>
      </w:r>
      <w:r w:rsidRPr="00822CE9">
        <w:rPr>
          <w:rFonts w:hint="cs"/>
          <w:rtl/>
        </w:rPr>
        <w:t>ة، وإلا يلزم الثورة على أي</w:t>
      </w:r>
      <w:r w:rsidR="00AF2863">
        <w:rPr>
          <w:rFonts w:hint="cs"/>
          <w:rtl/>
        </w:rPr>
        <w:t>ّ</w:t>
      </w:r>
      <w:r w:rsidRPr="00822CE9">
        <w:rPr>
          <w:rFonts w:hint="cs"/>
          <w:rtl/>
        </w:rPr>
        <w:t xml:space="preserve"> نظري</w:t>
      </w:r>
      <w:r w:rsidR="00AF2863">
        <w:rPr>
          <w:rFonts w:hint="cs"/>
          <w:rtl/>
        </w:rPr>
        <w:t>ّ</w:t>
      </w:r>
      <w:r w:rsidRPr="00822CE9">
        <w:rPr>
          <w:rFonts w:hint="cs"/>
          <w:rtl/>
        </w:rPr>
        <w:t>ة اجتهادي</w:t>
      </w:r>
      <w:r w:rsidR="00AF2863">
        <w:rPr>
          <w:rFonts w:hint="cs"/>
          <w:rtl/>
        </w:rPr>
        <w:t>ّ</w:t>
      </w:r>
      <w:r w:rsidRPr="00822CE9">
        <w:rPr>
          <w:rFonts w:hint="cs"/>
          <w:rtl/>
        </w:rPr>
        <w:t>ة لا نؤمن بها</w:t>
      </w:r>
      <w:r w:rsidR="00AF2863">
        <w:rPr>
          <w:rFonts w:hint="cs"/>
          <w:rtl/>
        </w:rPr>
        <w:t>!</w:t>
      </w:r>
      <w:r w:rsidRPr="00822CE9">
        <w:rPr>
          <w:rFonts w:hint="cs"/>
          <w:rtl/>
        </w:rPr>
        <w:t xml:space="preserve"> وهو واضح الفساد.</w:t>
      </w:r>
    </w:p>
    <w:p w14:paraId="51C3C537" w14:textId="77777777" w:rsidR="000A4159" w:rsidRPr="00822CE9" w:rsidRDefault="000A4159" w:rsidP="007F54FE">
      <w:pPr>
        <w:rPr>
          <w:rtl/>
        </w:rPr>
      </w:pPr>
      <w:r w:rsidRPr="00AF2863">
        <w:rPr>
          <w:rFonts w:hint="cs"/>
          <w:b/>
          <w:bCs/>
          <w:rtl/>
        </w:rPr>
        <w:t>وقد ي</w:t>
      </w:r>
      <w:r w:rsidR="00AF2863" w:rsidRPr="00AF2863">
        <w:rPr>
          <w:rFonts w:hint="cs"/>
          <w:b/>
          <w:bCs/>
          <w:rtl/>
        </w:rPr>
        <w:t>ُ</w:t>
      </w:r>
      <w:r w:rsidRPr="00AF2863">
        <w:rPr>
          <w:rFonts w:hint="cs"/>
          <w:b/>
          <w:bCs/>
          <w:rtl/>
        </w:rPr>
        <w:t>ستدلّ لوجوب الجهاد في حالة الخوف على أصل الإسلام</w:t>
      </w:r>
      <w:r w:rsidR="00AF2863" w:rsidRPr="00AF2863">
        <w:rPr>
          <w:rFonts w:hint="cs"/>
          <w:b/>
          <w:bCs/>
          <w:rtl/>
        </w:rPr>
        <w:t>،</w:t>
      </w:r>
      <w:r w:rsidRPr="00AF2863">
        <w:rPr>
          <w:rFonts w:hint="cs"/>
          <w:b/>
          <w:bCs/>
          <w:rtl/>
        </w:rPr>
        <w:t xml:space="preserve"> برواية يونس</w:t>
      </w:r>
      <w:r w:rsidR="00AF2863">
        <w:rPr>
          <w:rFonts w:hint="cs"/>
          <w:b/>
          <w:bCs/>
          <w:rtl/>
        </w:rPr>
        <w:t>،</w:t>
      </w:r>
      <w:r w:rsidRPr="00AF2863">
        <w:rPr>
          <w:rFonts w:hint="cs"/>
          <w:b/>
          <w:bCs/>
          <w:rtl/>
        </w:rPr>
        <w:t xml:space="preserve"> عن الإمام</w:t>
      </w:r>
      <w:r w:rsidR="00AF2863">
        <w:rPr>
          <w:rFonts w:hint="cs"/>
          <w:b/>
          <w:bCs/>
          <w:rtl/>
        </w:rPr>
        <w:t xml:space="preserve"> علي بن موسى</w:t>
      </w:r>
      <w:r w:rsidRPr="00AF2863">
        <w:rPr>
          <w:rFonts w:hint="cs"/>
          <w:b/>
          <w:bCs/>
          <w:rtl/>
        </w:rPr>
        <w:t xml:space="preserve"> الرضا</w:t>
      </w:r>
      <w:r w:rsidR="009A1626" w:rsidRPr="00AF2863">
        <w:rPr>
          <w:rFonts w:hint="cs"/>
          <w:b/>
          <w:bCs/>
          <w:rtl/>
        </w:rPr>
        <w:t>×</w:t>
      </w:r>
      <w:r w:rsidRPr="00AF2863">
        <w:rPr>
          <w:rFonts w:hint="cs"/>
          <w:b/>
          <w:bCs/>
          <w:rtl/>
        </w:rPr>
        <w:t>،</w:t>
      </w:r>
      <w:r w:rsidRPr="00822CE9">
        <w:rPr>
          <w:rFonts w:hint="cs"/>
          <w:rtl/>
        </w:rPr>
        <w:t xml:space="preserve"> قال: سأل أبا الحسن رجل</w:t>
      </w:r>
      <w:r w:rsidR="00AF2863">
        <w:rPr>
          <w:rFonts w:hint="cs"/>
          <w:rtl/>
        </w:rPr>
        <w:t>ٌ</w:t>
      </w:r>
      <w:r w:rsidRPr="00822CE9">
        <w:rPr>
          <w:rFonts w:hint="cs"/>
          <w:rtl/>
        </w:rPr>
        <w:t xml:space="preserve"> وأنا حاضر.. فإذا جاء العدو إلى الموضع الذي هو فيه مرابط، كيف ي</w:t>
      </w:r>
      <w:r w:rsidR="00AF2863">
        <w:rPr>
          <w:rFonts w:hint="cs"/>
          <w:rtl/>
        </w:rPr>
        <w:t>صن</w:t>
      </w:r>
      <w:r w:rsidRPr="00822CE9">
        <w:rPr>
          <w:rFonts w:hint="cs"/>
          <w:rtl/>
        </w:rPr>
        <w:t xml:space="preserve">ع؟ قال: </w:t>
      </w:r>
      <w:r w:rsidR="00AF2863">
        <w:rPr>
          <w:rFonts w:hint="eastAsia"/>
          <w:rtl/>
        </w:rPr>
        <w:t>«</w:t>
      </w:r>
      <w:r w:rsidRPr="00822CE9">
        <w:rPr>
          <w:rFonts w:hint="cs"/>
          <w:rtl/>
        </w:rPr>
        <w:t>يقاتل عن بيضة الإسلام</w:t>
      </w:r>
      <w:r w:rsidR="00AF2863">
        <w:rPr>
          <w:rFonts w:hint="eastAsia"/>
          <w:rtl/>
        </w:rPr>
        <w:t>»</w:t>
      </w:r>
      <w:r w:rsidRPr="00822CE9">
        <w:rPr>
          <w:rFonts w:hint="cs"/>
          <w:rtl/>
        </w:rPr>
        <w:t xml:space="preserve">. قال: يجاهد؟ قال: </w:t>
      </w:r>
      <w:r w:rsidR="00AF2863">
        <w:rPr>
          <w:rFonts w:hint="eastAsia"/>
          <w:rtl/>
        </w:rPr>
        <w:t>«</w:t>
      </w:r>
      <w:r w:rsidRPr="00822CE9">
        <w:rPr>
          <w:rFonts w:hint="cs"/>
          <w:rtl/>
        </w:rPr>
        <w:t>لا، إلا أن يخاف على ذراري المسلمين</w:t>
      </w:r>
      <w:r w:rsidR="00AF2863">
        <w:rPr>
          <w:rFonts w:hint="eastAsia"/>
          <w:rtl/>
        </w:rPr>
        <w:t>»</w:t>
      </w:r>
      <w:r w:rsidRPr="00822CE9">
        <w:rPr>
          <w:rFonts w:hint="cs"/>
          <w:rtl/>
        </w:rPr>
        <w:t>. قلت: أرأيتك لو أن</w:t>
      </w:r>
      <w:r w:rsidR="00AF2863">
        <w:rPr>
          <w:rFonts w:hint="cs"/>
          <w:rtl/>
        </w:rPr>
        <w:t>ّ</w:t>
      </w:r>
      <w:r w:rsidRPr="00822CE9">
        <w:rPr>
          <w:rFonts w:hint="cs"/>
          <w:rtl/>
        </w:rPr>
        <w:t xml:space="preserve"> الروم دخلوا على المسلمين لم ينبغ (يسع) لهم أن يمنعوهم؟ قال: </w:t>
      </w:r>
      <w:r w:rsidR="00AF2863">
        <w:rPr>
          <w:rFonts w:hint="eastAsia"/>
          <w:rtl/>
        </w:rPr>
        <w:t>«</w:t>
      </w:r>
      <w:r w:rsidRPr="00822CE9">
        <w:rPr>
          <w:rFonts w:hint="cs"/>
          <w:rtl/>
        </w:rPr>
        <w:t>يرابط ولا يقاتل، وإن خاف على بيضة الإسلام والمسلمين قاتل، فيكون قتاله لنفسه لا للسلطان</w:t>
      </w:r>
      <w:r w:rsidR="00AF2863">
        <w:rPr>
          <w:rFonts w:hint="cs"/>
          <w:rtl/>
        </w:rPr>
        <w:t>؛ لأ</w:t>
      </w:r>
      <w:r w:rsidRPr="00822CE9">
        <w:rPr>
          <w:rFonts w:hint="cs"/>
          <w:rtl/>
        </w:rPr>
        <w:t>ن</w:t>
      </w:r>
      <w:r w:rsidR="00AF2863">
        <w:rPr>
          <w:rFonts w:hint="cs"/>
          <w:rtl/>
        </w:rPr>
        <w:t>ّ</w:t>
      </w:r>
      <w:r w:rsidRPr="00822CE9">
        <w:rPr>
          <w:rFonts w:hint="cs"/>
          <w:rtl/>
        </w:rPr>
        <w:t xml:space="preserve"> في د</w:t>
      </w:r>
      <w:r w:rsidR="00AF2863">
        <w:rPr>
          <w:rFonts w:hint="cs"/>
          <w:rtl/>
        </w:rPr>
        <w:t>ُ</w:t>
      </w:r>
      <w:r w:rsidRPr="00822CE9">
        <w:rPr>
          <w:rFonts w:hint="cs"/>
          <w:rtl/>
        </w:rPr>
        <w:t>روس الإسلام د</w:t>
      </w:r>
      <w:r w:rsidR="00AF2863">
        <w:rPr>
          <w:rFonts w:hint="cs"/>
          <w:rtl/>
        </w:rPr>
        <w:t>ُ</w:t>
      </w:r>
      <w:r w:rsidRPr="00822CE9">
        <w:rPr>
          <w:rFonts w:hint="cs"/>
          <w:rtl/>
        </w:rPr>
        <w:t>روس ذكر محم</w:t>
      </w:r>
      <w:r w:rsidR="00AF2863">
        <w:rPr>
          <w:rFonts w:hint="cs"/>
          <w:rtl/>
        </w:rPr>
        <w:t>ّ</w:t>
      </w:r>
      <w:r w:rsidRPr="00822CE9">
        <w:rPr>
          <w:rFonts w:hint="cs"/>
          <w:rtl/>
        </w:rPr>
        <w:t>د</w:t>
      </w:r>
      <w:r w:rsidR="00AF2863">
        <w:rPr>
          <w:rFonts w:hint="cs"/>
          <w:rtl/>
        </w:rPr>
        <w:t>‘</w:t>
      </w:r>
      <w:r w:rsidRPr="00822CE9">
        <w:rPr>
          <w:rFonts w:hint="cs"/>
          <w:rtl/>
        </w:rPr>
        <w:t>»</w:t>
      </w:r>
      <w:r w:rsidRPr="000A4159">
        <w:rPr>
          <w:rFonts w:cs="Taher"/>
          <w:vertAlign w:val="superscript"/>
          <w:rtl/>
        </w:rPr>
        <w:t>(</w:t>
      </w:r>
      <w:r w:rsidRPr="000A4159">
        <w:rPr>
          <w:rStyle w:val="FootnoteReference"/>
          <w:rFonts w:cs="Taher"/>
          <w:rtl/>
        </w:rPr>
        <w:footnoteReference w:id="303"/>
      </w:r>
      <w:r w:rsidRPr="000A4159">
        <w:rPr>
          <w:rFonts w:cs="Taher"/>
          <w:vertAlign w:val="superscript"/>
          <w:rtl/>
        </w:rPr>
        <w:t>)</w:t>
      </w:r>
      <w:r w:rsidRPr="00822CE9">
        <w:rPr>
          <w:rtl/>
        </w:rPr>
        <w:t>.</w:t>
      </w:r>
    </w:p>
    <w:p w14:paraId="5E719FC0" w14:textId="77777777" w:rsidR="000A4159" w:rsidRDefault="000A4159" w:rsidP="007F54FE">
      <w:pPr>
        <w:pStyle w:val="normal930"/>
        <w:rPr>
          <w:rtl/>
        </w:rPr>
      </w:pPr>
      <w:r w:rsidRPr="00822CE9">
        <w:rPr>
          <w:rFonts w:hint="cs"/>
          <w:rtl/>
        </w:rPr>
        <w:lastRenderedPageBreak/>
        <w:t>فإن</w:t>
      </w:r>
      <w:r w:rsidR="005B0751">
        <w:rPr>
          <w:rFonts w:hint="cs"/>
          <w:rtl/>
        </w:rPr>
        <w:t>ّ</w:t>
      </w:r>
      <w:r w:rsidRPr="00822CE9">
        <w:rPr>
          <w:rFonts w:hint="cs"/>
          <w:rtl/>
        </w:rPr>
        <w:t xml:space="preserve"> هذه الرواية ترى وجوب الدفاع عن بيضة الإسلام، ومن أوضح مصاديق الدفاع عن البيضة هو الدفاع عن الإسلام من خطر</w:t>
      </w:r>
      <w:r w:rsidR="005B0751">
        <w:rPr>
          <w:rFonts w:hint="cs"/>
          <w:rtl/>
        </w:rPr>
        <w:t>ٍ</w:t>
      </w:r>
      <w:r w:rsidRPr="00822CE9">
        <w:rPr>
          <w:rFonts w:hint="cs"/>
          <w:rtl/>
        </w:rPr>
        <w:t xml:space="preserve"> يتهدّد بقاءه، كما أن</w:t>
      </w:r>
      <w:r w:rsidR="005B0751">
        <w:rPr>
          <w:rFonts w:hint="cs"/>
          <w:rtl/>
        </w:rPr>
        <w:t>ّ</w:t>
      </w:r>
      <w:r w:rsidRPr="00822CE9">
        <w:rPr>
          <w:rFonts w:hint="cs"/>
          <w:rtl/>
        </w:rPr>
        <w:t xml:space="preserve"> مسألة الأهم</w:t>
      </w:r>
      <w:r w:rsidR="005B0751">
        <w:rPr>
          <w:rFonts w:hint="cs"/>
          <w:rtl/>
        </w:rPr>
        <w:t>ّ</w:t>
      </w:r>
      <w:r w:rsidRPr="00822CE9">
        <w:rPr>
          <w:rFonts w:hint="cs"/>
          <w:rtl/>
        </w:rPr>
        <w:t xml:space="preserve"> والمهم قد </w:t>
      </w:r>
      <w:r w:rsidR="005B0751">
        <w:rPr>
          <w:rFonts w:hint="cs"/>
          <w:rtl/>
        </w:rPr>
        <w:t>ت</w:t>
      </w:r>
      <w:r w:rsidRPr="00822CE9">
        <w:rPr>
          <w:rFonts w:hint="cs"/>
          <w:rtl/>
        </w:rPr>
        <w:t>دخل هنا كما أشرنا</w:t>
      </w:r>
      <w:r w:rsidRPr="000A4159">
        <w:rPr>
          <w:rFonts w:cs="Taher"/>
          <w:vertAlign w:val="superscript"/>
          <w:rtl/>
        </w:rPr>
        <w:t>(</w:t>
      </w:r>
      <w:r w:rsidRPr="000A4159">
        <w:rPr>
          <w:rStyle w:val="FootnoteReference"/>
          <w:rFonts w:cs="Taher"/>
          <w:rtl/>
        </w:rPr>
        <w:footnoteReference w:id="304"/>
      </w:r>
      <w:r w:rsidRPr="000A4159">
        <w:rPr>
          <w:rFonts w:cs="Taher"/>
          <w:vertAlign w:val="superscript"/>
          <w:rtl/>
        </w:rPr>
        <w:t>)</w:t>
      </w:r>
      <w:r w:rsidRPr="00822CE9">
        <w:rPr>
          <w:rtl/>
        </w:rPr>
        <w:t>.</w:t>
      </w:r>
    </w:p>
    <w:p w14:paraId="480A819C" w14:textId="77777777" w:rsidR="005B0751" w:rsidRPr="005B0751" w:rsidRDefault="005B0751" w:rsidP="0096148C">
      <w:pPr>
        <w:pStyle w:val="Heading2"/>
        <w:rPr>
          <w:rtl/>
        </w:rPr>
      </w:pPr>
      <w:bookmarkStart w:id="178" w:name="_Toc143804169"/>
      <w:bookmarkStart w:id="179" w:name="_Toc238123294"/>
      <w:r w:rsidRPr="005B0751">
        <w:rPr>
          <w:rFonts w:hint="cs"/>
          <w:rtl/>
        </w:rPr>
        <w:t>17 ـ الدفاع عن النفس أساساً لشرعنة الثورات، ملاحظات ناقدة</w:t>
      </w:r>
      <w:bookmarkEnd w:id="178"/>
      <w:bookmarkEnd w:id="179"/>
    </w:p>
    <w:p w14:paraId="561B16FC" w14:textId="77777777" w:rsidR="005B0751" w:rsidRDefault="005B0751" w:rsidP="007F54FE">
      <w:pPr>
        <w:pStyle w:val="normal930"/>
        <w:rPr>
          <w:rtl/>
        </w:rPr>
      </w:pPr>
      <w:r>
        <w:rPr>
          <w:rFonts w:hint="cs"/>
          <w:rtl/>
        </w:rPr>
        <w:t xml:space="preserve">من الأدلّة هنا </w:t>
      </w:r>
      <w:r w:rsidR="000A4159" w:rsidRPr="00822CE9">
        <w:rPr>
          <w:rFonts w:hint="cs"/>
          <w:rtl/>
        </w:rPr>
        <w:t>الاستناد إلى مقولة الدفاع عن النفس لتبرير النشاط المسلّح للمعارضة الإسلامي</w:t>
      </w:r>
      <w:r>
        <w:rPr>
          <w:rFonts w:hint="cs"/>
          <w:rtl/>
        </w:rPr>
        <w:t>ّ</w:t>
      </w:r>
      <w:r w:rsidR="000A4159" w:rsidRPr="00822CE9">
        <w:rPr>
          <w:rFonts w:hint="cs"/>
          <w:rtl/>
        </w:rPr>
        <w:t>ة ضدّ الأنظمة، وهذا معناه إدراج مفهوم الثورة المسلّحة تحت عنوان الدفاع عن النفس، وهو عنوان آخر مختلف عن فقه الجهاد والدفاع عن الإسلام</w:t>
      </w:r>
      <w:r>
        <w:rPr>
          <w:rFonts w:hint="cs"/>
          <w:rtl/>
        </w:rPr>
        <w:t>.</w:t>
      </w:r>
    </w:p>
    <w:p w14:paraId="684DAF2A" w14:textId="77777777" w:rsidR="005B0751" w:rsidRDefault="000A4159" w:rsidP="005B0751">
      <w:pPr>
        <w:spacing w:line="214" w:lineRule="auto"/>
        <w:rPr>
          <w:rtl/>
        </w:rPr>
      </w:pPr>
      <w:r w:rsidRPr="00822CE9">
        <w:rPr>
          <w:rFonts w:hint="cs"/>
          <w:rtl/>
        </w:rPr>
        <w:t>والأساس في ذلك أن</w:t>
      </w:r>
      <w:r w:rsidR="005B0751">
        <w:rPr>
          <w:rFonts w:hint="cs"/>
          <w:rtl/>
        </w:rPr>
        <w:t>ّ</w:t>
      </w:r>
      <w:r w:rsidRPr="00822CE9">
        <w:rPr>
          <w:rFonts w:hint="cs"/>
          <w:rtl/>
        </w:rPr>
        <w:t xml:space="preserve"> الحركات الإسلامي</w:t>
      </w:r>
      <w:r w:rsidR="005B0751">
        <w:rPr>
          <w:rFonts w:hint="cs"/>
          <w:rtl/>
        </w:rPr>
        <w:t>ّ</w:t>
      </w:r>
      <w:r w:rsidRPr="00822CE9">
        <w:rPr>
          <w:rFonts w:hint="cs"/>
          <w:rtl/>
        </w:rPr>
        <w:t>ة قد تبرّر نشاطها العسكري بقمع السلطات ومطاردتها لها أو بمحاربة بعض القوى المسل</w:t>
      </w:r>
      <w:r w:rsidR="005B0751">
        <w:rPr>
          <w:rFonts w:hint="cs"/>
          <w:rtl/>
        </w:rPr>
        <w:t>ّ</w:t>
      </w:r>
      <w:r w:rsidRPr="00822CE9">
        <w:rPr>
          <w:rFonts w:hint="cs"/>
          <w:rtl/>
        </w:rPr>
        <w:t>حة لها وشنّ هجمات عسكري</w:t>
      </w:r>
      <w:r w:rsidR="005B0751">
        <w:rPr>
          <w:rFonts w:hint="cs"/>
          <w:rtl/>
        </w:rPr>
        <w:t>ّ</w:t>
      </w:r>
      <w:r w:rsidRPr="00822CE9">
        <w:rPr>
          <w:rFonts w:hint="cs"/>
          <w:rtl/>
        </w:rPr>
        <w:t>ة عليها في الأرياف أو الجبال، وهذا ما يجعلها قادرة على الدفاع عن نفسها، بقطع النظر عن مقولة الدفاع عن الإسلام نفسه.</w:t>
      </w:r>
    </w:p>
    <w:p w14:paraId="0745D480" w14:textId="77777777" w:rsidR="000A4159" w:rsidRPr="00822CE9" w:rsidRDefault="000A4159" w:rsidP="005B0751">
      <w:pPr>
        <w:spacing w:line="214" w:lineRule="auto"/>
        <w:rPr>
          <w:rtl/>
        </w:rPr>
      </w:pPr>
      <w:r w:rsidRPr="00BC3A6F">
        <w:rPr>
          <w:rFonts w:hint="cs"/>
          <w:b/>
          <w:bCs/>
          <w:rtl/>
        </w:rPr>
        <w:t>وقد يمكن ممارسة مقاربة اجتهادي</w:t>
      </w:r>
      <w:r w:rsidR="005B0751" w:rsidRPr="00BC3A6F">
        <w:rPr>
          <w:rFonts w:hint="cs"/>
          <w:b/>
          <w:bCs/>
          <w:rtl/>
        </w:rPr>
        <w:t>ّ</w:t>
      </w:r>
      <w:r w:rsidRPr="00BC3A6F">
        <w:rPr>
          <w:rFonts w:hint="cs"/>
          <w:b/>
          <w:bCs/>
          <w:rtl/>
        </w:rPr>
        <w:t>ة هنا على أساس أن</w:t>
      </w:r>
      <w:r w:rsidR="005B0751" w:rsidRPr="00BC3A6F">
        <w:rPr>
          <w:rFonts w:hint="cs"/>
          <w:b/>
          <w:bCs/>
          <w:rtl/>
        </w:rPr>
        <w:t>ّ</w:t>
      </w:r>
      <w:r w:rsidRPr="00BC3A6F">
        <w:rPr>
          <w:rFonts w:hint="cs"/>
          <w:b/>
          <w:bCs/>
          <w:rtl/>
        </w:rPr>
        <w:t xml:space="preserve"> الدفاع عن النفس لا يختصّ فقهي</w:t>
      </w:r>
      <w:r w:rsidR="005B0751" w:rsidRPr="00BC3A6F">
        <w:rPr>
          <w:rFonts w:hint="cs"/>
          <w:b/>
          <w:bCs/>
          <w:rtl/>
        </w:rPr>
        <w:t>ّ</w:t>
      </w:r>
      <w:r w:rsidRPr="00BC3A6F">
        <w:rPr>
          <w:rFonts w:hint="cs"/>
          <w:b/>
          <w:bCs/>
          <w:rtl/>
        </w:rPr>
        <w:t>اً بنفس الإنسان وشخصه، بل يشمل أمواله وعرضه، لا بل يمكن القول بشموله للدفاع عن استقلاله وحريّته وإرادته،</w:t>
      </w:r>
      <w:r w:rsidRPr="00822CE9">
        <w:rPr>
          <w:rFonts w:hint="cs"/>
          <w:rtl/>
        </w:rPr>
        <w:t xml:space="preserve"> فعندما تقمع النظم الحكومي</w:t>
      </w:r>
      <w:r w:rsidR="005B0751">
        <w:rPr>
          <w:rFonts w:hint="cs"/>
          <w:rtl/>
        </w:rPr>
        <w:t>ّ</w:t>
      </w:r>
      <w:r w:rsidRPr="00822CE9">
        <w:rPr>
          <w:rFonts w:hint="cs"/>
          <w:rtl/>
        </w:rPr>
        <w:t>ة الحركة</w:t>
      </w:r>
      <w:r w:rsidR="005B0751">
        <w:rPr>
          <w:rFonts w:hint="cs"/>
          <w:rtl/>
        </w:rPr>
        <w:t>َ</w:t>
      </w:r>
      <w:r w:rsidRPr="00822CE9">
        <w:rPr>
          <w:rFonts w:hint="cs"/>
          <w:rtl/>
        </w:rPr>
        <w:t xml:space="preserve"> الإسلامي</w:t>
      </w:r>
      <w:r w:rsidR="005B0751">
        <w:rPr>
          <w:rFonts w:hint="cs"/>
          <w:rtl/>
        </w:rPr>
        <w:t>ّ</w:t>
      </w:r>
      <w:r w:rsidRPr="00822CE9">
        <w:rPr>
          <w:rFonts w:hint="cs"/>
          <w:rtl/>
        </w:rPr>
        <w:t>ة وتلاحقها وتحول دون حر</w:t>
      </w:r>
      <w:r w:rsidR="005B0751">
        <w:rPr>
          <w:rFonts w:hint="cs"/>
          <w:rtl/>
        </w:rPr>
        <w:t>ّ</w:t>
      </w:r>
      <w:r w:rsidRPr="00822CE9">
        <w:rPr>
          <w:rFonts w:hint="cs"/>
          <w:rtl/>
        </w:rPr>
        <w:t>يتها وإرادتها واستقلالها</w:t>
      </w:r>
      <w:r w:rsidR="005B0751">
        <w:rPr>
          <w:rFonts w:hint="cs"/>
          <w:rtl/>
        </w:rPr>
        <w:t>،</w:t>
      </w:r>
      <w:r w:rsidRPr="00822CE9">
        <w:rPr>
          <w:rFonts w:hint="cs"/>
          <w:rtl/>
        </w:rPr>
        <w:t xml:space="preserve"> فإن</w:t>
      </w:r>
      <w:r w:rsidR="005B0751">
        <w:rPr>
          <w:rFonts w:hint="cs"/>
          <w:rtl/>
        </w:rPr>
        <w:t>ّ</w:t>
      </w:r>
      <w:r w:rsidRPr="00822CE9">
        <w:rPr>
          <w:rFonts w:hint="cs"/>
          <w:rtl/>
        </w:rPr>
        <w:t xml:space="preserve"> الدفاع عن النفس سيشمل هذه الحال بالتأكيد، فقد ورد في بعض النصوص أن</w:t>
      </w:r>
      <w:r w:rsidR="005B0751">
        <w:rPr>
          <w:rFonts w:hint="cs"/>
          <w:rtl/>
        </w:rPr>
        <w:t>ّ</w:t>
      </w:r>
      <w:r w:rsidRPr="00822CE9">
        <w:rPr>
          <w:rFonts w:hint="cs"/>
          <w:rtl/>
        </w:rPr>
        <w:t>ه من ق</w:t>
      </w:r>
      <w:r w:rsidR="005B0751">
        <w:rPr>
          <w:rFonts w:hint="cs"/>
          <w:rtl/>
        </w:rPr>
        <w:t>ُ</w:t>
      </w:r>
      <w:r w:rsidRPr="00822CE9">
        <w:rPr>
          <w:rFonts w:hint="cs"/>
          <w:rtl/>
        </w:rPr>
        <w:t>تل دون مظلمته فهو شهيد، يضاف إلى ذلك أن</w:t>
      </w:r>
      <w:r w:rsidR="005B0751">
        <w:rPr>
          <w:rFonts w:hint="cs"/>
          <w:rtl/>
        </w:rPr>
        <w:t>ّ</w:t>
      </w:r>
      <w:r w:rsidRPr="00822CE9">
        <w:rPr>
          <w:rFonts w:hint="cs"/>
          <w:rtl/>
        </w:rPr>
        <w:t xml:space="preserve"> عنوان النفس عندما يستوعب المال والأهل والجواري، فإن</w:t>
      </w:r>
      <w:r w:rsidR="005B0751">
        <w:rPr>
          <w:rFonts w:hint="cs"/>
          <w:rtl/>
        </w:rPr>
        <w:t>ّه يعني تخ</w:t>
      </w:r>
      <w:r w:rsidRPr="00822CE9">
        <w:rPr>
          <w:rFonts w:hint="cs"/>
          <w:rtl/>
        </w:rPr>
        <w:t>ط</w:t>
      </w:r>
      <w:r w:rsidR="005B0751">
        <w:rPr>
          <w:rFonts w:hint="cs"/>
          <w:rtl/>
        </w:rPr>
        <w:t>ّ</w:t>
      </w:r>
      <w:r w:rsidRPr="00822CE9">
        <w:rPr>
          <w:rFonts w:hint="cs"/>
          <w:rtl/>
        </w:rPr>
        <w:t>يه نطاق الفردي</w:t>
      </w:r>
      <w:r w:rsidR="005B0751">
        <w:rPr>
          <w:rFonts w:hint="cs"/>
          <w:rtl/>
        </w:rPr>
        <w:t>ّ</w:t>
      </w:r>
      <w:r w:rsidRPr="00822CE9">
        <w:rPr>
          <w:rFonts w:hint="cs"/>
          <w:rtl/>
        </w:rPr>
        <w:t>ة البحتة، فيصبح الدفاع عن العشيرة والقبيلة والجماعة داخلاً في الدفاع عن النفس حينئذ، فيمكن تعميم هذا الدفاع لحالة الدفاع عن الحركة الإسلامي</w:t>
      </w:r>
      <w:r w:rsidR="005B0751">
        <w:rPr>
          <w:rFonts w:hint="cs"/>
          <w:rtl/>
        </w:rPr>
        <w:t>ّ</w:t>
      </w:r>
      <w:r w:rsidRPr="00822CE9">
        <w:rPr>
          <w:rFonts w:hint="cs"/>
          <w:rtl/>
        </w:rPr>
        <w:t>ة</w:t>
      </w:r>
      <w:r w:rsidRPr="000A4159">
        <w:rPr>
          <w:rFonts w:cs="Taher"/>
          <w:vertAlign w:val="superscript"/>
          <w:rtl/>
        </w:rPr>
        <w:t>(</w:t>
      </w:r>
      <w:r w:rsidRPr="000A4159">
        <w:rPr>
          <w:rStyle w:val="FootnoteReference"/>
          <w:rFonts w:cs="Taher"/>
          <w:rtl/>
        </w:rPr>
        <w:footnoteReference w:id="305"/>
      </w:r>
      <w:r w:rsidRPr="000A4159">
        <w:rPr>
          <w:rFonts w:cs="Taher"/>
          <w:vertAlign w:val="superscript"/>
          <w:rtl/>
        </w:rPr>
        <w:t>)</w:t>
      </w:r>
      <w:r w:rsidRPr="00822CE9">
        <w:rPr>
          <w:rtl/>
        </w:rPr>
        <w:t>.</w:t>
      </w:r>
    </w:p>
    <w:p w14:paraId="1CF5D7BE" w14:textId="77777777" w:rsidR="000A4159" w:rsidRPr="005B0751" w:rsidRDefault="005B0751" w:rsidP="0096148C">
      <w:pPr>
        <w:pStyle w:val="Heading2"/>
        <w:rPr>
          <w:rtl/>
        </w:rPr>
      </w:pPr>
      <w:bookmarkStart w:id="180" w:name="_Toc143804170"/>
      <w:bookmarkStart w:id="181" w:name="_Toc238123295"/>
      <w:r>
        <w:rPr>
          <w:rFonts w:hint="cs"/>
          <w:rtl/>
        </w:rPr>
        <w:lastRenderedPageBreak/>
        <w:t xml:space="preserve">وقفة تحليلٍ وتأمّل مع رؤية </w:t>
      </w:r>
      <w:r w:rsidR="000A4159" w:rsidRPr="005B0751">
        <w:rPr>
          <w:rFonts w:hint="cs"/>
          <w:rtl/>
        </w:rPr>
        <w:t>العلامة شمس الدين</w:t>
      </w:r>
      <w:r>
        <w:rPr>
          <w:rFonts w:hint="cs"/>
          <w:rtl/>
        </w:rPr>
        <w:t xml:space="preserve"> للعنف المسلّح</w:t>
      </w:r>
      <w:bookmarkEnd w:id="180"/>
      <w:bookmarkEnd w:id="181"/>
    </w:p>
    <w:p w14:paraId="1E625211" w14:textId="77777777" w:rsidR="000A4159" w:rsidRPr="00822CE9" w:rsidRDefault="000A4159" w:rsidP="007F54FE">
      <w:pPr>
        <w:pStyle w:val="normal870"/>
        <w:rPr>
          <w:rtl/>
        </w:rPr>
      </w:pPr>
      <w:r w:rsidRPr="00822CE9">
        <w:rPr>
          <w:rFonts w:hint="cs"/>
          <w:rtl/>
        </w:rPr>
        <w:t>يذهب الشيخ محمد مهدي شمس الدين إلى نظري</w:t>
      </w:r>
      <w:r w:rsidR="005B0751">
        <w:rPr>
          <w:rFonts w:hint="cs"/>
          <w:rtl/>
        </w:rPr>
        <w:t>ّ</w:t>
      </w:r>
      <w:r w:rsidRPr="00822CE9">
        <w:rPr>
          <w:rFonts w:hint="cs"/>
          <w:rtl/>
        </w:rPr>
        <w:t>ة</w:t>
      </w:r>
      <w:r w:rsidR="005B0751">
        <w:rPr>
          <w:rFonts w:hint="cs"/>
          <w:rtl/>
        </w:rPr>
        <w:t>ٍ</w:t>
      </w:r>
      <w:r w:rsidRPr="00822CE9">
        <w:rPr>
          <w:rFonts w:hint="cs"/>
          <w:rtl/>
        </w:rPr>
        <w:t xml:space="preserve"> تفصّل في المسألة، وخلاص</w:t>
      </w:r>
      <w:r w:rsidR="005B0751">
        <w:rPr>
          <w:rFonts w:hint="cs"/>
          <w:rtl/>
        </w:rPr>
        <w:t>تها</w:t>
      </w:r>
      <w:r w:rsidRPr="00822CE9">
        <w:rPr>
          <w:rFonts w:hint="cs"/>
          <w:rtl/>
        </w:rPr>
        <w:t xml:space="preserve"> أن</w:t>
      </w:r>
      <w:r w:rsidR="005B0751">
        <w:rPr>
          <w:rFonts w:hint="cs"/>
          <w:rtl/>
        </w:rPr>
        <w:t>ّ</w:t>
      </w:r>
      <w:r w:rsidRPr="00822CE9">
        <w:rPr>
          <w:rFonts w:hint="cs"/>
          <w:rtl/>
        </w:rPr>
        <w:t xml:space="preserve"> ممارسة العنف ضدّ الحركة الإسلامي</w:t>
      </w:r>
      <w:r w:rsidR="005B0751">
        <w:rPr>
          <w:rFonts w:hint="cs"/>
          <w:rtl/>
        </w:rPr>
        <w:t>ّ</w:t>
      </w:r>
      <w:r w:rsidRPr="00822CE9">
        <w:rPr>
          <w:rFonts w:hint="cs"/>
          <w:rtl/>
        </w:rPr>
        <w:t>ة له أنحاء ثلاثة:</w:t>
      </w:r>
    </w:p>
    <w:p w14:paraId="3CF318F0" w14:textId="77777777" w:rsidR="000A4159" w:rsidRPr="00822CE9" w:rsidRDefault="000A4159" w:rsidP="007F54FE">
      <w:pPr>
        <w:pStyle w:val="normal84"/>
        <w:rPr>
          <w:rtl/>
        </w:rPr>
      </w:pPr>
      <w:r w:rsidRPr="005B0751">
        <w:rPr>
          <w:rFonts w:hint="cs"/>
          <w:b/>
          <w:bCs/>
          <w:rtl/>
        </w:rPr>
        <w:t>النحو الأو</w:t>
      </w:r>
      <w:r w:rsidR="005B0751">
        <w:rPr>
          <w:rFonts w:hint="cs"/>
          <w:b/>
          <w:bCs/>
          <w:rtl/>
        </w:rPr>
        <w:t>ّ</w:t>
      </w:r>
      <w:r w:rsidRPr="005B0751">
        <w:rPr>
          <w:rFonts w:hint="cs"/>
          <w:b/>
          <w:bCs/>
          <w:rtl/>
        </w:rPr>
        <w:t xml:space="preserve">ل: </w:t>
      </w:r>
      <w:r w:rsidRPr="00822CE9">
        <w:rPr>
          <w:rFonts w:hint="cs"/>
          <w:rtl/>
        </w:rPr>
        <w:t>أن يستعمل العنف ضدّ الحركة الإسلامي</w:t>
      </w:r>
      <w:r w:rsidR="005B0751">
        <w:rPr>
          <w:rFonts w:hint="cs"/>
          <w:rtl/>
        </w:rPr>
        <w:t>ّ</w:t>
      </w:r>
      <w:r w:rsidRPr="00822CE9">
        <w:rPr>
          <w:rFonts w:hint="cs"/>
          <w:rtl/>
        </w:rPr>
        <w:t>ة من دون أن يصدر منها أيّ عنف ضد خصومها ولا استفزاز، ويكون استعمال هذا العنف ضدّها لمجرّد أنها تدعو إلى تطبيق الشريعة سلمي</w:t>
      </w:r>
      <w:r w:rsidR="005B0751">
        <w:rPr>
          <w:rFonts w:hint="cs"/>
          <w:rtl/>
        </w:rPr>
        <w:t>ّ</w:t>
      </w:r>
      <w:r w:rsidRPr="00822CE9">
        <w:rPr>
          <w:rFonts w:hint="cs"/>
          <w:rtl/>
        </w:rPr>
        <w:t>اً. وقد قبل شمس الدين هنا للحركة الإسلامي</w:t>
      </w:r>
      <w:r w:rsidR="005B0751">
        <w:rPr>
          <w:rFonts w:hint="cs"/>
          <w:rtl/>
        </w:rPr>
        <w:t>ّ</w:t>
      </w:r>
      <w:r w:rsidRPr="00822CE9">
        <w:rPr>
          <w:rFonts w:hint="cs"/>
          <w:rtl/>
        </w:rPr>
        <w:t>ة أن تدافع عن نفسها بشروط</w:t>
      </w:r>
      <w:r w:rsidR="005B0751">
        <w:rPr>
          <w:rFonts w:hint="cs"/>
          <w:rtl/>
        </w:rPr>
        <w:t>ٍ</w:t>
      </w:r>
      <w:r w:rsidRPr="00822CE9">
        <w:rPr>
          <w:rFonts w:hint="cs"/>
          <w:rtl/>
        </w:rPr>
        <w:t xml:space="preserve"> </w:t>
      </w:r>
      <w:r w:rsidR="005B0751">
        <w:rPr>
          <w:rFonts w:hint="cs"/>
          <w:rtl/>
        </w:rPr>
        <w:t>س</w:t>
      </w:r>
      <w:r w:rsidRPr="00822CE9">
        <w:rPr>
          <w:rFonts w:hint="cs"/>
          <w:rtl/>
        </w:rPr>
        <w:t>تأتي.</w:t>
      </w:r>
    </w:p>
    <w:p w14:paraId="551082F5" w14:textId="77777777" w:rsidR="000A4159" w:rsidRPr="00822CE9" w:rsidRDefault="000A4159" w:rsidP="007F54FE">
      <w:pPr>
        <w:pStyle w:val="normal870"/>
        <w:rPr>
          <w:rtl/>
        </w:rPr>
      </w:pPr>
      <w:r w:rsidRPr="005B0751">
        <w:rPr>
          <w:rFonts w:hint="cs"/>
          <w:b/>
          <w:bCs/>
          <w:rtl/>
        </w:rPr>
        <w:t>النحو الثاني:</w:t>
      </w:r>
      <w:r w:rsidRPr="00822CE9">
        <w:rPr>
          <w:rFonts w:hint="cs"/>
          <w:rtl/>
        </w:rPr>
        <w:t xml:space="preserve"> أن يستعمل العنف ضدّ الحركة الإسلامي</w:t>
      </w:r>
      <w:r w:rsidR="005B0751">
        <w:rPr>
          <w:rFonts w:hint="cs"/>
          <w:rtl/>
        </w:rPr>
        <w:t>ّ</w:t>
      </w:r>
      <w:r w:rsidRPr="00822CE9">
        <w:rPr>
          <w:rFonts w:hint="cs"/>
          <w:rtl/>
        </w:rPr>
        <w:t>ة لأن</w:t>
      </w:r>
      <w:r w:rsidR="005B0751">
        <w:rPr>
          <w:rFonts w:hint="cs"/>
          <w:rtl/>
        </w:rPr>
        <w:t>ّها تتبع في العمل السياسي أ</w:t>
      </w:r>
      <w:r w:rsidRPr="00822CE9">
        <w:rPr>
          <w:rFonts w:hint="cs"/>
          <w:rtl/>
        </w:rPr>
        <w:t>و التنظيمي أسلوباً يستفزّ الخصم، ويدفعه لممارسة العنف ضدّها.</w:t>
      </w:r>
    </w:p>
    <w:p w14:paraId="757CCDB0" w14:textId="77777777" w:rsidR="000A4159" w:rsidRPr="00822CE9" w:rsidRDefault="000A4159" w:rsidP="00A079D6">
      <w:pPr>
        <w:spacing w:line="214" w:lineRule="auto"/>
        <w:rPr>
          <w:rtl/>
        </w:rPr>
      </w:pPr>
      <w:r w:rsidRPr="00822CE9">
        <w:rPr>
          <w:rFonts w:hint="cs"/>
          <w:rtl/>
        </w:rPr>
        <w:t>وقد ذهب شمس الدين هنا إلى حقّ الحركة الإسلامي</w:t>
      </w:r>
      <w:r w:rsidR="005B0751">
        <w:rPr>
          <w:rFonts w:hint="cs"/>
          <w:rtl/>
        </w:rPr>
        <w:t>ّ</w:t>
      </w:r>
      <w:r w:rsidRPr="00822CE9">
        <w:rPr>
          <w:rFonts w:hint="cs"/>
          <w:rtl/>
        </w:rPr>
        <w:t>ة في الدفاع عن نفسها لمواجهة العنف، ضمن قيود.</w:t>
      </w:r>
    </w:p>
    <w:p w14:paraId="4FEBCD3A" w14:textId="77777777" w:rsidR="000A4159" w:rsidRPr="00822CE9" w:rsidRDefault="000A4159" w:rsidP="005B0751">
      <w:pPr>
        <w:spacing w:line="214" w:lineRule="auto"/>
        <w:rPr>
          <w:rtl/>
        </w:rPr>
      </w:pPr>
      <w:r w:rsidRPr="005B0751">
        <w:rPr>
          <w:rFonts w:hint="cs"/>
          <w:b/>
          <w:bCs/>
          <w:rtl/>
        </w:rPr>
        <w:t>النحو الثالث:</w:t>
      </w:r>
      <w:r w:rsidRPr="00822CE9">
        <w:rPr>
          <w:rFonts w:hint="cs"/>
          <w:rtl/>
        </w:rPr>
        <w:t xml:space="preserve"> أن تستعمل الحركة الإسلامي</w:t>
      </w:r>
      <w:r w:rsidR="005B0751">
        <w:rPr>
          <w:rFonts w:hint="cs"/>
          <w:rtl/>
        </w:rPr>
        <w:t>ّ</w:t>
      </w:r>
      <w:r w:rsidRPr="00822CE9">
        <w:rPr>
          <w:rFonts w:hint="cs"/>
          <w:rtl/>
        </w:rPr>
        <w:t>ة أسلوب العنف المسلّح في البداية، فتردّ الحكومات بالعنف المسلّح وبالقمع، فتقوم الحركة الإسلامي</w:t>
      </w:r>
      <w:r w:rsidR="005B0751">
        <w:rPr>
          <w:rFonts w:hint="cs"/>
          <w:rtl/>
        </w:rPr>
        <w:t>ّ</w:t>
      </w:r>
      <w:r w:rsidRPr="00822CE9">
        <w:rPr>
          <w:rFonts w:hint="cs"/>
          <w:rtl/>
        </w:rPr>
        <w:t>ة بالدفاع عن نفسها</w:t>
      </w:r>
      <w:r w:rsidR="005B0751">
        <w:rPr>
          <w:rFonts w:hint="cs"/>
          <w:rtl/>
        </w:rPr>
        <w:t>،</w:t>
      </w:r>
      <w:r w:rsidRPr="00822CE9">
        <w:rPr>
          <w:rFonts w:hint="cs"/>
          <w:rtl/>
        </w:rPr>
        <w:t xml:space="preserve"> فتمارس العنف المسلّح ضدّ النظام. وقد حكم الشيخ شمس الدين هنا بعدم شرعي</w:t>
      </w:r>
      <w:r w:rsidR="005B0751">
        <w:rPr>
          <w:rFonts w:hint="cs"/>
          <w:rtl/>
        </w:rPr>
        <w:t>ّ</w:t>
      </w:r>
      <w:r w:rsidRPr="00822CE9">
        <w:rPr>
          <w:rFonts w:hint="cs"/>
          <w:rtl/>
        </w:rPr>
        <w:t>ة العنف المسلّح الأو</w:t>
      </w:r>
      <w:r w:rsidR="005B0751">
        <w:rPr>
          <w:rFonts w:hint="cs"/>
          <w:rtl/>
        </w:rPr>
        <w:t>ّ</w:t>
      </w:r>
      <w:r w:rsidRPr="00822CE9">
        <w:rPr>
          <w:rFonts w:hint="cs"/>
          <w:rtl/>
        </w:rPr>
        <w:t>ل في هذا النحو الثالث، أي العنف السابق على عنف السلطة</w:t>
      </w:r>
      <w:r w:rsidR="005B0751">
        <w:rPr>
          <w:rFonts w:hint="cs"/>
          <w:rtl/>
        </w:rPr>
        <w:t>،</w:t>
      </w:r>
      <w:r w:rsidRPr="00822CE9">
        <w:rPr>
          <w:rFonts w:hint="cs"/>
          <w:rtl/>
        </w:rPr>
        <w:t xml:space="preserve"> وأجاز العنف اللاحق له</w:t>
      </w:r>
      <w:r w:rsidRPr="000A4159">
        <w:rPr>
          <w:rFonts w:cs="Taher"/>
          <w:vertAlign w:val="superscript"/>
          <w:rtl/>
        </w:rPr>
        <w:t>(</w:t>
      </w:r>
      <w:r w:rsidRPr="000A4159">
        <w:rPr>
          <w:rStyle w:val="FootnoteReference"/>
          <w:rFonts w:cs="Taher"/>
          <w:rtl/>
        </w:rPr>
        <w:footnoteReference w:id="306"/>
      </w:r>
      <w:r w:rsidRPr="000A4159">
        <w:rPr>
          <w:rFonts w:cs="Taher"/>
          <w:vertAlign w:val="superscript"/>
          <w:rtl/>
        </w:rPr>
        <w:t>)</w:t>
      </w:r>
      <w:r w:rsidRPr="00822CE9">
        <w:rPr>
          <w:rtl/>
        </w:rPr>
        <w:t>.</w:t>
      </w:r>
    </w:p>
    <w:p w14:paraId="242D0051" w14:textId="77777777" w:rsidR="000A4159" w:rsidRPr="00822CE9" w:rsidRDefault="000A4159" w:rsidP="005B0751">
      <w:pPr>
        <w:spacing w:line="214" w:lineRule="auto"/>
        <w:rPr>
          <w:rtl/>
        </w:rPr>
      </w:pPr>
      <w:r w:rsidRPr="00822CE9">
        <w:rPr>
          <w:rFonts w:hint="cs"/>
          <w:rtl/>
        </w:rPr>
        <w:t>وفي كل</w:t>
      </w:r>
      <w:r w:rsidR="005B0751">
        <w:rPr>
          <w:rFonts w:hint="cs"/>
          <w:rtl/>
        </w:rPr>
        <w:t>ّ</w:t>
      </w:r>
      <w:r w:rsidRPr="00822CE9">
        <w:rPr>
          <w:rFonts w:hint="cs"/>
          <w:rtl/>
        </w:rPr>
        <w:t xml:space="preserve"> نحو</w:t>
      </w:r>
      <w:r w:rsidR="005B0751">
        <w:rPr>
          <w:rFonts w:hint="cs"/>
          <w:rtl/>
        </w:rPr>
        <w:t>ٍ</w:t>
      </w:r>
      <w:r w:rsidRPr="00822CE9">
        <w:rPr>
          <w:rFonts w:hint="cs"/>
          <w:rtl/>
        </w:rPr>
        <w:t xml:space="preserve"> من الأنحاء</w:t>
      </w:r>
      <w:r w:rsidR="005B0751">
        <w:rPr>
          <w:rFonts w:hint="cs"/>
          <w:rtl/>
        </w:rPr>
        <w:t xml:space="preserve"> الثلاثة،</w:t>
      </w:r>
      <w:r w:rsidRPr="00822CE9">
        <w:rPr>
          <w:rFonts w:hint="cs"/>
          <w:rtl/>
        </w:rPr>
        <w:t xml:space="preserve"> حاول ش</w:t>
      </w:r>
      <w:r w:rsidR="005B0751">
        <w:rPr>
          <w:rFonts w:hint="cs"/>
          <w:rtl/>
        </w:rPr>
        <w:t>مس الدين</w:t>
      </w:r>
      <w:r w:rsidRPr="00822CE9">
        <w:rPr>
          <w:rFonts w:hint="cs"/>
          <w:rtl/>
        </w:rPr>
        <w:t xml:space="preserve"> ذكر أدلّته</w:t>
      </w:r>
      <w:r w:rsidR="005B0751">
        <w:rPr>
          <w:rFonts w:hint="cs"/>
          <w:rtl/>
        </w:rPr>
        <w:t>،</w:t>
      </w:r>
      <w:r w:rsidRPr="00822CE9">
        <w:rPr>
          <w:rFonts w:hint="cs"/>
          <w:rtl/>
        </w:rPr>
        <w:t xml:space="preserve"> ونحن نل</w:t>
      </w:r>
      <w:r w:rsidR="005B0751">
        <w:rPr>
          <w:rFonts w:hint="cs"/>
          <w:rtl/>
        </w:rPr>
        <w:t>ا</w:t>
      </w:r>
      <w:r w:rsidRPr="00822CE9">
        <w:rPr>
          <w:rFonts w:hint="cs"/>
          <w:rtl/>
        </w:rPr>
        <w:t>حق مقولاته للنظر فيها.</w:t>
      </w:r>
    </w:p>
    <w:p w14:paraId="6D71D986" w14:textId="77777777" w:rsidR="000A4159" w:rsidRPr="005B0751" w:rsidRDefault="005B0751" w:rsidP="0096148C">
      <w:pPr>
        <w:pStyle w:val="Heading3"/>
        <w:rPr>
          <w:rtl/>
        </w:rPr>
      </w:pPr>
      <w:bookmarkStart w:id="182" w:name="_Toc143804171"/>
      <w:bookmarkStart w:id="183" w:name="_Toc238123296"/>
      <w:r>
        <w:rPr>
          <w:rFonts w:hint="cs"/>
          <w:rtl/>
        </w:rPr>
        <w:t xml:space="preserve">أ ـ </w:t>
      </w:r>
      <w:r w:rsidR="000A4159" w:rsidRPr="005B0751">
        <w:rPr>
          <w:rFonts w:hint="cs"/>
          <w:rtl/>
        </w:rPr>
        <w:t>العنف الدفاعي المحض</w:t>
      </w:r>
      <w:bookmarkEnd w:id="182"/>
      <w:bookmarkEnd w:id="183"/>
    </w:p>
    <w:p w14:paraId="43B2C910" w14:textId="77777777" w:rsidR="000A4159" w:rsidRPr="00822CE9" w:rsidRDefault="005B0751" w:rsidP="005B0751">
      <w:pPr>
        <w:spacing w:line="214" w:lineRule="auto"/>
        <w:rPr>
          <w:rtl/>
        </w:rPr>
      </w:pPr>
      <w:r>
        <w:rPr>
          <w:rFonts w:hint="cs"/>
          <w:rtl/>
        </w:rPr>
        <w:t>قد يقال: إ</w:t>
      </w:r>
      <w:r w:rsidR="000A4159" w:rsidRPr="00822CE9">
        <w:rPr>
          <w:rFonts w:hint="cs"/>
          <w:rtl/>
        </w:rPr>
        <w:t>ن</w:t>
      </w:r>
      <w:r>
        <w:rPr>
          <w:rFonts w:hint="cs"/>
          <w:rtl/>
        </w:rPr>
        <w:t>ّ</w:t>
      </w:r>
      <w:r w:rsidR="000A4159" w:rsidRPr="00822CE9">
        <w:rPr>
          <w:rFonts w:hint="cs"/>
          <w:rtl/>
        </w:rPr>
        <w:t>ه لا يجوز للحركة الإسلامي</w:t>
      </w:r>
      <w:r>
        <w:rPr>
          <w:rFonts w:hint="cs"/>
          <w:rtl/>
        </w:rPr>
        <w:t>ّ</w:t>
      </w:r>
      <w:r w:rsidR="000A4159" w:rsidRPr="00822CE9">
        <w:rPr>
          <w:rFonts w:hint="cs"/>
          <w:rtl/>
        </w:rPr>
        <w:t>ة أن تدافع عن نفسها حتى في الحالة الأولى، وهي حالة الاعتداء عليها دون سابق عنف</w:t>
      </w:r>
      <w:r>
        <w:rPr>
          <w:rFonts w:hint="cs"/>
          <w:rtl/>
        </w:rPr>
        <w:t>ٍ</w:t>
      </w:r>
      <w:r w:rsidR="000A4159" w:rsidRPr="00822CE9">
        <w:rPr>
          <w:rFonts w:hint="cs"/>
          <w:rtl/>
        </w:rPr>
        <w:t xml:space="preserve"> منها ولا استفزاز، بل المطلوب منها ترك هذا الأمر انطلاقاً من الاحتياط الشديد في مسألة الدماء، حتى قال القرآن </w:t>
      </w:r>
      <w:r>
        <w:rPr>
          <w:rFonts w:hint="cs"/>
          <w:rtl/>
        </w:rPr>
        <w:t xml:space="preserve">ـ </w:t>
      </w:r>
      <w:r w:rsidR="000A4159" w:rsidRPr="00822CE9">
        <w:rPr>
          <w:rFonts w:hint="cs"/>
          <w:rtl/>
        </w:rPr>
        <w:t>في إشارة</w:t>
      </w:r>
      <w:r>
        <w:rPr>
          <w:rFonts w:hint="cs"/>
          <w:rtl/>
        </w:rPr>
        <w:t>ٍ</w:t>
      </w:r>
      <w:r w:rsidR="000A4159" w:rsidRPr="00822CE9">
        <w:rPr>
          <w:rFonts w:hint="cs"/>
          <w:rtl/>
        </w:rPr>
        <w:t xml:space="preserve"> رمزي</w:t>
      </w:r>
      <w:r>
        <w:rPr>
          <w:rFonts w:hint="cs"/>
          <w:rtl/>
        </w:rPr>
        <w:t>ّ</w:t>
      </w:r>
      <w:r w:rsidR="000A4159" w:rsidRPr="00822CE9">
        <w:rPr>
          <w:rFonts w:hint="cs"/>
          <w:rtl/>
        </w:rPr>
        <w:t>ة دالّة</w:t>
      </w:r>
      <w:r>
        <w:rPr>
          <w:rFonts w:hint="cs"/>
          <w:rtl/>
        </w:rPr>
        <w:t xml:space="preserve"> ـ</w:t>
      </w:r>
      <w:r w:rsidR="000A4159" w:rsidRPr="00822CE9">
        <w:rPr>
          <w:rFonts w:hint="cs"/>
          <w:rtl/>
        </w:rPr>
        <w:t xml:space="preserve">: </w:t>
      </w:r>
      <w:r w:rsidR="000A4159" w:rsidRPr="00822CE9">
        <w:rPr>
          <w:rtl/>
        </w:rPr>
        <w:t>﴿</w:t>
      </w:r>
      <w:r w:rsidR="000A4159" w:rsidRPr="005B0751">
        <w:rPr>
          <w:rFonts w:hint="cs"/>
          <w:b/>
          <w:bCs/>
          <w:rtl/>
        </w:rPr>
        <w:t xml:space="preserve">لَئِنْ بَسَطْتَ إِلَيَّ </w:t>
      </w:r>
      <w:r w:rsidR="000A4159" w:rsidRPr="005B0751">
        <w:rPr>
          <w:rFonts w:hint="cs"/>
          <w:b/>
          <w:bCs/>
          <w:rtl/>
        </w:rPr>
        <w:lastRenderedPageBreak/>
        <w:t>يَدَكَ لِتَقْتُلَنِي مَا أَنَا بِبَاسِطٍ يَدِيَ إِلَيْكَ لأَقْتُلَكَ..</w:t>
      </w:r>
      <w:r w:rsidR="000A4159" w:rsidRPr="00822CE9">
        <w:rPr>
          <w:rtl/>
        </w:rPr>
        <w:t>﴾</w:t>
      </w:r>
      <w:r w:rsidR="000A4159" w:rsidRPr="00822CE9">
        <w:rPr>
          <w:rFonts w:hint="cs"/>
          <w:rtl/>
        </w:rPr>
        <w:t xml:space="preserve"> (المائدة: 28)، فالمفترض في هذه الحال حقناً لدماء المسلمين حلّ الحركة الإسلامي</w:t>
      </w:r>
      <w:r>
        <w:rPr>
          <w:rFonts w:hint="cs"/>
          <w:rtl/>
        </w:rPr>
        <w:t>ّ</w:t>
      </w:r>
      <w:r w:rsidR="000A4159" w:rsidRPr="00822CE9">
        <w:rPr>
          <w:rFonts w:hint="cs"/>
          <w:rtl/>
        </w:rPr>
        <w:t>ة، ويسقط التكليف بالعمل السياسي الإسلامي، بل يقال: إن</w:t>
      </w:r>
      <w:r>
        <w:rPr>
          <w:rFonts w:hint="cs"/>
          <w:rtl/>
        </w:rPr>
        <w:t>ّ</w:t>
      </w:r>
      <w:r w:rsidR="000A4159" w:rsidRPr="00822CE9">
        <w:rPr>
          <w:rFonts w:hint="cs"/>
          <w:rtl/>
        </w:rPr>
        <w:t>ه في مثل هذه الحال يجب ممارسة التقي</w:t>
      </w:r>
      <w:r>
        <w:rPr>
          <w:rFonts w:hint="cs"/>
          <w:rtl/>
        </w:rPr>
        <w:t>ّ</w:t>
      </w:r>
      <w:r w:rsidR="000A4159" w:rsidRPr="00822CE9">
        <w:rPr>
          <w:rFonts w:hint="cs"/>
          <w:rtl/>
        </w:rPr>
        <w:t>ة والعمل الشبيه بمرحلة الدعوة الأولى في حياة النبي</w:t>
      </w:r>
      <w:r>
        <w:rPr>
          <w:rFonts w:hint="cs"/>
          <w:rtl/>
        </w:rPr>
        <w:t>ّ‘</w:t>
      </w:r>
      <w:r w:rsidR="000A4159" w:rsidRPr="00822CE9">
        <w:rPr>
          <w:rFonts w:hint="cs"/>
          <w:rtl/>
        </w:rPr>
        <w:t xml:space="preserve">، وسيرة </w:t>
      </w:r>
      <w:r w:rsidR="009A1626" w:rsidRPr="00822CE9">
        <w:rPr>
          <w:rFonts w:hint="cs"/>
          <w:rtl/>
        </w:rPr>
        <w:t>أهل البيت</w:t>
      </w:r>
      <w:r>
        <w:rPr>
          <w:rFonts w:hint="cs"/>
          <w:rtl/>
        </w:rPr>
        <w:t xml:space="preserve"> </w:t>
      </w:r>
      <w:r w:rsidR="009A1626" w:rsidRPr="00822CE9">
        <w:rPr>
          <w:rFonts w:hint="cs"/>
          <w:rtl/>
        </w:rPr>
        <w:t>عليهم السلام</w:t>
      </w:r>
      <w:r w:rsidR="000A4159" w:rsidRPr="00822CE9">
        <w:rPr>
          <w:rFonts w:hint="cs"/>
          <w:rtl/>
        </w:rPr>
        <w:t xml:space="preserve"> بعد الحسين</w:t>
      </w:r>
      <w:r w:rsidR="009A1626" w:rsidRPr="00822CE9">
        <w:rPr>
          <w:rFonts w:hint="cs"/>
          <w:rtl/>
        </w:rPr>
        <w:t>×</w:t>
      </w:r>
      <w:r w:rsidR="000A4159" w:rsidRPr="00822CE9">
        <w:rPr>
          <w:rFonts w:hint="cs"/>
          <w:rtl/>
        </w:rPr>
        <w:t>، وقد وجدناهم ينهون عن الإعلان والإشاعة، للاقتصار على المرحلة السري</w:t>
      </w:r>
      <w:r>
        <w:rPr>
          <w:rFonts w:hint="cs"/>
          <w:rtl/>
        </w:rPr>
        <w:t>ّ</w:t>
      </w:r>
      <w:r w:rsidR="000A4159" w:rsidRPr="00822CE9">
        <w:rPr>
          <w:rFonts w:hint="cs"/>
          <w:rtl/>
        </w:rPr>
        <w:t>ة، وبذلك لا يجوز للحركة الإسلامي</w:t>
      </w:r>
      <w:r>
        <w:rPr>
          <w:rFonts w:hint="cs"/>
          <w:rtl/>
        </w:rPr>
        <w:t>ّ</w:t>
      </w:r>
      <w:r w:rsidR="000A4159" w:rsidRPr="00822CE9">
        <w:rPr>
          <w:rFonts w:hint="cs"/>
          <w:rtl/>
        </w:rPr>
        <w:t>ة الاستمرار في العمل السياسي</w:t>
      </w:r>
      <w:r>
        <w:rPr>
          <w:rFonts w:hint="cs"/>
          <w:rtl/>
        </w:rPr>
        <w:t>؛</w:t>
      </w:r>
      <w:r w:rsidR="000A4159" w:rsidRPr="00822CE9">
        <w:rPr>
          <w:rFonts w:hint="cs"/>
          <w:rtl/>
        </w:rPr>
        <w:t xml:space="preserve"> حقناً لدماء المسلمين</w:t>
      </w:r>
      <w:r w:rsidR="000A4159" w:rsidRPr="000A4159">
        <w:rPr>
          <w:rFonts w:cs="Taher"/>
          <w:vertAlign w:val="superscript"/>
          <w:rtl/>
        </w:rPr>
        <w:t>(</w:t>
      </w:r>
      <w:r w:rsidR="000A4159" w:rsidRPr="000A4159">
        <w:rPr>
          <w:rStyle w:val="FootnoteReference"/>
          <w:rFonts w:cs="Taher"/>
          <w:rtl/>
        </w:rPr>
        <w:footnoteReference w:id="307"/>
      </w:r>
      <w:r w:rsidR="000A4159" w:rsidRPr="000A4159">
        <w:rPr>
          <w:rFonts w:cs="Taher"/>
          <w:vertAlign w:val="superscript"/>
          <w:rtl/>
        </w:rPr>
        <w:t>)</w:t>
      </w:r>
      <w:r w:rsidR="000A4159" w:rsidRPr="00822CE9">
        <w:rPr>
          <w:rtl/>
        </w:rPr>
        <w:t>.</w:t>
      </w:r>
    </w:p>
    <w:p w14:paraId="3CD84D7E" w14:textId="77777777" w:rsidR="000A4159" w:rsidRPr="005B0751" w:rsidRDefault="000A4159" w:rsidP="005B0751">
      <w:pPr>
        <w:spacing w:line="214" w:lineRule="auto"/>
        <w:rPr>
          <w:b/>
          <w:bCs/>
          <w:rtl/>
        </w:rPr>
      </w:pPr>
      <w:r w:rsidRPr="005B0751">
        <w:rPr>
          <w:rFonts w:hint="cs"/>
          <w:b/>
          <w:bCs/>
          <w:rtl/>
        </w:rPr>
        <w:t>وهذا الكلام ي</w:t>
      </w:r>
      <w:r w:rsidR="005B0751">
        <w:rPr>
          <w:rFonts w:hint="cs"/>
          <w:b/>
          <w:bCs/>
          <w:rtl/>
        </w:rPr>
        <w:t>ُلاحظ عليه</w:t>
      </w:r>
      <w:r w:rsidRPr="005B0751">
        <w:rPr>
          <w:rFonts w:hint="cs"/>
          <w:b/>
          <w:bCs/>
          <w:rtl/>
        </w:rPr>
        <w:t>:</w:t>
      </w:r>
    </w:p>
    <w:p w14:paraId="5121BD14" w14:textId="77777777" w:rsidR="000A4159" w:rsidRPr="00822CE9" w:rsidRDefault="000A4159" w:rsidP="00BC3A6F">
      <w:pPr>
        <w:spacing w:line="214" w:lineRule="auto"/>
        <w:rPr>
          <w:rtl/>
        </w:rPr>
      </w:pPr>
      <w:r w:rsidRPr="005B0751">
        <w:rPr>
          <w:rFonts w:hint="cs"/>
          <w:b/>
          <w:bCs/>
          <w:rtl/>
        </w:rPr>
        <w:t>أو</w:t>
      </w:r>
      <w:r w:rsidR="005B0751">
        <w:rPr>
          <w:rFonts w:hint="cs"/>
          <w:b/>
          <w:bCs/>
          <w:rtl/>
        </w:rPr>
        <w:t>ّ</w:t>
      </w:r>
      <w:r w:rsidRPr="005B0751">
        <w:rPr>
          <w:rFonts w:hint="cs"/>
          <w:b/>
          <w:bCs/>
          <w:rtl/>
        </w:rPr>
        <w:t>لاً:</w:t>
      </w:r>
      <w:r w:rsidRPr="00822CE9">
        <w:rPr>
          <w:rFonts w:hint="cs"/>
          <w:rtl/>
        </w:rPr>
        <w:t xml:space="preserve"> ما ذكره شمس الدين </w:t>
      </w:r>
      <w:r w:rsidR="005B0751">
        <w:rPr>
          <w:rFonts w:hint="cs"/>
          <w:rtl/>
        </w:rPr>
        <w:t xml:space="preserve">نفسه، </w:t>
      </w:r>
      <w:r w:rsidRPr="00822CE9">
        <w:rPr>
          <w:rFonts w:hint="cs"/>
          <w:rtl/>
        </w:rPr>
        <w:t>من أن صدّ عدوان المعتدي والدفاع عن النفس</w:t>
      </w:r>
      <w:r w:rsidR="005B0751">
        <w:rPr>
          <w:rFonts w:hint="cs"/>
          <w:rtl/>
        </w:rPr>
        <w:t>/</w:t>
      </w:r>
      <w:r w:rsidRPr="00822CE9">
        <w:rPr>
          <w:rFonts w:hint="cs"/>
          <w:rtl/>
        </w:rPr>
        <w:t>الذات من بديهي</w:t>
      </w:r>
      <w:r w:rsidR="005B0751">
        <w:rPr>
          <w:rFonts w:hint="cs"/>
          <w:rtl/>
        </w:rPr>
        <w:t>ّ</w:t>
      </w:r>
      <w:r w:rsidRPr="00822CE9">
        <w:rPr>
          <w:rFonts w:hint="cs"/>
          <w:rtl/>
        </w:rPr>
        <w:t>ات الشريعة الإسلامي</w:t>
      </w:r>
      <w:r w:rsidR="005B0751">
        <w:rPr>
          <w:rFonts w:hint="cs"/>
          <w:rtl/>
        </w:rPr>
        <w:t>ّ</w:t>
      </w:r>
      <w:r w:rsidRPr="00822CE9">
        <w:rPr>
          <w:rFonts w:hint="cs"/>
          <w:rtl/>
        </w:rPr>
        <w:t xml:space="preserve">ة </w:t>
      </w:r>
      <w:r w:rsidR="005B0751">
        <w:rPr>
          <w:rFonts w:hint="cs"/>
          <w:rtl/>
        </w:rPr>
        <w:t xml:space="preserve">التي </w:t>
      </w:r>
      <w:r w:rsidRPr="00822CE9">
        <w:rPr>
          <w:rFonts w:hint="cs"/>
          <w:rtl/>
        </w:rPr>
        <w:t>ورد في</w:t>
      </w:r>
      <w:r w:rsidR="005B0751">
        <w:rPr>
          <w:rFonts w:hint="cs"/>
          <w:rtl/>
        </w:rPr>
        <w:t>ها الكتاب والسنّة، أ</w:t>
      </w:r>
      <w:r w:rsidRPr="00822CE9">
        <w:rPr>
          <w:rFonts w:hint="cs"/>
          <w:rtl/>
        </w:rPr>
        <w:t>م</w:t>
      </w:r>
      <w:r w:rsidR="005B0751">
        <w:rPr>
          <w:rFonts w:hint="cs"/>
          <w:rtl/>
        </w:rPr>
        <w:t>ّ</w:t>
      </w:r>
      <w:r w:rsidRPr="00822CE9">
        <w:rPr>
          <w:rFonts w:hint="cs"/>
          <w:rtl/>
        </w:rPr>
        <w:t>ا تعميم هذا الدفاع للدفاع عن الجماعة التي تمثل هوي</w:t>
      </w:r>
      <w:r w:rsidR="005B0751">
        <w:rPr>
          <w:rFonts w:hint="cs"/>
          <w:rtl/>
        </w:rPr>
        <w:t>ّ</w:t>
      </w:r>
      <w:r w:rsidRPr="00822CE9">
        <w:rPr>
          <w:rFonts w:hint="cs"/>
          <w:rtl/>
        </w:rPr>
        <w:t>ة الإنسان الاجتماعي</w:t>
      </w:r>
      <w:r w:rsidR="005B0751">
        <w:rPr>
          <w:rFonts w:hint="cs"/>
          <w:rtl/>
        </w:rPr>
        <w:t>ّ</w:t>
      </w:r>
      <w:r w:rsidRPr="00822CE9">
        <w:rPr>
          <w:rFonts w:hint="cs"/>
          <w:rtl/>
        </w:rPr>
        <w:t>ة والثق</w:t>
      </w:r>
      <w:r w:rsidR="005B0751">
        <w:rPr>
          <w:rFonts w:hint="cs"/>
          <w:rtl/>
        </w:rPr>
        <w:t>ا</w:t>
      </w:r>
      <w:r w:rsidRPr="00822CE9">
        <w:rPr>
          <w:rFonts w:hint="cs"/>
          <w:rtl/>
        </w:rPr>
        <w:t>في</w:t>
      </w:r>
      <w:r w:rsidR="005B0751">
        <w:rPr>
          <w:rFonts w:hint="cs"/>
          <w:rtl/>
        </w:rPr>
        <w:t>ّ</w:t>
      </w:r>
      <w:r w:rsidRPr="00822CE9">
        <w:rPr>
          <w:rFonts w:hint="cs"/>
          <w:rtl/>
        </w:rPr>
        <w:t xml:space="preserve">ة فدليله مثل رواية </w:t>
      </w:r>
      <w:r w:rsidR="005B0751">
        <w:rPr>
          <w:rFonts w:hint="eastAsia"/>
          <w:rtl/>
        </w:rPr>
        <w:t>«</w:t>
      </w:r>
      <w:r w:rsidRPr="00822CE9">
        <w:rPr>
          <w:rFonts w:hint="cs"/>
          <w:rtl/>
        </w:rPr>
        <w:t>من قتل دون مظلمته فهو شهيد</w:t>
      </w:r>
      <w:r w:rsidR="005B0751">
        <w:rPr>
          <w:rFonts w:hint="eastAsia"/>
          <w:rtl/>
        </w:rPr>
        <w:t>»</w:t>
      </w:r>
      <w:r w:rsidRPr="00822CE9">
        <w:rPr>
          <w:rFonts w:hint="cs"/>
          <w:rtl/>
        </w:rPr>
        <w:t>، ي</w:t>
      </w:r>
      <w:r w:rsidR="005B0751">
        <w:rPr>
          <w:rFonts w:hint="cs"/>
          <w:rtl/>
        </w:rPr>
        <w:t>ُ</w:t>
      </w:r>
      <w:r w:rsidRPr="00822CE9">
        <w:rPr>
          <w:rFonts w:hint="cs"/>
          <w:rtl/>
        </w:rPr>
        <w:t>ضاف إلى ذلك أن</w:t>
      </w:r>
      <w:r w:rsidR="005B0751">
        <w:rPr>
          <w:rFonts w:hint="cs"/>
          <w:rtl/>
        </w:rPr>
        <w:t>ّ</w:t>
      </w:r>
      <w:r w:rsidRPr="00822CE9">
        <w:rPr>
          <w:rFonts w:hint="cs"/>
          <w:rtl/>
        </w:rPr>
        <w:t xml:space="preserve"> الآية التي تأذن بالقتال تنطبق على الواقع الذي نتحدّث عنه هنا، قال تعالى: </w:t>
      </w:r>
      <w:bookmarkStart w:id="184" w:name="22-39"/>
      <w:r w:rsidRPr="00822CE9">
        <w:rPr>
          <w:rtl/>
        </w:rPr>
        <w:t>﴿</w:t>
      </w:r>
      <w:r w:rsidRPr="005B0751">
        <w:rPr>
          <w:rFonts w:hint="cs"/>
          <w:b/>
          <w:bCs/>
          <w:rtl/>
        </w:rPr>
        <w:t>أُذِنَ</w:t>
      </w:r>
      <w:bookmarkEnd w:id="184"/>
      <w:r w:rsidRPr="005B0751">
        <w:rPr>
          <w:rFonts w:hint="cs"/>
          <w:b/>
          <w:bCs/>
          <w:rtl/>
        </w:rPr>
        <w:t xml:space="preserve"> لِلَّذِينَ يُقَاتَلُونَ بِأَنَّهُمْ ظُلِمُوا وَإِنَّ اللَّهَ عَلَى نَصْرِهِمْ لَقَدِيرٌ* الَّذِينَ أُخْرِجُوا مِنْ دِيَارِهِمْ بِغَيْرِ حَقٍّ إِلاَّ أَنْ يَقُولُوا رَبُّنَا </w:t>
      </w:r>
      <w:r w:rsidR="005B0751">
        <w:rPr>
          <w:rFonts w:hint="cs"/>
          <w:b/>
          <w:bCs/>
          <w:rtl/>
        </w:rPr>
        <w:t>الله</w:t>
      </w:r>
      <w:r w:rsidRPr="005B0751">
        <w:rPr>
          <w:rFonts w:hint="cs"/>
          <w:b/>
          <w:bCs/>
          <w:rtl/>
        </w:rPr>
        <w:t>ُ..</w:t>
      </w:r>
      <w:r w:rsidRPr="00822CE9">
        <w:rPr>
          <w:rtl/>
        </w:rPr>
        <w:t>﴾</w:t>
      </w:r>
      <w:r w:rsidRPr="00822CE9">
        <w:rPr>
          <w:rFonts w:hint="cs"/>
          <w:rtl/>
        </w:rPr>
        <w:t xml:space="preserve"> (الحج: 39 ـ 40). فالدفاع في هذه الحال لا ينبغي الارتياب فيه</w:t>
      </w:r>
      <w:r w:rsidRPr="000A4159">
        <w:rPr>
          <w:rFonts w:cs="Taher"/>
          <w:vertAlign w:val="superscript"/>
          <w:rtl/>
        </w:rPr>
        <w:t>(</w:t>
      </w:r>
      <w:r w:rsidRPr="000A4159">
        <w:rPr>
          <w:rStyle w:val="FootnoteReference"/>
          <w:rFonts w:cs="Taher"/>
          <w:rtl/>
        </w:rPr>
        <w:footnoteReference w:id="308"/>
      </w:r>
      <w:r w:rsidRPr="000A4159">
        <w:rPr>
          <w:rFonts w:cs="Taher"/>
          <w:vertAlign w:val="superscript"/>
          <w:rtl/>
        </w:rPr>
        <w:t>)</w:t>
      </w:r>
      <w:r w:rsidRPr="00822CE9">
        <w:rPr>
          <w:rtl/>
        </w:rPr>
        <w:t>.</w:t>
      </w:r>
    </w:p>
    <w:p w14:paraId="165F8E19" w14:textId="77777777" w:rsidR="000A4159" w:rsidRPr="005B0751" w:rsidRDefault="000A4159" w:rsidP="00A079D6">
      <w:pPr>
        <w:spacing w:line="214" w:lineRule="auto"/>
        <w:rPr>
          <w:b/>
          <w:bCs/>
          <w:rtl/>
        </w:rPr>
      </w:pPr>
      <w:r w:rsidRPr="005B0751">
        <w:rPr>
          <w:rFonts w:hint="cs"/>
          <w:b/>
          <w:bCs/>
          <w:rtl/>
        </w:rPr>
        <w:t>وقد يجاب عن هذا الكلام:</w:t>
      </w:r>
    </w:p>
    <w:p w14:paraId="6ADB02C9" w14:textId="77777777" w:rsidR="000A4159" w:rsidRPr="00822CE9" w:rsidRDefault="000A4159" w:rsidP="001C2DAB">
      <w:pPr>
        <w:spacing w:line="214" w:lineRule="auto"/>
        <w:rPr>
          <w:rtl/>
        </w:rPr>
      </w:pPr>
      <w:r w:rsidRPr="005B0751">
        <w:rPr>
          <w:rFonts w:hint="cs"/>
          <w:b/>
          <w:bCs/>
          <w:rtl/>
        </w:rPr>
        <w:t>1 ـ</w:t>
      </w:r>
      <w:r w:rsidRPr="00822CE9">
        <w:rPr>
          <w:rFonts w:hint="cs"/>
          <w:rtl/>
        </w:rPr>
        <w:t xml:space="preserve"> إن</w:t>
      </w:r>
      <w:r w:rsidR="001C2DAB">
        <w:rPr>
          <w:rFonts w:hint="cs"/>
          <w:rtl/>
        </w:rPr>
        <w:t>ّ</w:t>
      </w:r>
      <w:r w:rsidRPr="00822CE9">
        <w:rPr>
          <w:rFonts w:hint="cs"/>
          <w:rtl/>
        </w:rPr>
        <w:t>ه تام</w:t>
      </w:r>
      <w:r w:rsidR="001C2DAB">
        <w:rPr>
          <w:rFonts w:hint="cs"/>
          <w:rtl/>
        </w:rPr>
        <w:t>ٌّ</w:t>
      </w:r>
      <w:r w:rsidRPr="00822CE9">
        <w:rPr>
          <w:rFonts w:hint="cs"/>
          <w:rtl/>
        </w:rPr>
        <w:t xml:space="preserve"> في </w:t>
      </w:r>
      <w:r w:rsidR="001C2DAB">
        <w:rPr>
          <w:rFonts w:hint="cs"/>
          <w:rtl/>
        </w:rPr>
        <w:t>حالات الدفاع الشخصي، بأ</w:t>
      </w:r>
      <w:r w:rsidRPr="00822CE9">
        <w:rPr>
          <w:rFonts w:hint="cs"/>
          <w:rtl/>
        </w:rPr>
        <w:t>ن يدافع الإنسان عن شخصه أو بيته، أم</w:t>
      </w:r>
      <w:r w:rsidR="001C2DAB">
        <w:rPr>
          <w:rFonts w:hint="cs"/>
          <w:rtl/>
        </w:rPr>
        <w:t>ّ</w:t>
      </w:r>
      <w:r w:rsidRPr="00822CE9">
        <w:rPr>
          <w:rFonts w:hint="cs"/>
          <w:rtl/>
        </w:rPr>
        <w:t>ا الاعتداء على انتمائه السياسي</w:t>
      </w:r>
      <w:r w:rsidR="001C2DAB">
        <w:rPr>
          <w:rFonts w:hint="cs"/>
          <w:rtl/>
        </w:rPr>
        <w:t>،</w:t>
      </w:r>
      <w:r w:rsidRPr="00822CE9">
        <w:rPr>
          <w:rFonts w:hint="cs"/>
          <w:rtl/>
        </w:rPr>
        <w:t xml:space="preserve"> فمن غير الواضح صحّة الردّ عليه بالعنف، إذ بإمكانه هنا عدم ممارسة العمل السياسي بما يدفع إلى حصول تقاتل، فمن قال: إن</w:t>
      </w:r>
      <w:r w:rsidR="001C2DAB">
        <w:rPr>
          <w:rFonts w:hint="cs"/>
          <w:rtl/>
        </w:rPr>
        <w:t>ّ</w:t>
      </w:r>
      <w:r w:rsidRPr="00822CE9">
        <w:rPr>
          <w:rFonts w:hint="cs"/>
          <w:rtl/>
        </w:rPr>
        <w:t>ه يجوز له ممارسة العمل السياسي المفضي إلى وضع من هذا القبيل</w:t>
      </w:r>
      <w:r w:rsidR="001C2DAB">
        <w:rPr>
          <w:rFonts w:hint="cs"/>
          <w:rtl/>
        </w:rPr>
        <w:t>؟!</w:t>
      </w:r>
      <w:r w:rsidRPr="00822CE9">
        <w:rPr>
          <w:rFonts w:hint="cs"/>
          <w:rtl/>
        </w:rPr>
        <w:t xml:space="preserve"> فإذا لم يحصل اليقين بعدم شرعي</w:t>
      </w:r>
      <w:r w:rsidR="001C2DAB">
        <w:rPr>
          <w:rFonts w:hint="cs"/>
          <w:rtl/>
        </w:rPr>
        <w:t>ّ</w:t>
      </w:r>
      <w:r w:rsidRPr="00822CE9">
        <w:rPr>
          <w:rFonts w:hint="cs"/>
          <w:rtl/>
        </w:rPr>
        <w:t>ة هذا العمل السياسي، فلا أقلّ من الشك في الشرعي</w:t>
      </w:r>
      <w:r w:rsidR="001C2DAB">
        <w:rPr>
          <w:rFonts w:hint="cs"/>
          <w:rtl/>
        </w:rPr>
        <w:t>ّ</w:t>
      </w:r>
      <w:r w:rsidRPr="00822CE9">
        <w:rPr>
          <w:rFonts w:hint="cs"/>
          <w:rtl/>
        </w:rPr>
        <w:t>ة</w:t>
      </w:r>
      <w:r w:rsidR="001C2DAB">
        <w:rPr>
          <w:rFonts w:hint="cs"/>
          <w:rtl/>
        </w:rPr>
        <w:t>.</w:t>
      </w:r>
      <w:r w:rsidRPr="00822CE9">
        <w:rPr>
          <w:rFonts w:hint="cs"/>
          <w:rtl/>
        </w:rPr>
        <w:t xml:space="preserve"> وهذا ما </w:t>
      </w:r>
      <w:r w:rsidR="001C2DAB">
        <w:rPr>
          <w:rFonts w:hint="cs"/>
          <w:rtl/>
        </w:rPr>
        <w:t>ت</w:t>
      </w:r>
      <w:r w:rsidRPr="00822CE9">
        <w:rPr>
          <w:rFonts w:hint="cs"/>
          <w:rtl/>
        </w:rPr>
        <w:t>ؤي</w:t>
      </w:r>
      <w:r w:rsidR="001C2DAB">
        <w:rPr>
          <w:rFonts w:hint="cs"/>
          <w:rtl/>
        </w:rPr>
        <w:t>ّ</w:t>
      </w:r>
      <w:r w:rsidRPr="00822CE9">
        <w:rPr>
          <w:rFonts w:hint="cs"/>
          <w:rtl/>
        </w:rPr>
        <w:t>ده النصوص الدالّة على ضرورة احتراز الإنسان من التعرّض للسلاطين كي لا تصيبه بلي</w:t>
      </w:r>
      <w:r w:rsidR="001C2DAB">
        <w:rPr>
          <w:rFonts w:hint="cs"/>
          <w:rtl/>
        </w:rPr>
        <w:t>ّ</w:t>
      </w:r>
      <w:r w:rsidRPr="00822CE9">
        <w:rPr>
          <w:rFonts w:hint="cs"/>
          <w:rtl/>
        </w:rPr>
        <w:t>ة، فإن أصابته فليتحم</w:t>
      </w:r>
      <w:r w:rsidR="001C2DAB">
        <w:rPr>
          <w:rFonts w:hint="cs"/>
          <w:rtl/>
        </w:rPr>
        <w:t>ّ</w:t>
      </w:r>
      <w:r w:rsidRPr="00822CE9">
        <w:rPr>
          <w:rFonts w:hint="cs"/>
          <w:rtl/>
        </w:rPr>
        <w:t>ل هو نفسه مسؤولي</w:t>
      </w:r>
      <w:r w:rsidR="001C2DAB">
        <w:rPr>
          <w:rFonts w:hint="cs"/>
          <w:rtl/>
        </w:rPr>
        <w:t>ّ</w:t>
      </w:r>
      <w:r w:rsidRPr="00822CE9">
        <w:rPr>
          <w:rFonts w:hint="cs"/>
          <w:rtl/>
        </w:rPr>
        <w:t>تها</w:t>
      </w:r>
      <w:r w:rsidR="001C2DAB">
        <w:rPr>
          <w:rFonts w:hint="cs"/>
          <w:rtl/>
        </w:rPr>
        <w:t>،</w:t>
      </w:r>
      <w:r w:rsidRPr="00822CE9">
        <w:rPr>
          <w:rFonts w:hint="cs"/>
          <w:rtl/>
        </w:rPr>
        <w:t xml:space="preserve"> بل يمكن حشر </w:t>
      </w:r>
      <w:r w:rsidRPr="00822CE9">
        <w:rPr>
          <w:rFonts w:hint="cs"/>
          <w:rtl/>
        </w:rPr>
        <w:lastRenderedPageBreak/>
        <w:t>نصوص أخرى تؤي</w:t>
      </w:r>
      <w:r w:rsidR="001C2DAB">
        <w:rPr>
          <w:rFonts w:hint="cs"/>
          <w:rtl/>
        </w:rPr>
        <w:t>ّ</w:t>
      </w:r>
      <w:r w:rsidRPr="00822CE9">
        <w:rPr>
          <w:rFonts w:hint="cs"/>
          <w:rtl/>
        </w:rPr>
        <w:t>د هذا الأمر</w:t>
      </w:r>
      <w:r w:rsidR="001C2DAB">
        <w:rPr>
          <w:rFonts w:hint="cs"/>
          <w:rtl/>
        </w:rPr>
        <w:t>،</w:t>
      </w:r>
      <w:r w:rsidRPr="00822CE9">
        <w:rPr>
          <w:rFonts w:hint="cs"/>
          <w:rtl/>
        </w:rPr>
        <w:t xml:space="preserve"> مثل الروايات الواردة في نهي المؤمن عن حشر نفسه في أمر</w:t>
      </w:r>
      <w:r w:rsidR="001C2DAB">
        <w:rPr>
          <w:rFonts w:hint="cs"/>
          <w:rtl/>
        </w:rPr>
        <w:t>ٍ</w:t>
      </w:r>
      <w:r w:rsidRPr="00822CE9">
        <w:rPr>
          <w:rFonts w:hint="cs"/>
          <w:rtl/>
        </w:rPr>
        <w:t xml:space="preserve"> لا يطيقه، وأنّ الله لم يفوّض للمؤمن أن يذلّ نفسه، وهذه النصوص تكون حاكمةً على النصوص الدال</w:t>
      </w:r>
      <w:r w:rsidR="001C2DAB">
        <w:rPr>
          <w:rFonts w:hint="cs"/>
          <w:rtl/>
        </w:rPr>
        <w:t>ّ</w:t>
      </w:r>
      <w:r w:rsidRPr="00822CE9">
        <w:rPr>
          <w:rFonts w:hint="cs"/>
          <w:rtl/>
        </w:rPr>
        <w:t>ة على الأحكام الأولي</w:t>
      </w:r>
      <w:r w:rsidR="001C2DAB">
        <w:rPr>
          <w:rFonts w:hint="cs"/>
          <w:rtl/>
        </w:rPr>
        <w:t>ّ</w:t>
      </w:r>
      <w:r w:rsidRPr="00822CE9">
        <w:rPr>
          <w:rFonts w:hint="cs"/>
          <w:rtl/>
        </w:rPr>
        <w:t>ة.</w:t>
      </w:r>
      <w:r w:rsidR="001C2DAB">
        <w:rPr>
          <w:rFonts w:hint="cs"/>
          <w:rtl/>
        </w:rPr>
        <w:t xml:space="preserve"> </w:t>
      </w:r>
      <w:r w:rsidRPr="00822CE9">
        <w:rPr>
          <w:rFonts w:hint="cs"/>
          <w:rtl/>
        </w:rPr>
        <w:t>وعليه، يفضّل في هذه الحال استعمال التقي</w:t>
      </w:r>
      <w:r w:rsidR="001C2DAB">
        <w:rPr>
          <w:rFonts w:hint="cs"/>
          <w:rtl/>
        </w:rPr>
        <w:t>ّ</w:t>
      </w:r>
      <w:r w:rsidRPr="00822CE9">
        <w:rPr>
          <w:rFonts w:hint="cs"/>
          <w:rtl/>
        </w:rPr>
        <w:t>ة حتى إشعار</w:t>
      </w:r>
      <w:r w:rsidR="001C2DAB">
        <w:rPr>
          <w:rFonts w:hint="cs"/>
          <w:rtl/>
        </w:rPr>
        <w:t>ٍ</w:t>
      </w:r>
      <w:r w:rsidRPr="00822CE9">
        <w:rPr>
          <w:rFonts w:hint="cs"/>
          <w:rtl/>
        </w:rPr>
        <w:t xml:space="preserve"> آخر</w:t>
      </w:r>
      <w:r w:rsidRPr="000A4159">
        <w:rPr>
          <w:rFonts w:cs="Taher"/>
          <w:vertAlign w:val="superscript"/>
          <w:rtl/>
        </w:rPr>
        <w:t>(</w:t>
      </w:r>
      <w:r w:rsidRPr="000A4159">
        <w:rPr>
          <w:rStyle w:val="FootnoteReference"/>
          <w:rFonts w:cs="Taher"/>
          <w:rtl/>
        </w:rPr>
        <w:footnoteReference w:id="309"/>
      </w:r>
      <w:r w:rsidRPr="000A4159">
        <w:rPr>
          <w:rFonts w:cs="Taher"/>
          <w:vertAlign w:val="superscript"/>
          <w:rtl/>
        </w:rPr>
        <w:t>)</w:t>
      </w:r>
      <w:r w:rsidRPr="00822CE9">
        <w:rPr>
          <w:rtl/>
        </w:rPr>
        <w:t>.</w:t>
      </w:r>
    </w:p>
    <w:p w14:paraId="6F06D194" w14:textId="77777777" w:rsidR="000A4159" w:rsidRPr="00822CE9" w:rsidRDefault="000A4159" w:rsidP="007F54FE">
      <w:pPr>
        <w:pStyle w:val="normal84"/>
        <w:rPr>
          <w:rtl/>
        </w:rPr>
      </w:pPr>
      <w:r w:rsidRPr="001C2DAB">
        <w:rPr>
          <w:rFonts w:hint="cs"/>
          <w:b/>
          <w:bCs/>
          <w:rtl/>
        </w:rPr>
        <w:t xml:space="preserve">ولكن يقال: </w:t>
      </w:r>
      <w:r w:rsidRPr="00822CE9">
        <w:rPr>
          <w:rFonts w:hint="cs"/>
          <w:rtl/>
        </w:rPr>
        <w:t>لا أحد يتحدّث عن التكليف بما لا يطاق، فإن</w:t>
      </w:r>
      <w:r w:rsidR="001C2DAB">
        <w:rPr>
          <w:rFonts w:hint="cs"/>
          <w:rtl/>
        </w:rPr>
        <w:t>ّ</w:t>
      </w:r>
      <w:r w:rsidRPr="00822CE9">
        <w:rPr>
          <w:rFonts w:hint="cs"/>
          <w:rtl/>
        </w:rPr>
        <w:t xml:space="preserve"> الإطاقة في الحياة السياسي</w:t>
      </w:r>
      <w:r w:rsidR="001C2DAB">
        <w:rPr>
          <w:rFonts w:hint="cs"/>
          <w:rtl/>
        </w:rPr>
        <w:t>ّ</w:t>
      </w:r>
      <w:r w:rsidRPr="00822CE9">
        <w:rPr>
          <w:rFonts w:hint="cs"/>
          <w:rtl/>
        </w:rPr>
        <w:t>ة ليست تابعةً للأفراد</w:t>
      </w:r>
      <w:r w:rsidR="001C2DAB">
        <w:rPr>
          <w:rFonts w:hint="cs"/>
          <w:rtl/>
        </w:rPr>
        <w:t>،</w:t>
      </w:r>
      <w:r w:rsidRPr="00822CE9">
        <w:rPr>
          <w:rFonts w:hint="cs"/>
          <w:rtl/>
        </w:rPr>
        <w:t xml:space="preserve"> وإن</w:t>
      </w:r>
      <w:r w:rsidR="001C2DAB">
        <w:rPr>
          <w:rFonts w:hint="cs"/>
          <w:rtl/>
        </w:rPr>
        <w:t>ّ</w:t>
      </w:r>
      <w:r w:rsidRPr="00822CE9">
        <w:rPr>
          <w:rFonts w:hint="cs"/>
          <w:rtl/>
        </w:rPr>
        <w:t>ما للجماعة السياسي</w:t>
      </w:r>
      <w:r w:rsidR="001C2DAB">
        <w:rPr>
          <w:rFonts w:hint="cs"/>
          <w:rtl/>
        </w:rPr>
        <w:t>ّ</w:t>
      </w:r>
      <w:r w:rsidRPr="00822CE9">
        <w:rPr>
          <w:rFonts w:hint="cs"/>
          <w:rtl/>
        </w:rPr>
        <w:t>ة بما هي جماعة، فإذا كانت مواجهتها من التكليف بما لا يطا</w:t>
      </w:r>
      <w:r w:rsidR="001C2DAB">
        <w:rPr>
          <w:rFonts w:hint="cs"/>
          <w:rtl/>
        </w:rPr>
        <w:t>ق</w:t>
      </w:r>
      <w:r w:rsidRPr="00822CE9">
        <w:rPr>
          <w:rFonts w:hint="cs"/>
          <w:rtl/>
        </w:rPr>
        <w:t xml:space="preserve"> بالنسبة إليها</w:t>
      </w:r>
      <w:r w:rsidR="001C2DAB">
        <w:rPr>
          <w:rFonts w:hint="cs"/>
          <w:rtl/>
        </w:rPr>
        <w:t>،</w:t>
      </w:r>
      <w:r w:rsidRPr="00822CE9">
        <w:rPr>
          <w:rFonts w:hint="cs"/>
          <w:rtl/>
        </w:rPr>
        <w:t xml:space="preserve"> سقط الوجوب ولزم</w:t>
      </w:r>
      <w:r w:rsidR="001C2DAB">
        <w:rPr>
          <w:rFonts w:hint="cs"/>
          <w:rtl/>
        </w:rPr>
        <w:t>ت</w:t>
      </w:r>
      <w:r w:rsidRPr="00822CE9">
        <w:rPr>
          <w:rFonts w:hint="cs"/>
          <w:rtl/>
        </w:rPr>
        <w:t xml:space="preserve"> التقية، إذ يكون انتحاراً سياسي</w:t>
      </w:r>
      <w:r w:rsidR="001C2DAB">
        <w:rPr>
          <w:rFonts w:hint="cs"/>
          <w:rtl/>
        </w:rPr>
        <w:t>ّ</w:t>
      </w:r>
      <w:r w:rsidRPr="00822CE9">
        <w:rPr>
          <w:rFonts w:hint="cs"/>
          <w:rtl/>
        </w:rPr>
        <w:t>اً أن تواجه السلطة</w:t>
      </w:r>
      <w:r w:rsidR="001C2DAB">
        <w:rPr>
          <w:rFonts w:hint="cs"/>
          <w:rtl/>
        </w:rPr>
        <w:t>َ</w:t>
      </w:r>
      <w:r w:rsidRPr="00822CE9">
        <w:rPr>
          <w:rFonts w:hint="cs"/>
          <w:rtl/>
        </w:rPr>
        <w:t xml:space="preserve"> بالعنف حينئذ، إلا</w:t>
      </w:r>
      <w:r w:rsidR="00BC3A6F">
        <w:rPr>
          <w:rFonts w:hint="cs"/>
          <w:rtl/>
        </w:rPr>
        <w:t xml:space="preserve"> </w:t>
      </w:r>
      <w:r w:rsidRPr="00822CE9">
        <w:rPr>
          <w:rFonts w:hint="cs"/>
          <w:rtl/>
        </w:rPr>
        <w:t>أنّ الأمر ليس كذلك دائماً.</w:t>
      </w:r>
    </w:p>
    <w:p w14:paraId="73A2FEA4" w14:textId="77777777" w:rsidR="000A4159" w:rsidRPr="00822CE9" w:rsidRDefault="000A4159" w:rsidP="00BC3A6F">
      <w:pPr>
        <w:spacing w:line="214" w:lineRule="auto"/>
        <w:rPr>
          <w:rtl/>
        </w:rPr>
      </w:pPr>
      <w:r w:rsidRPr="00822CE9">
        <w:rPr>
          <w:rFonts w:hint="cs"/>
          <w:rtl/>
        </w:rPr>
        <w:t>وأم</w:t>
      </w:r>
      <w:r w:rsidR="001C2DAB">
        <w:rPr>
          <w:rFonts w:hint="cs"/>
          <w:rtl/>
        </w:rPr>
        <w:t>ّ</w:t>
      </w:r>
      <w:r w:rsidRPr="00822CE9">
        <w:rPr>
          <w:rFonts w:hint="cs"/>
          <w:rtl/>
        </w:rPr>
        <w:t>ا ا</w:t>
      </w:r>
      <w:r w:rsidR="001C2DAB">
        <w:rPr>
          <w:rFonts w:hint="cs"/>
          <w:rtl/>
        </w:rPr>
        <w:t>لحديث عن عدم التعرّض للسلاطين وأ</w:t>
      </w:r>
      <w:r w:rsidRPr="00822CE9">
        <w:rPr>
          <w:rFonts w:hint="cs"/>
          <w:rtl/>
        </w:rPr>
        <w:t>مثال ذلك، فعلى تقدير صحّة السند، ظاهر في حالة التعرّض الابتدائي، أم</w:t>
      </w:r>
      <w:r w:rsidR="001C2DAB">
        <w:rPr>
          <w:rFonts w:hint="cs"/>
          <w:rtl/>
        </w:rPr>
        <w:t>ّ</w:t>
      </w:r>
      <w:r w:rsidRPr="00822CE9">
        <w:rPr>
          <w:rFonts w:hint="cs"/>
          <w:rtl/>
        </w:rPr>
        <w:t>ا إذا لم تتعرّض الحركة الإسلامي</w:t>
      </w:r>
      <w:r w:rsidR="001C2DAB">
        <w:rPr>
          <w:rFonts w:hint="cs"/>
          <w:rtl/>
        </w:rPr>
        <w:t>ّ</w:t>
      </w:r>
      <w:r w:rsidRPr="00822CE9">
        <w:rPr>
          <w:rFonts w:hint="cs"/>
          <w:rtl/>
        </w:rPr>
        <w:t>ة لهم، بل تعرّضوا هم لها بالسوء</w:t>
      </w:r>
      <w:r w:rsidR="001C2DAB">
        <w:rPr>
          <w:rFonts w:hint="cs"/>
          <w:rtl/>
        </w:rPr>
        <w:t>،</w:t>
      </w:r>
      <w:r w:rsidRPr="00822CE9">
        <w:rPr>
          <w:rFonts w:hint="cs"/>
          <w:rtl/>
        </w:rPr>
        <w:t xml:space="preserve"> فلا يحرز ظهور هذه الروايات في المنع من الدفاع عن النفس، إلا إذا أريد من هذه الروايات تحريم مطلق العمل السياسي ولو السلمي، بوصفه تدخ</w:t>
      </w:r>
      <w:r w:rsidR="001C2DAB">
        <w:rPr>
          <w:rFonts w:hint="cs"/>
          <w:rtl/>
        </w:rPr>
        <w:t>ّ</w:t>
      </w:r>
      <w:r w:rsidRPr="00822CE9">
        <w:rPr>
          <w:rFonts w:hint="cs"/>
          <w:rtl/>
        </w:rPr>
        <w:t>لاً في شأن السلطان</w:t>
      </w:r>
      <w:r w:rsidR="001C2DAB">
        <w:rPr>
          <w:rFonts w:hint="cs"/>
          <w:rtl/>
        </w:rPr>
        <w:t>،</w:t>
      </w:r>
      <w:r w:rsidRPr="00822CE9">
        <w:rPr>
          <w:rFonts w:hint="cs"/>
          <w:rtl/>
        </w:rPr>
        <w:t xml:space="preserve"> وهو أمر</w:t>
      </w:r>
      <w:r w:rsidR="001C2DAB">
        <w:rPr>
          <w:rFonts w:hint="cs"/>
          <w:rtl/>
        </w:rPr>
        <w:t>ٌ</w:t>
      </w:r>
      <w:r w:rsidR="00BC3A6F">
        <w:rPr>
          <w:rFonts w:hint="cs"/>
          <w:rtl/>
        </w:rPr>
        <w:t xml:space="preserve"> قد يقال بأنّه </w:t>
      </w:r>
      <w:r w:rsidRPr="00822CE9">
        <w:rPr>
          <w:rFonts w:hint="cs"/>
          <w:rtl/>
        </w:rPr>
        <w:t xml:space="preserve">يخالف </w:t>
      </w:r>
      <w:r w:rsidR="00BC3A6F">
        <w:rPr>
          <w:rFonts w:hint="cs"/>
          <w:rtl/>
        </w:rPr>
        <w:t xml:space="preserve">أهداف </w:t>
      </w:r>
      <w:r w:rsidRPr="00822CE9">
        <w:rPr>
          <w:rFonts w:hint="cs"/>
          <w:rtl/>
        </w:rPr>
        <w:t>الدين ومقاصد الشريعة، ويقف على النقيض من النصوص العديدة حول الاهتمام بأمور المسلمين</w:t>
      </w:r>
      <w:r w:rsidR="00BC3A6F">
        <w:rPr>
          <w:rFonts w:hint="cs"/>
          <w:rtl/>
        </w:rPr>
        <w:t>.</w:t>
      </w:r>
    </w:p>
    <w:p w14:paraId="4F0FDEBA" w14:textId="77777777" w:rsidR="000A4159" w:rsidRPr="00822CE9" w:rsidRDefault="000A4159" w:rsidP="007F54FE">
      <w:pPr>
        <w:rPr>
          <w:rtl/>
        </w:rPr>
      </w:pPr>
      <w:r w:rsidRPr="00822CE9">
        <w:rPr>
          <w:rFonts w:hint="cs"/>
          <w:rtl/>
        </w:rPr>
        <w:t>وأم</w:t>
      </w:r>
      <w:r w:rsidR="001C2DAB">
        <w:rPr>
          <w:rFonts w:hint="cs"/>
          <w:rtl/>
        </w:rPr>
        <w:t>ّ</w:t>
      </w:r>
      <w:r w:rsidRPr="00822CE9">
        <w:rPr>
          <w:rFonts w:hint="cs"/>
          <w:rtl/>
        </w:rPr>
        <w:t>ا ما نصّ على عدم إذلال المؤمن نفسه فربما يكون في بعض الحالات أدلّ على العكس، فإن الخنوع للحاكم ينطبق عليه عنوان الذل</w:t>
      </w:r>
      <w:r w:rsidR="001C2DAB">
        <w:rPr>
          <w:rFonts w:hint="cs"/>
          <w:rtl/>
        </w:rPr>
        <w:t>ّ</w:t>
      </w:r>
      <w:r w:rsidRPr="00822CE9">
        <w:rPr>
          <w:rFonts w:hint="cs"/>
          <w:rtl/>
        </w:rPr>
        <w:t xml:space="preserve"> ووضع النفس والجماعة في ذلّ أكثر من التعرّض للسلطان والمعاناة بشرف وعز</w:t>
      </w:r>
      <w:r w:rsidR="001C2DAB">
        <w:rPr>
          <w:rFonts w:hint="cs"/>
          <w:rtl/>
        </w:rPr>
        <w:t>ّ</w:t>
      </w:r>
      <w:r w:rsidRPr="00822CE9">
        <w:rPr>
          <w:rFonts w:hint="cs"/>
          <w:rtl/>
        </w:rPr>
        <w:t>ة أمامه.</w:t>
      </w:r>
    </w:p>
    <w:p w14:paraId="2EE056DE" w14:textId="77777777" w:rsidR="000A4159" w:rsidRPr="00822CE9" w:rsidRDefault="001C2DAB" w:rsidP="007F54FE">
      <w:pPr>
        <w:rPr>
          <w:rtl/>
        </w:rPr>
      </w:pPr>
      <w:r>
        <w:rPr>
          <w:rFonts w:hint="cs"/>
          <w:rtl/>
        </w:rPr>
        <w:t xml:space="preserve">غاية الأمر أنّنا </w:t>
      </w:r>
      <w:r w:rsidR="000A4159" w:rsidRPr="00822CE9">
        <w:rPr>
          <w:rFonts w:hint="cs"/>
          <w:rtl/>
        </w:rPr>
        <w:t>نتوقفّ في صدق عنوان الدفاع عن النفس الثابت في الشريعة الإسلامي</w:t>
      </w:r>
      <w:r>
        <w:rPr>
          <w:rFonts w:hint="cs"/>
          <w:rtl/>
        </w:rPr>
        <w:t>ّ</w:t>
      </w:r>
      <w:r w:rsidR="000A4159" w:rsidRPr="00822CE9">
        <w:rPr>
          <w:rFonts w:hint="cs"/>
          <w:rtl/>
        </w:rPr>
        <w:t>ة على حالة دفاع حركة</w:t>
      </w:r>
      <w:r>
        <w:rPr>
          <w:rFonts w:hint="cs"/>
          <w:rtl/>
        </w:rPr>
        <w:t>ٍ</w:t>
      </w:r>
      <w:r w:rsidR="000A4159" w:rsidRPr="00822CE9">
        <w:rPr>
          <w:rFonts w:hint="cs"/>
          <w:rtl/>
        </w:rPr>
        <w:t xml:space="preserve"> سياسي</w:t>
      </w:r>
      <w:r>
        <w:rPr>
          <w:rFonts w:hint="cs"/>
          <w:rtl/>
        </w:rPr>
        <w:t>ّ</w:t>
      </w:r>
      <w:r w:rsidR="000A4159" w:rsidRPr="00822CE9">
        <w:rPr>
          <w:rFonts w:hint="cs"/>
          <w:rtl/>
        </w:rPr>
        <w:t>ة عن نفسها، فحتى لو اتسعت دلالة الدفاع عن النفس لتشمل العيال والمال، فإن</w:t>
      </w:r>
      <w:r>
        <w:rPr>
          <w:rFonts w:hint="cs"/>
          <w:rtl/>
        </w:rPr>
        <w:t>ّ</w:t>
      </w:r>
      <w:r w:rsidR="000A4159" w:rsidRPr="00822CE9">
        <w:rPr>
          <w:rFonts w:hint="cs"/>
          <w:rtl/>
        </w:rPr>
        <w:t xml:space="preserve"> هذه الأمور من توابع الذات عرفاً، إلا أن</w:t>
      </w:r>
      <w:r>
        <w:rPr>
          <w:rFonts w:hint="cs"/>
          <w:rtl/>
        </w:rPr>
        <w:t>ّ</w:t>
      </w:r>
      <w:r w:rsidR="000A4159" w:rsidRPr="00822CE9">
        <w:rPr>
          <w:rFonts w:hint="cs"/>
          <w:rtl/>
        </w:rPr>
        <w:t xml:space="preserve"> الحزب السياسي أو الحركة السياس</w:t>
      </w:r>
      <w:r>
        <w:rPr>
          <w:rFonts w:hint="cs"/>
          <w:rtl/>
        </w:rPr>
        <w:t>يّ</w:t>
      </w:r>
      <w:r w:rsidR="000A4159" w:rsidRPr="00822CE9">
        <w:rPr>
          <w:rFonts w:hint="cs"/>
          <w:rtl/>
        </w:rPr>
        <w:t>ة لا تعدّ عرفاً من توابع الفرد بما هو فرد، حتى نعمّم ذلك العنوان عليها</w:t>
      </w:r>
      <w:r>
        <w:rPr>
          <w:rFonts w:hint="cs"/>
          <w:rtl/>
        </w:rPr>
        <w:t xml:space="preserve">، وإن كان عنوان </w:t>
      </w:r>
      <w:r w:rsidR="000A4159" w:rsidRPr="00822CE9">
        <w:rPr>
          <w:rFonts w:hint="cs"/>
          <w:rtl/>
        </w:rPr>
        <w:t>«الحركة الإسلامي</w:t>
      </w:r>
      <w:r>
        <w:rPr>
          <w:rFonts w:hint="cs"/>
          <w:rtl/>
        </w:rPr>
        <w:t>ّ</w:t>
      </w:r>
      <w:r w:rsidR="000A4159" w:rsidRPr="00822CE9">
        <w:rPr>
          <w:rFonts w:hint="cs"/>
          <w:rtl/>
        </w:rPr>
        <w:t>ة تدافع عن نفسها» مفهوم</w:t>
      </w:r>
      <w:r>
        <w:rPr>
          <w:rFonts w:hint="cs"/>
          <w:rtl/>
        </w:rPr>
        <w:t>اً</w:t>
      </w:r>
      <w:r w:rsidR="000A4159" w:rsidRPr="00822CE9">
        <w:rPr>
          <w:rFonts w:hint="cs"/>
          <w:rtl/>
        </w:rPr>
        <w:t xml:space="preserve"> صحيح</w:t>
      </w:r>
      <w:r>
        <w:rPr>
          <w:rFonts w:hint="cs"/>
          <w:rtl/>
        </w:rPr>
        <w:t>اً</w:t>
      </w:r>
      <w:r w:rsidR="000A4159" w:rsidRPr="00822CE9">
        <w:rPr>
          <w:rFonts w:hint="cs"/>
          <w:rtl/>
        </w:rPr>
        <w:t>، لكن هل من الصحيح أن يقال: إن</w:t>
      </w:r>
      <w:r>
        <w:rPr>
          <w:rFonts w:hint="cs"/>
          <w:rtl/>
        </w:rPr>
        <w:t>ّ</w:t>
      </w:r>
      <w:r w:rsidR="000A4159" w:rsidRPr="00822CE9">
        <w:rPr>
          <w:rFonts w:hint="cs"/>
          <w:rtl/>
        </w:rPr>
        <w:t xml:space="preserve"> زيداً يدافع عن نفسه عندما تتعرّض الحركة الإسلامي</w:t>
      </w:r>
      <w:r>
        <w:rPr>
          <w:rFonts w:hint="cs"/>
          <w:rtl/>
        </w:rPr>
        <w:t>ّ</w:t>
      </w:r>
      <w:r w:rsidR="000A4159" w:rsidRPr="00822CE9">
        <w:rPr>
          <w:rFonts w:hint="cs"/>
          <w:rtl/>
        </w:rPr>
        <w:t>ة لاعتداء</w:t>
      </w:r>
      <w:r>
        <w:rPr>
          <w:rFonts w:hint="cs"/>
          <w:rtl/>
        </w:rPr>
        <w:t>؟!</w:t>
      </w:r>
      <w:r w:rsidR="000A4159" w:rsidRPr="00822CE9">
        <w:rPr>
          <w:rFonts w:hint="cs"/>
          <w:rtl/>
        </w:rPr>
        <w:t xml:space="preserve"> فما يطرحه هذا الإشكال من التوق</w:t>
      </w:r>
      <w:r>
        <w:rPr>
          <w:rFonts w:hint="cs"/>
          <w:rtl/>
        </w:rPr>
        <w:t>ّ</w:t>
      </w:r>
      <w:r w:rsidR="000A4159" w:rsidRPr="00822CE9">
        <w:rPr>
          <w:rFonts w:hint="cs"/>
          <w:rtl/>
        </w:rPr>
        <w:t xml:space="preserve">ف في </w:t>
      </w:r>
      <w:r w:rsidR="000A4159" w:rsidRPr="00822CE9">
        <w:rPr>
          <w:rFonts w:hint="cs"/>
          <w:rtl/>
        </w:rPr>
        <w:lastRenderedPageBreak/>
        <w:t>تعميم مفهوم الدفاع عن النفس هنا صحيح</w:t>
      </w:r>
      <w:r>
        <w:rPr>
          <w:rFonts w:hint="cs"/>
          <w:rtl/>
        </w:rPr>
        <w:t>ٌ</w:t>
      </w:r>
      <w:r w:rsidR="000A4159" w:rsidRPr="00822CE9">
        <w:rPr>
          <w:rFonts w:hint="cs"/>
          <w:rtl/>
        </w:rPr>
        <w:t xml:space="preserve"> غالباً.</w:t>
      </w:r>
    </w:p>
    <w:p w14:paraId="6F715F8F" w14:textId="77777777" w:rsidR="000A4159" w:rsidRPr="00822CE9" w:rsidRDefault="000A4159" w:rsidP="001C2DAB">
      <w:pPr>
        <w:spacing w:line="214" w:lineRule="auto"/>
        <w:rPr>
          <w:rtl/>
        </w:rPr>
      </w:pPr>
      <w:r w:rsidRPr="001C2DAB">
        <w:rPr>
          <w:rFonts w:hint="cs"/>
          <w:b/>
          <w:bCs/>
          <w:rtl/>
        </w:rPr>
        <w:t>2 ـ</w:t>
      </w:r>
      <w:r w:rsidRPr="00822CE9">
        <w:rPr>
          <w:rFonts w:hint="cs"/>
          <w:rtl/>
        </w:rPr>
        <w:t xml:space="preserve"> إن</w:t>
      </w:r>
      <w:r w:rsidR="001C2DAB">
        <w:rPr>
          <w:rFonts w:hint="cs"/>
          <w:rtl/>
        </w:rPr>
        <w:t>ّ</w:t>
      </w:r>
      <w:r w:rsidRPr="00822CE9">
        <w:rPr>
          <w:rFonts w:hint="cs"/>
          <w:rtl/>
        </w:rPr>
        <w:t xml:space="preserve"> الاستناد إلى آية الإذن بالقتال غير</w:t>
      </w:r>
      <w:r w:rsidR="001C2DAB">
        <w:rPr>
          <w:rFonts w:hint="cs"/>
          <w:rtl/>
        </w:rPr>
        <w:t>ُ</w:t>
      </w:r>
      <w:r w:rsidRPr="00822CE9">
        <w:rPr>
          <w:rFonts w:hint="cs"/>
          <w:rtl/>
        </w:rPr>
        <w:t xml:space="preserve"> واضح هنا، فالآية تتحد</w:t>
      </w:r>
      <w:r w:rsidR="001C2DAB">
        <w:rPr>
          <w:rFonts w:hint="cs"/>
          <w:rtl/>
        </w:rPr>
        <w:t>ّ</w:t>
      </w:r>
      <w:r w:rsidRPr="00822CE9">
        <w:rPr>
          <w:rFonts w:hint="cs"/>
          <w:rtl/>
        </w:rPr>
        <w:t>ث عمّن اعت</w:t>
      </w:r>
      <w:r w:rsidR="001C2DAB">
        <w:rPr>
          <w:rFonts w:hint="cs"/>
          <w:rtl/>
        </w:rPr>
        <w:t>ُ</w:t>
      </w:r>
      <w:r w:rsidRPr="00822CE9">
        <w:rPr>
          <w:rFonts w:hint="cs"/>
          <w:rtl/>
        </w:rPr>
        <w:t>دي عليهم من قبل الكافرين</w:t>
      </w:r>
      <w:r w:rsidR="001C2DAB">
        <w:rPr>
          <w:rFonts w:hint="cs"/>
          <w:rtl/>
        </w:rPr>
        <w:t>؛</w:t>
      </w:r>
      <w:r w:rsidRPr="00822CE9">
        <w:rPr>
          <w:rFonts w:hint="cs"/>
          <w:rtl/>
        </w:rPr>
        <w:t xml:space="preserve"> لكونهم يجعلون </w:t>
      </w:r>
      <w:r w:rsidR="001C2DAB">
        <w:rPr>
          <w:rFonts w:hint="cs"/>
          <w:rtl/>
        </w:rPr>
        <w:t xml:space="preserve">الله </w:t>
      </w:r>
      <w:r w:rsidRPr="00822CE9">
        <w:rPr>
          <w:rFonts w:hint="cs"/>
          <w:rtl/>
        </w:rPr>
        <w:t xml:space="preserve">وحده إلهاً، ولا تعرّض لها لحالات الخلاف السياسي التفصيلي بين المسلمين </w:t>
      </w:r>
      <w:r w:rsidR="001C2DAB">
        <w:rPr>
          <w:rFonts w:hint="cs"/>
          <w:rtl/>
        </w:rPr>
        <w:t xml:space="preserve">أنفسهم، </w:t>
      </w:r>
      <w:r w:rsidRPr="00822CE9">
        <w:rPr>
          <w:rFonts w:hint="cs"/>
          <w:rtl/>
        </w:rPr>
        <w:t>حتى لو كان على تطبيق الشريعة، فليس في الآية قدرة التعميم لحالات ال</w:t>
      </w:r>
      <w:r w:rsidR="001C2DAB">
        <w:rPr>
          <w:rFonts w:hint="cs"/>
          <w:rtl/>
        </w:rPr>
        <w:t>ت</w:t>
      </w:r>
      <w:r w:rsidRPr="00822CE9">
        <w:rPr>
          <w:rFonts w:hint="cs"/>
          <w:rtl/>
        </w:rPr>
        <w:t>قاتل بين المسلمين، فلو لم يكن النصّ اللاحق في الآية موجوداً لأمكن الاستناد إلى الآية الأولى، كونها تضع معيار الظلم مطلقاً، ل</w:t>
      </w:r>
      <w:r w:rsidR="001C2DAB">
        <w:rPr>
          <w:rFonts w:hint="cs"/>
          <w:rtl/>
        </w:rPr>
        <w:t>ك</w:t>
      </w:r>
      <w:r w:rsidRPr="00822CE9">
        <w:rPr>
          <w:rFonts w:hint="cs"/>
          <w:rtl/>
        </w:rPr>
        <w:t>ن</w:t>
      </w:r>
      <w:r w:rsidR="001C2DAB">
        <w:rPr>
          <w:rFonts w:hint="cs"/>
          <w:rtl/>
        </w:rPr>
        <w:t>ّ</w:t>
      </w:r>
      <w:r w:rsidRPr="00822CE9">
        <w:rPr>
          <w:rFonts w:hint="cs"/>
          <w:rtl/>
        </w:rPr>
        <w:t xml:space="preserve"> السياق الخارجي وأسباب النزول مضافاً إلى الآية اللاحقة يمنعان الاطمئنان بهذا التعميم، </w:t>
      </w:r>
      <w:r w:rsidR="001C2DAB">
        <w:rPr>
          <w:rFonts w:hint="cs"/>
          <w:rtl/>
        </w:rPr>
        <w:t xml:space="preserve">لا </w:t>
      </w:r>
      <w:r w:rsidRPr="00822CE9">
        <w:rPr>
          <w:rFonts w:hint="cs"/>
          <w:rtl/>
        </w:rPr>
        <w:t>سيما م</w:t>
      </w:r>
      <w:r w:rsidR="001C2DAB">
        <w:rPr>
          <w:rFonts w:hint="cs"/>
          <w:rtl/>
        </w:rPr>
        <w:t>ع</w:t>
      </w:r>
      <w:r w:rsidRPr="00822CE9">
        <w:rPr>
          <w:rFonts w:hint="cs"/>
          <w:rtl/>
        </w:rPr>
        <w:t xml:space="preserve"> معارضتها حينئذ بما دلّ على حرمة دماء المسلمين.</w:t>
      </w:r>
    </w:p>
    <w:p w14:paraId="6B6BD3C7" w14:textId="77777777" w:rsidR="001C2DAB" w:rsidRDefault="000A4159" w:rsidP="007F54FE">
      <w:pPr>
        <w:pStyle w:val="normal930"/>
        <w:rPr>
          <w:rtl/>
        </w:rPr>
      </w:pPr>
      <w:r w:rsidRPr="001C2DAB">
        <w:rPr>
          <w:rFonts w:hint="cs"/>
          <w:b/>
          <w:bCs/>
          <w:rtl/>
        </w:rPr>
        <w:t xml:space="preserve">3 ـ </w:t>
      </w:r>
      <w:r w:rsidRPr="00822CE9">
        <w:rPr>
          <w:rFonts w:hint="cs"/>
          <w:rtl/>
        </w:rPr>
        <w:t>إن</w:t>
      </w:r>
      <w:r w:rsidR="001C2DAB">
        <w:rPr>
          <w:rFonts w:hint="cs"/>
          <w:rtl/>
        </w:rPr>
        <w:t>ّ</w:t>
      </w:r>
      <w:r w:rsidRPr="00822CE9">
        <w:rPr>
          <w:rFonts w:hint="cs"/>
          <w:rtl/>
        </w:rPr>
        <w:t xml:space="preserve"> الاستناد إلى رواية </w:t>
      </w:r>
      <w:r w:rsidR="001C2DAB">
        <w:rPr>
          <w:rFonts w:hint="eastAsia"/>
          <w:rtl/>
        </w:rPr>
        <w:t>«</w:t>
      </w:r>
      <w:r w:rsidRPr="00822CE9">
        <w:rPr>
          <w:rFonts w:hint="cs"/>
          <w:rtl/>
        </w:rPr>
        <w:t>من ق</w:t>
      </w:r>
      <w:r w:rsidR="001C2DAB">
        <w:rPr>
          <w:rFonts w:hint="cs"/>
          <w:rtl/>
        </w:rPr>
        <w:t>ُ</w:t>
      </w:r>
      <w:r w:rsidRPr="00822CE9">
        <w:rPr>
          <w:rFonts w:hint="cs"/>
          <w:rtl/>
        </w:rPr>
        <w:t>تل دون مظلمته فهو شهيد</w:t>
      </w:r>
      <w:r w:rsidR="001C2DAB">
        <w:rPr>
          <w:rFonts w:hint="eastAsia"/>
          <w:rtl/>
        </w:rPr>
        <w:t>»</w:t>
      </w:r>
      <w:r w:rsidRPr="00822CE9">
        <w:rPr>
          <w:rFonts w:hint="cs"/>
          <w:rtl/>
        </w:rPr>
        <w:t>، وقد وردت عند الشيعة والسنّة</w:t>
      </w:r>
      <w:r w:rsidRPr="000A4159">
        <w:rPr>
          <w:rFonts w:cs="Taher"/>
          <w:vertAlign w:val="superscript"/>
          <w:rtl/>
        </w:rPr>
        <w:t>(</w:t>
      </w:r>
      <w:r w:rsidRPr="000A4159">
        <w:rPr>
          <w:rStyle w:val="FootnoteReference"/>
          <w:rFonts w:cs="Taher"/>
          <w:rtl/>
        </w:rPr>
        <w:footnoteReference w:id="310"/>
      </w:r>
      <w:r w:rsidRPr="000A4159">
        <w:rPr>
          <w:rFonts w:cs="Taher"/>
          <w:vertAlign w:val="superscript"/>
          <w:rtl/>
        </w:rPr>
        <w:t>)</w:t>
      </w:r>
      <w:r w:rsidRPr="00822CE9">
        <w:rPr>
          <w:rFonts w:hint="cs"/>
          <w:rtl/>
        </w:rPr>
        <w:t>، وصحّحه</w:t>
      </w:r>
      <w:r w:rsidR="001C2DAB">
        <w:rPr>
          <w:rFonts w:hint="cs"/>
          <w:rtl/>
        </w:rPr>
        <w:t>ا</w:t>
      </w:r>
      <w:r w:rsidRPr="00822CE9">
        <w:rPr>
          <w:rFonts w:hint="cs"/>
          <w:rtl/>
        </w:rPr>
        <w:t xml:space="preserve"> الهيثمي </w:t>
      </w:r>
      <w:r w:rsidR="001C2DAB">
        <w:rPr>
          <w:rFonts w:hint="cs"/>
          <w:rtl/>
        </w:rPr>
        <w:t>و</w:t>
      </w:r>
      <w:r w:rsidRPr="00822CE9">
        <w:rPr>
          <w:rFonts w:hint="cs"/>
          <w:rtl/>
        </w:rPr>
        <w:t>الألباني</w:t>
      </w:r>
      <w:r w:rsidRPr="000A4159">
        <w:rPr>
          <w:rFonts w:cs="Taher"/>
          <w:vertAlign w:val="superscript"/>
          <w:rtl/>
        </w:rPr>
        <w:t>(</w:t>
      </w:r>
      <w:r w:rsidRPr="000A4159">
        <w:rPr>
          <w:rStyle w:val="FootnoteReference"/>
          <w:rFonts w:cs="Taher"/>
          <w:rtl/>
        </w:rPr>
        <w:footnoteReference w:id="311"/>
      </w:r>
      <w:r w:rsidRPr="000A4159">
        <w:rPr>
          <w:rFonts w:cs="Taher"/>
          <w:vertAlign w:val="superscript"/>
          <w:rtl/>
        </w:rPr>
        <w:t>)</w:t>
      </w:r>
      <w:r w:rsidRPr="00822CE9">
        <w:rPr>
          <w:rFonts w:hint="cs"/>
          <w:rtl/>
        </w:rPr>
        <w:t>، والظاهر صحّة سندها الشيعي</w:t>
      </w:r>
      <w:r w:rsidR="001C2DAB">
        <w:rPr>
          <w:rFonts w:hint="cs"/>
          <w:rtl/>
        </w:rPr>
        <w:t>،</w:t>
      </w:r>
      <w:r w:rsidRPr="00822CE9">
        <w:rPr>
          <w:rFonts w:hint="cs"/>
          <w:rtl/>
        </w:rPr>
        <w:t xml:space="preserve"> كما صرّح </w:t>
      </w:r>
      <w:r w:rsidR="001C2DAB">
        <w:rPr>
          <w:rFonts w:hint="cs"/>
          <w:rtl/>
        </w:rPr>
        <w:t xml:space="preserve">بذلك السيد </w:t>
      </w:r>
      <w:r w:rsidRPr="00822CE9">
        <w:rPr>
          <w:rFonts w:hint="cs"/>
          <w:rtl/>
        </w:rPr>
        <w:t>الخوئي وال</w:t>
      </w:r>
      <w:r w:rsidR="001C2DAB">
        <w:rPr>
          <w:rFonts w:hint="cs"/>
          <w:rtl/>
        </w:rPr>
        <w:t xml:space="preserve">شيخ </w:t>
      </w:r>
      <w:r w:rsidRPr="00822CE9">
        <w:rPr>
          <w:rFonts w:hint="cs"/>
          <w:rtl/>
        </w:rPr>
        <w:t>الأميني وغيرهما</w:t>
      </w:r>
      <w:r w:rsidRPr="000A4159">
        <w:rPr>
          <w:rFonts w:cs="Taher"/>
          <w:vertAlign w:val="superscript"/>
          <w:rtl/>
        </w:rPr>
        <w:t>(</w:t>
      </w:r>
      <w:r w:rsidRPr="000A4159">
        <w:rPr>
          <w:rStyle w:val="FootnoteReference"/>
          <w:rFonts w:cs="Taher"/>
          <w:rtl/>
        </w:rPr>
        <w:footnoteReference w:id="312"/>
      </w:r>
      <w:r w:rsidRPr="000A4159">
        <w:rPr>
          <w:rFonts w:cs="Taher"/>
          <w:vertAlign w:val="superscript"/>
          <w:rtl/>
        </w:rPr>
        <w:t>)</w:t>
      </w:r>
      <w:r w:rsidR="001C2DAB">
        <w:rPr>
          <w:rFonts w:hint="cs"/>
          <w:rtl/>
        </w:rPr>
        <w:t>..</w:t>
      </w:r>
      <w:r w:rsidRPr="00822CE9">
        <w:rPr>
          <w:rFonts w:hint="cs"/>
          <w:rtl/>
        </w:rPr>
        <w:t xml:space="preserve"> إن</w:t>
      </w:r>
      <w:r w:rsidR="001C2DAB">
        <w:rPr>
          <w:rFonts w:hint="cs"/>
          <w:rtl/>
        </w:rPr>
        <w:t>ّ</w:t>
      </w:r>
      <w:r w:rsidRPr="00822CE9">
        <w:rPr>
          <w:rFonts w:hint="cs"/>
          <w:rtl/>
        </w:rPr>
        <w:t xml:space="preserve"> الاستناد إليها يواجه مشكلة واحدة، وه</w:t>
      </w:r>
      <w:r w:rsidR="00BC3A6F">
        <w:rPr>
          <w:rFonts w:hint="cs"/>
          <w:rtl/>
        </w:rPr>
        <w:t>و</w:t>
      </w:r>
      <w:r w:rsidRPr="00822CE9">
        <w:rPr>
          <w:rFonts w:hint="cs"/>
          <w:rtl/>
        </w:rPr>
        <w:t xml:space="preserve"> أن</w:t>
      </w:r>
      <w:r w:rsidR="001C2DAB">
        <w:rPr>
          <w:rFonts w:hint="cs"/>
          <w:rtl/>
        </w:rPr>
        <w:t>ّ</w:t>
      </w:r>
      <w:r w:rsidRPr="00822CE9">
        <w:rPr>
          <w:rFonts w:hint="cs"/>
          <w:rtl/>
        </w:rPr>
        <w:t>ها رويت بسندين معتبرين:</w:t>
      </w:r>
      <w:r w:rsidR="001C2DAB">
        <w:rPr>
          <w:rFonts w:hint="cs"/>
          <w:rtl/>
        </w:rPr>
        <w:t xml:space="preserve"> </w:t>
      </w:r>
      <w:r w:rsidRPr="00822CE9">
        <w:rPr>
          <w:rFonts w:hint="cs"/>
          <w:rtl/>
        </w:rPr>
        <w:t>أحدهما عن عبد الله بن سنان، وثانيهما عن أبي مريم، وفي الرواية</w:t>
      </w:r>
      <w:r w:rsidR="00BC3A6F">
        <w:rPr>
          <w:rFonts w:hint="cs"/>
          <w:rtl/>
        </w:rPr>
        <w:t xml:space="preserve"> </w:t>
      </w:r>
      <w:r w:rsidRPr="00822CE9">
        <w:rPr>
          <w:rFonts w:hint="cs"/>
          <w:rtl/>
        </w:rPr>
        <w:t>الثانية جاءت إضافة «هل تدري ما دون مظلمته؟ قلت: جعلت فداك دون أهله أو ماله أو ما شابه ذلك</w:t>
      </w:r>
      <w:r w:rsidR="001C2DAB">
        <w:rPr>
          <w:rFonts w:hint="cs"/>
          <w:rtl/>
        </w:rPr>
        <w:t>.</w:t>
      </w:r>
      <w:r w:rsidRPr="00822CE9">
        <w:rPr>
          <w:rFonts w:hint="cs"/>
          <w:rtl/>
        </w:rPr>
        <w:t xml:space="preserve"> قال: إن</w:t>
      </w:r>
      <w:r w:rsidR="001C2DAB">
        <w:rPr>
          <w:rFonts w:hint="cs"/>
          <w:rtl/>
        </w:rPr>
        <w:t>ّ</w:t>
      </w:r>
      <w:r w:rsidRPr="00822CE9">
        <w:rPr>
          <w:rFonts w:hint="cs"/>
          <w:rtl/>
        </w:rPr>
        <w:t xml:space="preserve"> من الفقه عرفان الحق</w:t>
      </w:r>
      <w:r w:rsidR="001C2DAB">
        <w:rPr>
          <w:rFonts w:hint="cs"/>
          <w:rtl/>
        </w:rPr>
        <w:t>ّ</w:t>
      </w:r>
      <w:r w:rsidRPr="00822CE9">
        <w:rPr>
          <w:rFonts w:hint="cs"/>
          <w:rtl/>
        </w:rPr>
        <w:t>»</w:t>
      </w:r>
      <w:r w:rsidR="001C2DAB">
        <w:rPr>
          <w:rFonts w:hint="cs"/>
          <w:rtl/>
        </w:rPr>
        <w:t>،</w:t>
      </w:r>
      <w:r w:rsidRPr="00822CE9">
        <w:rPr>
          <w:rFonts w:hint="cs"/>
          <w:rtl/>
        </w:rPr>
        <w:t xml:space="preserve"> فإن</w:t>
      </w:r>
      <w:r w:rsidR="001C2DAB">
        <w:rPr>
          <w:rFonts w:hint="cs"/>
          <w:rtl/>
        </w:rPr>
        <w:t>ّ</w:t>
      </w:r>
      <w:r w:rsidRPr="00822CE9">
        <w:rPr>
          <w:rFonts w:hint="cs"/>
          <w:rtl/>
        </w:rPr>
        <w:t xml:space="preserve"> هذه الإضافة تؤك</w:t>
      </w:r>
      <w:r w:rsidR="001C2DAB">
        <w:rPr>
          <w:rFonts w:hint="cs"/>
          <w:rtl/>
        </w:rPr>
        <w:t>ّ</w:t>
      </w:r>
      <w:r w:rsidRPr="00822CE9">
        <w:rPr>
          <w:rFonts w:hint="cs"/>
          <w:rtl/>
        </w:rPr>
        <w:t>د تفسير هذا النص</w:t>
      </w:r>
      <w:r w:rsidR="001C2DAB">
        <w:rPr>
          <w:rFonts w:hint="cs"/>
          <w:rtl/>
        </w:rPr>
        <w:t>ّ</w:t>
      </w:r>
      <w:r w:rsidRPr="00822CE9">
        <w:rPr>
          <w:rFonts w:hint="cs"/>
          <w:rtl/>
        </w:rPr>
        <w:t xml:space="preserve"> الوارد في مصادر الشيعة والسنّة على الأساس الشخصي، وكلمة «ما شابه ذلك» ظاهرة في المشابهة في القضايا الشخصي</w:t>
      </w:r>
      <w:r w:rsidR="001C2DAB">
        <w:rPr>
          <w:rFonts w:hint="cs"/>
          <w:rtl/>
        </w:rPr>
        <w:t>ّ</w:t>
      </w:r>
      <w:r w:rsidRPr="00822CE9">
        <w:rPr>
          <w:rFonts w:hint="cs"/>
          <w:rtl/>
        </w:rPr>
        <w:t>ة</w:t>
      </w:r>
      <w:r w:rsidR="001C2DAB">
        <w:rPr>
          <w:rFonts w:hint="cs"/>
          <w:rtl/>
        </w:rPr>
        <w:t>،</w:t>
      </w:r>
      <w:r w:rsidRPr="00822CE9">
        <w:rPr>
          <w:rFonts w:hint="cs"/>
          <w:rtl/>
        </w:rPr>
        <w:t xml:space="preserve"> لا </w:t>
      </w:r>
      <w:r w:rsidR="001C2DAB">
        <w:rPr>
          <w:rFonts w:hint="cs"/>
          <w:rtl/>
        </w:rPr>
        <w:t xml:space="preserve">في </w:t>
      </w:r>
      <w:r w:rsidRPr="00822CE9">
        <w:rPr>
          <w:rFonts w:hint="cs"/>
          <w:rtl/>
        </w:rPr>
        <w:t>مثل القضايا العامّة، فلا يُحرز انعقاد ظهور اطلاقي حج</w:t>
      </w:r>
      <w:r w:rsidR="001C2DAB">
        <w:rPr>
          <w:rFonts w:hint="cs"/>
          <w:rtl/>
        </w:rPr>
        <w:t>ّ</w:t>
      </w:r>
      <w:r w:rsidRPr="00822CE9">
        <w:rPr>
          <w:rFonts w:hint="cs"/>
          <w:rtl/>
        </w:rPr>
        <w:t xml:space="preserve">ة يشمل المقام في </w:t>
      </w:r>
      <w:r w:rsidR="001C2DAB">
        <w:rPr>
          <w:rFonts w:hint="cs"/>
          <w:rtl/>
        </w:rPr>
        <w:t>هذه</w:t>
      </w:r>
      <w:r w:rsidRPr="00822CE9">
        <w:rPr>
          <w:rFonts w:hint="cs"/>
          <w:rtl/>
        </w:rPr>
        <w:t xml:space="preserve"> الرواية.</w:t>
      </w:r>
    </w:p>
    <w:p w14:paraId="22A8699D" w14:textId="77777777" w:rsidR="000A4159" w:rsidRPr="005D35B4" w:rsidRDefault="001C2DAB" w:rsidP="005D35B4">
      <w:pPr>
        <w:pStyle w:val="normal930"/>
        <w:rPr>
          <w:b/>
          <w:bCs/>
          <w:rtl/>
        </w:rPr>
      </w:pPr>
      <w:r w:rsidRPr="005D35B4">
        <w:rPr>
          <w:rFonts w:hint="cs"/>
          <w:b/>
          <w:bCs/>
          <w:rtl/>
        </w:rPr>
        <w:t>وبهذا يظهر أنّ هذه المناقشة الأولى غير صحيحة.</w:t>
      </w:r>
    </w:p>
    <w:p w14:paraId="31E86A4D" w14:textId="77777777" w:rsidR="000A4159" w:rsidRPr="00822CE9" w:rsidRDefault="000A4159" w:rsidP="007F54FE">
      <w:pPr>
        <w:rPr>
          <w:rtl/>
        </w:rPr>
      </w:pPr>
      <w:r w:rsidRPr="001C2DAB">
        <w:rPr>
          <w:rFonts w:hint="cs"/>
          <w:b/>
          <w:bCs/>
          <w:rtl/>
        </w:rPr>
        <w:t>ثانياً:</w:t>
      </w:r>
      <w:r w:rsidRPr="00822CE9">
        <w:rPr>
          <w:rFonts w:hint="cs"/>
          <w:rtl/>
        </w:rPr>
        <w:t xml:space="preserve"> إن</w:t>
      </w:r>
      <w:r w:rsidR="001C2DAB">
        <w:rPr>
          <w:rFonts w:hint="cs"/>
          <w:rtl/>
        </w:rPr>
        <w:t>ّ</w:t>
      </w:r>
      <w:r w:rsidRPr="00822CE9">
        <w:rPr>
          <w:rFonts w:hint="cs"/>
          <w:rtl/>
        </w:rPr>
        <w:t xml:space="preserve"> حالة العدوان المحض لا تحتاج إلى أدلّة الدفاع عن النفس</w:t>
      </w:r>
      <w:r w:rsidR="001C2DAB">
        <w:rPr>
          <w:rFonts w:hint="cs"/>
          <w:rtl/>
        </w:rPr>
        <w:t>،</w:t>
      </w:r>
      <w:r w:rsidRPr="00822CE9">
        <w:rPr>
          <w:rFonts w:hint="cs"/>
          <w:rtl/>
        </w:rPr>
        <w:t xml:space="preserve"> بل يمكن أن ي</w:t>
      </w:r>
      <w:r w:rsidR="001C2DAB">
        <w:rPr>
          <w:rFonts w:hint="cs"/>
          <w:rtl/>
        </w:rPr>
        <w:t>ُ</w:t>
      </w:r>
      <w:r w:rsidRPr="00822CE9">
        <w:rPr>
          <w:rFonts w:hint="cs"/>
          <w:rtl/>
        </w:rPr>
        <w:t xml:space="preserve">ستند فيها إلى قوله تعالى: </w:t>
      </w:r>
      <w:r w:rsidRPr="00822CE9">
        <w:rPr>
          <w:rtl/>
        </w:rPr>
        <w:t>﴿</w:t>
      </w:r>
      <w:r w:rsidRPr="001C2DAB">
        <w:rPr>
          <w:rFonts w:hint="cs"/>
          <w:b/>
          <w:bCs/>
          <w:rtl/>
        </w:rPr>
        <w:t>فَمَنِ اعْتَدَى عَلَيْكُمْ فَاعْتَدُوا عَلَيْهِ بِمِثْلِ مَا اعْتَدَى عَلَيْكُمْ</w:t>
      </w:r>
      <w:r w:rsidRPr="00822CE9">
        <w:rPr>
          <w:rtl/>
        </w:rPr>
        <w:t>﴾</w:t>
      </w:r>
      <w:r w:rsidRPr="00822CE9">
        <w:rPr>
          <w:rFonts w:hint="cs"/>
          <w:rtl/>
        </w:rPr>
        <w:t xml:space="preserve"> (البقرة: 194)، فإنّ </w:t>
      </w:r>
      <w:r w:rsidRPr="00822CE9">
        <w:rPr>
          <w:rFonts w:hint="cs"/>
          <w:rtl/>
        </w:rPr>
        <w:lastRenderedPageBreak/>
        <w:t>مفهوم ردّ العدوان بالمثل مفهوم</w:t>
      </w:r>
      <w:r w:rsidR="001C2DAB">
        <w:rPr>
          <w:rFonts w:hint="cs"/>
          <w:rtl/>
        </w:rPr>
        <w:t>ٌ</w:t>
      </w:r>
      <w:r w:rsidRPr="00822CE9">
        <w:rPr>
          <w:rFonts w:hint="cs"/>
          <w:rtl/>
        </w:rPr>
        <w:t xml:space="preserve"> قرآني عام استخدمه الفقهاء حتى لو كان السياق هو سياق الردّ على الكفار في هتكهم حرمة الشهر الحرام؛ إذ لسانها تقعيدي بكبرى عام</w:t>
      </w:r>
      <w:r w:rsidR="001C2DAB">
        <w:rPr>
          <w:rFonts w:hint="cs"/>
          <w:rtl/>
        </w:rPr>
        <w:t>ّ</w:t>
      </w:r>
      <w:r w:rsidRPr="00822CE9">
        <w:rPr>
          <w:rFonts w:hint="cs"/>
          <w:rtl/>
        </w:rPr>
        <w:t>ة.</w:t>
      </w:r>
      <w:r w:rsidR="001C2DAB">
        <w:rPr>
          <w:rFonts w:hint="cs"/>
          <w:rtl/>
        </w:rPr>
        <w:t xml:space="preserve"> </w:t>
      </w:r>
      <w:r w:rsidRPr="00822CE9">
        <w:rPr>
          <w:rFonts w:hint="cs"/>
          <w:rtl/>
        </w:rPr>
        <w:t xml:space="preserve">بل يصحّ هنا الاستناد إلى </w:t>
      </w:r>
      <w:r w:rsidR="001C2DAB">
        <w:rPr>
          <w:rFonts w:hint="cs"/>
          <w:rtl/>
        </w:rPr>
        <w:t>أ</w:t>
      </w:r>
      <w:r w:rsidRPr="00822CE9">
        <w:rPr>
          <w:rFonts w:hint="cs"/>
          <w:rtl/>
        </w:rPr>
        <w:t>دلّة محاربة البغاة وفق ما تقدّم.</w:t>
      </w:r>
    </w:p>
    <w:p w14:paraId="3C42E3A4" w14:textId="77777777" w:rsidR="000A4159" w:rsidRPr="00822CE9" w:rsidRDefault="000A4159" w:rsidP="007F54FE">
      <w:pPr>
        <w:rPr>
          <w:rtl/>
        </w:rPr>
      </w:pPr>
      <w:r w:rsidRPr="00ED58C2">
        <w:rPr>
          <w:rFonts w:hint="cs"/>
          <w:b/>
          <w:bCs/>
          <w:rtl/>
        </w:rPr>
        <w:t>ثالثاً:</w:t>
      </w:r>
      <w:r w:rsidRPr="00822CE9">
        <w:rPr>
          <w:rFonts w:hint="cs"/>
          <w:rtl/>
        </w:rPr>
        <w:t xml:space="preserve"> إن</w:t>
      </w:r>
      <w:r w:rsidR="00ED58C2">
        <w:rPr>
          <w:rFonts w:hint="cs"/>
          <w:rtl/>
        </w:rPr>
        <w:t>ّ</w:t>
      </w:r>
      <w:r w:rsidRPr="00822CE9">
        <w:rPr>
          <w:rFonts w:hint="cs"/>
          <w:rtl/>
        </w:rPr>
        <w:t xml:space="preserve"> أصالة الاحتياط في الدماء إن</w:t>
      </w:r>
      <w:r w:rsidR="00ED58C2">
        <w:rPr>
          <w:rFonts w:hint="cs"/>
          <w:rtl/>
        </w:rPr>
        <w:t>ّ</w:t>
      </w:r>
      <w:r w:rsidRPr="00822CE9">
        <w:rPr>
          <w:rFonts w:hint="cs"/>
          <w:rtl/>
        </w:rPr>
        <w:t>ما تجري في موارد الشك</w:t>
      </w:r>
      <w:r w:rsidR="00ED58C2">
        <w:rPr>
          <w:rFonts w:hint="cs"/>
          <w:rtl/>
        </w:rPr>
        <w:t>ّ</w:t>
      </w:r>
      <w:r w:rsidRPr="00822CE9">
        <w:rPr>
          <w:rFonts w:hint="cs"/>
          <w:rtl/>
        </w:rPr>
        <w:t xml:space="preserve"> والشبهة، لكن</w:t>
      </w:r>
      <w:r w:rsidR="00ED58C2">
        <w:rPr>
          <w:rFonts w:hint="cs"/>
          <w:rtl/>
        </w:rPr>
        <w:t>ّ</w:t>
      </w:r>
      <w:r w:rsidRPr="00822CE9">
        <w:rPr>
          <w:rFonts w:hint="cs"/>
          <w:rtl/>
        </w:rPr>
        <w:t>نا هنا نتمسّك بدليل الدفاع عن النفس مثلاً، هذا فضلاً عن أن</w:t>
      </w:r>
      <w:r w:rsidR="00ED58C2">
        <w:rPr>
          <w:rFonts w:hint="cs"/>
          <w:rtl/>
        </w:rPr>
        <w:t>ّ</w:t>
      </w:r>
      <w:r w:rsidRPr="00822CE9">
        <w:rPr>
          <w:rFonts w:hint="cs"/>
          <w:rtl/>
        </w:rPr>
        <w:t xml:space="preserve"> عدم الدفاع معناه تعريض النفس للهلاك</w:t>
      </w:r>
      <w:r w:rsidR="00ED58C2">
        <w:rPr>
          <w:rFonts w:hint="cs"/>
          <w:rtl/>
        </w:rPr>
        <w:t>،</w:t>
      </w:r>
      <w:r w:rsidRPr="00822CE9">
        <w:rPr>
          <w:rFonts w:hint="cs"/>
          <w:rtl/>
        </w:rPr>
        <w:t xml:space="preserve"> وهذا خلاف الاحتياط في الدم، فقد يكون في الدفاع </w:t>
      </w:r>
      <w:r w:rsidR="00ED58C2">
        <w:rPr>
          <w:rFonts w:hint="cs"/>
          <w:rtl/>
        </w:rPr>
        <w:t>ال</w:t>
      </w:r>
      <w:r w:rsidRPr="00822CE9">
        <w:rPr>
          <w:rFonts w:hint="cs"/>
          <w:rtl/>
        </w:rPr>
        <w:t>حد</w:t>
      </w:r>
      <w:r w:rsidR="00ED58C2">
        <w:rPr>
          <w:rFonts w:hint="cs"/>
          <w:rtl/>
        </w:rPr>
        <w:t>ُّ</w:t>
      </w:r>
      <w:r w:rsidRPr="00822CE9">
        <w:rPr>
          <w:rFonts w:hint="cs"/>
          <w:rtl/>
        </w:rPr>
        <w:t xml:space="preserve"> من سفك الدماء</w:t>
      </w:r>
      <w:r w:rsidRPr="000A4159">
        <w:rPr>
          <w:rFonts w:cs="Taher"/>
          <w:vertAlign w:val="superscript"/>
          <w:rtl/>
        </w:rPr>
        <w:t>(</w:t>
      </w:r>
      <w:r w:rsidRPr="000A4159">
        <w:rPr>
          <w:rStyle w:val="FootnoteReference"/>
          <w:rFonts w:cs="Taher"/>
          <w:rtl/>
        </w:rPr>
        <w:footnoteReference w:id="313"/>
      </w:r>
      <w:r w:rsidRPr="000A4159">
        <w:rPr>
          <w:rFonts w:cs="Taher"/>
          <w:vertAlign w:val="superscript"/>
          <w:rtl/>
        </w:rPr>
        <w:t>)</w:t>
      </w:r>
      <w:r w:rsidRPr="00822CE9">
        <w:rPr>
          <w:rtl/>
        </w:rPr>
        <w:t>.</w:t>
      </w:r>
    </w:p>
    <w:p w14:paraId="6D23D1FB" w14:textId="77777777" w:rsidR="000A4159" w:rsidRPr="00822CE9" w:rsidRDefault="000A4159" w:rsidP="007F54FE">
      <w:pPr>
        <w:pStyle w:val="normal930"/>
        <w:rPr>
          <w:rtl/>
        </w:rPr>
      </w:pPr>
      <w:r w:rsidRPr="00ED58C2">
        <w:rPr>
          <w:rFonts w:hint="cs"/>
          <w:b/>
          <w:bCs/>
          <w:rtl/>
        </w:rPr>
        <w:t>وهذا الك</w:t>
      </w:r>
      <w:r w:rsidR="00ED58C2">
        <w:rPr>
          <w:rFonts w:hint="cs"/>
          <w:b/>
          <w:bCs/>
          <w:rtl/>
        </w:rPr>
        <w:t>لام صحيح مع استبدال الدليل المق</w:t>
      </w:r>
      <w:r w:rsidRPr="00ED58C2">
        <w:rPr>
          <w:rFonts w:hint="cs"/>
          <w:b/>
          <w:bCs/>
          <w:rtl/>
        </w:rPr>
        <w:t>د</w:t>
      </w:r>
      <w:r w:rsidR="00ED58C2">
        <w:rPr>
          <w:rFonts w:hint="cs"/>
          <w:b/>
          <w:bCs/>
          <w:rtl/>
        </w:rPr>
        <w:t>ّ</w:t>
      </w:r>
      <w:r w:rsidRPr="00ED58C2">
        <w:rPr>
          <w:rFonts w:hint="cs"/>
          <w:b/>
          <w:bCs/>
          <w:rtl/>
        </w:rPr>
        <w:t>م على أصالة الاحتياط بدليل ردّ الاعتداء بالمثل مكان الدفاع عن النفس أو</w:t>
      </w:r>
      <w:r w:rsidR="00ED58C2">
        <w:rPr>
          <w:rFonts w:hint="cs"/>
          <w:b/>
          <w:bCs/>
          <w:rtl/>
        </w:rPr>
        <w:t>ّ</w:t>
      </w:r>
      <w:r w:rsidRPr="00ED58C2">
        <w:rPr>
          <w:rFonts w:hint="cs"/>
          <w:b/>
          <w:bCs/>
          <w:rtl/>
        </w:rPr>
        <w:t>لاً،</w:t>
      </w:r>
      <w:r w:rsidRPr="00822CE9">
        <w:rPr>
          <w:rFonts w:hint="cs"/>
          <w:rtl/>
        </w:rPr>
        <w:t xml:space="preserve"> ثم عدم تعميم حفظ الدماء بحالة الدفاع، إذ وإن صدق في الجملة لكن</w:t>
      </w:r>
      <w:r w:rsidR="00ED58C2">
        <w:rPr>
          <w:rFonts w:hint="cs"/>
          <w:rtl/>
        </w:rPr>
        <w:t>ّ</w:t>
      </w:r>
      <w:r w:rsidRPr="00822CE9">
        <w:rPr>
          <w:rFonts w:hint="cs"/>
          <w:rtl/>
        </w:rPr>
        <w:t>ه ليس بالجملة، فإن</w:t>
      </w:r>
      <w:r w:rsidR="00ED58C2">
        <w:rPr>
          <w:rFonts w:hint="cs"/>
          <w:rtl/>
        </w:rPr>
        <w:t>ّ</w:t>
      </w:r>
      <w:r w:rsidRPr="00822CE9">
        <w:rPr>
          <w:rFonts w:hint="cs"/>
          <w:rtl/>
        </w:rPr>
        <w:t xml:space="preserve"> التصدّي للحاكم قد يكون أحياناً موجباً لمضاعفة سفك الدماء</w:t>
      </w:r>
      <w:r w:rsidR="00ED58C2">
        <w:rPr>
          <w:rFonts w:hint="cs"/>
          <w:rtl/>
        </w:rPr>
        <w:t>، دون</w:t>
      </w:r>
      <w:r w:rsidRPr="00822CE9">
        <w:rPr>
          <w:rFonts w:hint="cs"/>
          <w:rtl/>
        </w:rPr>
        <w:t xml:space="preserve"> </w:t>
      </w:r>
      <w:r w:rsidR="00ED58C2">
        <w:rPr>
          <w:rFonts w:hint="cs"/>
          <w:rtl/>
        </w:rPr>
        <w:t>ا</w:t>
      </w:r>
      <w:r w:rsidRPr="00822CE9">
        <w:rPr>
          <w:rFonts w:hint="cs"/>
          <w:rtl/>
        </w:rPr>
        <w:t>لحدّ منها، فالصدق جزئي</w:t>
      </w:r>
      <w:r w:rsidR="00ED58C2">
        <w:rPr>
          <w:rFonts w:hint="cs"/>
          <w:rtl/>
        </w:rPr>
        <w:t>ٌّ</w:t>
      </w:r>
      <w:r w:rsidRPr="00822CE9">
        <w:rPr>
          <w:rFonts w:hint="cs"/>
          <w:rtl/>
        </w:rPr>
        <w:t xml:space="preserve"> وليس كلّي</w:t>
      </w:r>
      <w:r w:rsidR="00ED58C2">
        <w:rPr>
          <w:rFonts w:hint="cs"/>
          <w:rtl/>
        </w:rPr>
        <w:t>ّاً</w:t>
      </w:r>
      <w:r w:rsidRPr="00822CE9">
        <w:rPr>
          <w:rFonts w:hint="cs"/>
          <w:rtl/>
        </w:rPr>
        <w:t>.</w:t>
      </w:r>
    </w:p>
    <w:p w14:paraId="123B8E5C" w14:textId="77777777" w:rsidR="000A4159" w:rsidRPr="00822CE9" w:rsidRDefault="000A4159" w:rsidP="005D35B4">
      <w:pPr>
        <w:pStyle w:val="normal930"/>
        <w:rPr>
          <w:rtl/>
        </w:rPr>
      </w:pPr>
      <w:r w:rsidRPr="00ED58C2">
        <w:rPr>
          <w:rFonts w:hint="cs"/>
          <w:b/>
          <w:bCs/>
          <w:rtl/>
        </w:rPr>
        <w:t xml:space="preserve">رابعاً: </w:t>
      </w:r>
      <w:r w:rsidRPr="00822CE9">
        <w:rPr>
          <w:rFonts w:hint="cs"/>
          <w:rtl/>
        </w:rPr>
        <w:t>إنّ آية ابن</w:t>
      </w:r>
      <w:r w:rsidR="00ED58C2">
        <w:rPr>
          <w:rFonts w:hint="cs"/>
          <w:rtl/>
        </w:rPr>
        <w:t>َ</w:t>
      </w:r>
      <w:r w:rsidRPr="00822CE9">
        <w:rPr>
          <w:rFonts w:hint="cs"/>
          <w:rtl/>
        </w:rPr>
        <w:t>ي آدم حكم</w:t>
      </w:r>
      <w:r w:rsidR="00ED58C2">
        <w:rPr>
          <w:rFonts w:hint="cs"/>
          <w:rtl/>
        </w:rPr>
        <w:t>ٌ</w:t>
      </w:r>
      <w:r w:rsidRPr="00822CE9">
        <w:rPr>
          <w:rFonts w:hint="cs"/>
          <w:rtl/>
        </w:rPr>
        <w:t xml:space="preserve"> شرعي ورد في الشرائع السابقة، وقد ثبت نسخه بالكتاب والسنّة والأدلة القطعي</w:t>
      </w:r>
      <w:r w:rsidR="00ED58C2">
        <w:rPr>
          <w:rFonts w:hint="cs"/>
          <w:rtl/>
        </w:rPr>
        <w:t>ّ</w:t>
      </w:r>
      <w:r w:rsidRPr="00822CE9">
        <w:rPr>
          <w:rFonts w:hint="cs"/>
          <w:rtl/>
        </w:rPr>
        <w:t>ة الدالة على القصاص والجزاء والدفاع عن النفس</w:t>
      </w:r>
      <w:r w:rsidRPr="000A4159">
        <w:rPr>
          <w:rFonts w:cs="Taher"/>
          <w:vertAlign w:val="superscript"/>
          <w:rtl/>
        </w:rPr>
        <w:t>(</w:t>
      </w:r>
      <w:r w:rsidRPr="000A4159">
        <w:rPr>
          <w:rStyle w:val="FootnoteReference"/>
          <w:rFonts w:cs="Taher"/>
          <w:rtl/>
        </w:rPr>
        <w:footnoteReference w:id="314"/>
      </w:r>
      <w:r w:rsidRPr="000A4159">
        <w:rPr>
          <w:rFonts w:cs="Taher"/>
          <w:vertAlign w:val="superscript"/>
          <w:rtl/>
        </w:rPr>
        <w:t>)</w:t>
      </w:r>
      <w:r w:rsidRPr="00822CE9">
        <w:rPr>
          <w:rFonts w:hint="cs"/>
          <w:rtl/>
        </w:rPr>
        <w:t>.</w:t>
      </w:r>
    </w:p>
    <w:p w14:paraId="11D122C9" w14:textId="77777777" w:rsidR="000A4159" w:rsidRPr="00822CE9" w:rsidRDefault="000A4159" w:rsidP="005D35B4">
      <w:pPr>
        <w:spacing w:line="202" w:lineRule="auto"/>
        <w:rPr>
          <w:rtl/>
        </w:rPr>
      </w:pPr>
      <w:r w:rsidRPr="00ED58C2">
        <w:rPr>
          <w:rFonts w:hint="cs"/>
          <w:b/>
          <w:bCs/>
          <w:rtl/>
        </w:rPr>
        <w:t>وهذا الكلام تام</w:t>
      </w:r>
      <w:r w:rsidR="00ED58C2">
        <w:rPr>
          <w:rFonts w:hint="cs"/>
          <w:b/>
          <w:bCs/>
          <w:rtl/>
        </w:rPr>
        <w:t>ٌّ</w:t>
      </w:r>
      <w:r w:rsidRPr="00ED58C2">
        <w:rPr>
          <w:rFonts w:hint="cs"/>
          <w:b/>
          <w:bCs/>
          <w:rtl/>
        </w:rPr>
        <w:t xml:space="preserve"> إذا فسّرت الآية بعد</w:t>
      </w:r>
      <w:r w:rsidR="00BC3A6F">
        <w:rPr>
          <w:rFonts w:hint="cs"/>
          <w:b/>
          <w:bCs/>
          <w:rtl/>
        </w:rPr>
        <w:t>م</w:t>
      </w:r>
      <w:r w:rsidRPr="00ED58C2">
        <w:rPr>
          <w:rFonts w:hint="cs"/>
          <w:b/>
          <w:bCs/>
          <w:rtl/>
        </w:rPr>
        <w:t xml:space="preserve"> جواز الدفاع،</w:t>
      </w:r>
      <w:r w:rsidRPr="00822CE9">
        <w:rPr>
          <w:rFonts w:hint="cs"/>
          <w:rtl/>
        </w:rPr>
        <w:t xml:space="preserve"> وإن كان يمكن تفسيرها بما يخرجها عن مورد البحث هنا، وعلى أيّ تقدير فهذه الآية ليست مستنداً هنا.</w:t>
      </w:r>
    </w:p>
    <w:p w14:paraId="1F3037D0" w14:textId="77777777" w:rsidR="000A4159" w:rsidRPr="00BC3A6F" w:rsidRDefault="000A4159" w:rsidP="005D35B4">
      <w:pPr>
        <w:spacing w:line="202" w:lineRule="auto"/>
        <w:rPr>
          <w:b/>
          <w:bCs/>
          <w:rtl/>
        </w:rPr>
      </w:pPr>
      <w:r w:rsidRPr="00BC3A6F">
        <w:rPr>
          <w:rFonts w:hint="cs"/>
          <w:b/>
          <w:bCs/>
          <w:rtl/>
        </w:rPr>
        <w:t>وبهذا يظهر أن</w:t>
      </w:r>
      <w:r w:rsidR="00ED58C2" w:rsidRPr="00BC3A6F">
        <w:rPr>
          <w:rFonts w:hint="cs"/>
          <w:b/>
          <w:bCs/>
          <w:rtl/>
        </w:rPr>
        <w:t>ّ</w:t>
      </w:r>
      <w:r w:rsidRPr="00BC3A6F">
        <w:rPr>
          <w:rFonts w:hint="cs"/>
          <w:b/>
          <w:bCs/>
          <w:rtl/>
        </w:rPr>
        <w:t xml:space="preserve"> للحركة الإسلامي</w:t>
      </w:r>
      <w:r w:rsidR="00ED58C2" w:rsidRPr="00BC3A6F">
        <w:rPr>
          <w:rFonts w:hint="cs"/>
          <w:b/>
          <w:bCs/>
          <w:rtl/>
        </w:rPr>
        <w:t>ّ</w:t>
      </w:r>
      <w:r w:rsidRPr="00BC3A6F">
        <w:rPr>
          <w:rFonts w:hint="cs"/>
          <w:b/>
          <w:bCs/>
          <w:rtl/>
        </w:rPr>
        <w:t>ة الدفاع عن نفسها برد</w:t>
      </w:r>
      <w:r w:rsidR="00ED58C2" w:rsidRPr="00BC3A6F">
        <w:rPr>
          <w:rFonts w:hint="cs"/>
          <w:b/>
          <w:bCs/>
          <w:rtl/>
        </w:rPr>
        <w:t>ّ</w:t>
      </w:r>
      <w:r w:rsidRPr="00BC3A6F">
        <w:rPr>
          <w:rFonts w:hint="cs"/>
          <w:b/>
          <w:bCs/>
          <w:rtl/>
        </w:rPr>
        <w:t xml:space="preserve"> الاعتداء عليها بمثله، </w:t>
      </w:r>
      <w:r w:rsidR="00ED58C2" w:rsidRPr="00BC3A6F">
        <w:rPr>
          <w:rFonts w:hint="cs"/>
          <w:b/>
          <w:bCs/>
          <w:rtl/>
        </w:rPr>
        <w:t xml:space="preserve">لا </w:t>
      </w:r>
      <w:r w:rsidRPr="00BC3A6F">
        <w:rPr>
          <w:rFonts w:hint="cs"/>
          <w:b/>
          <w:bCs/>
          <w:rtl/>
        </w:rPr>
        <w:t>سيما لو كان قانون الأهم</w:t>
      </w:r>
      <w:r w:rsidR="00ED58C2" w:rsidRPr="00BC3A6F">
        <w:rPr>
          <w:rFonts w:hint="cs"/>
          <w:b/>
          <w:bCs/>
          <w:rtl/>
        </w:rPr>
        <w:t>ّ</w:t>
      </w:r>
      <w:r w:rsidRPr="00BC3A6F">
        <w:rPr>
          <w:rFonts w:hint="cs"/>
          <w:b/>
          <w:bCs/>
          <w:rtl/>
        </w:rPr>
        <w:t xml:space="preserve"> والمهم يقف لصالح ذلك في بعض الموارد، وعلى الحركة أ</w:t>
      </w:r>
      <w:r w:rsidR="00ED58C2" w:rsidRPr="00BC3A6F">
        <w:rPr>
          <w:rFonts w:hint="cs"/>
          <w:b/>
          <w:bCs/>
          <w:rtl/>
        </w:rPr>
        <w:t>ن</w:t>
      </w:r>
      <w:r w:rsidRPr="00BC3A6F">
        <w:rPr>
          <w:rFonts w:hint="cs"/>
          <w:b/>
          <w:bCs/>
          <w:rtl/>
        </w:rPr>
        <w:t xml:space="preserve"> تدرس المرحلة، وهل الجدوى قائمة في المواجهة أ</w:t>
      </w:r>
      <w:r w:rsidR="00ED58C2" w:rsidRPr="00BC3A6F">
        <w:rPr>
          <w:rFonts w:hint="cs"/>
          <w:b/>
          <w:bCs/>
          <w:rtl/>
        </w:rPr>
        <w:t>و</w:t>
      </w:r>
      <w:r w:rsidRPr="00BC3A6F">
        <w:rPr>
          <w:rFonts w:hint="cs"/>
          <w:b/>
          <w:bCs/>
          <w:rtl/>
        </w:rPr>
        <w:t xml:space="preserve"> لا؟</w:t>
      </w:r>
    </w:p>
    <w:p w14:paraId="17D9E248" w14:textId="77777777" w:rsidR="000A4159" w:rsidRPr="00822CE9" w:rsidRDefault="00ED58C2" w:rsidP="005D35B4">
      <w:pPr>
        <w:spacing w:line="202" w:lineRule="auto"/>
        <w:rPr>
          <w:rtl/>
        </w:rPr>
      </w:pPr>
      <w:r w:rsidRPr="00BC3A6F">
        <w:rPr>
          <w:rFonts w:hint="cs"/>
          <w:b/>
          <w:bCs/>
          <w:rtl/>
        </w:rPr>
        <w:t xml:space="preserve">لكن </w:t>
      </w:r>
      <w:r w:rsidR="000A4159" w:rsidRPr="00BC3A6F">
        <w:rPr>
          <w:rFonts w:hint="cs"/>
          <w:b/>
          <w:bCs/>
          <w:rtl/>
        </w:rPr>
        <w:t>يشترط في ذلك أن ينحصر الأمر بأسلوب العنف</w:t>
      </w:r>
      <w:r w:rsidRPr="00BC3A6F">
        <w:rPr>
          <w:rFonts w:hint="cs"/>
          <w:b/>
          <w:bCs/>
          <w:rtl/>
        </w:rPr>
        <w:t>،</w:t>
      </w:r>
      <w:r w:rsidR="000A4159" w:rsidRPr="00BC3A6F">
        <w:rPr>
          <w:rFonts w:hint="cs"/>
          <w:b/>
          <w:bCs/>
          <w:rtl/>
        </w:rPr>
        <w:t xml:space="preserve"> فإن أمكن الوصول بطريق</w:t>
      </w:r>
      <w:r w:rsidRPr="00BC3A6F">
        <w:rPr>
          <w:rFonts w:hint="cs"/>
          <w:b/>
          <w:bCs/>
          <w:rtl/>
        </w:rPr>
        <w:t>ٍ آخر وجب، اق</w:t>
      </w:r>
      <w:r w:rsidR="000A4159" w:rsidRPr="00BC3A6F">
        <w:rPr>
          <w:rFonts w:hint="cs"/>
          <w:b/>
          <w:bCs/>
          <w:rtl/>
        </w:rPr>
        <w:t>تصار</w:t>
      </w:r>
      <w:r w:rsidRPr="00BC3A6F">
        <w:rPr>
          <w:rFonts w:hint="cs"/>
          <w:b/>
          <w:bCs/>
          <w:rtl/>
        </w:rPr>
        <w:t>اً</w:t>
      </w:r>
      <w:r w:rsidR="000A4159" w:rsidRPr="00BC3A6F">
        <w:rPr>
          <w:rFonts w:hint="cs"/>
          <w:b/>
          <w:bCs/>
          <w:rtl/>
        </w:rPr>
        <w:t xml:space="preserve"> في مخالفة </w:t>
      </w:r>
      <w:r w:rsidRPr="00BC3A6F">
        <w:rPr>
          <w:rFonts w:hint="cs"/>
          <w:b/>
          <w:bCs/>
          <w:rtl/>
        </w:rPr>
        <w:t>حرمة سفك الدماء و.. على الق</w:t>
      </w:r>
      <w:r w:rsidR="000A4159" w:rsidRPr="00BC3A6F">
        <w:rPr>
          <w:rFonts w:hint="cs"/>
          <w:b/>
          <w:bCs/>
          <w:rtl/>
        </w:rPr>
        <w:t>در المتيق</w:t>
      </w:r>
      <w:r w:rsidRPr="00BC3A6F">
        <w:rPr>
          <w:rFonts w:hint="cs"/>
          <w:b/>
          <w:bCs/>
          <w:rtl/>
        </w:rPr>
        <w:t>ّ</w:t>
      </w:r>
      <w:r w:rsidR="000A4159" w:rsidRPr="00BC3A6F">
        <w:rPr>
          <w:rFonts w:hint="cs"/>
          <w:b/>
          <w:bCs/>
          <w:rtl/>
        </w:rPr>
        <w:t>ن،</w:t>
      </w:r>
      <w:r w:rsidR="000A4159" w:rsidRPr="00822CE9">
        <w:rPr>
          <w:rFonts w:hint="cs"/>
          <w:rtl/>
        </w:rPr>
        <w:t xml:space="preserve"> كما أن</w:t>
      </w:r>
      <w:r>
        <w:rPr>
          <w:rFonts w:hint="cs"/>
          <w:rtl/>
        </w:rPr>
        <w:t>ّ</w:t>
      </w:r>
      <w:r w:rsidR="000A4159" w:rsidRPr="00822CE9">
        <w:rPr>
          <w:rFonts w:hint="cs"/>
          <w:rtl/>
        </w:rPr>
        <w:t xml:space="preserve"> ردّ الاعتداء يجب أن يقتصر على الطرف المعتدي</w:t>
      </w:r>
      <w:r>
        <w:rPr>
          <w:rFonts w:hint="cs"/>
          <w:rtl/>
        </w:rPr>
        <w:t>،</w:t>
      </w:r>
      <w:r w:rsidR="000A4159" w:rsidRPr="00822CE9">
        <w:rPr>
          <w:rFonts w:hint="cs"/>
          <w:rtl/>
        </w:rPr>
        <w:t xml:space="preserve"> لا أن يشمل سائر المرافق العام</w:t>
      </w:r>
      <w:r>
        <w:rPr>
          <w:rFonts w:hint="cs"/>
          <w:rtl/>
        </w:rPr>
        <w:t>ّ</w:t>
      </w:r>
      <w:r w:rsidR="000A4159" w:rsidRPr="00822CE9">
        <w:rPr>
          <w:rFonts w:hint="cs"/>
          <w:rtl/>
        </w:rPr>
        <w:t>ة ومصالح الناس</w:t>
      </w:r>
      <w:r>
        <w:rPr>
          <w:rFonts w:hint="cs"/>
          <w:rtl/>
        </w:rPr>
        <w:t>،</w:t>
      </w:r>
      <w:r w:rsidR="000A4159" w:rsidRPr="00822CE9">
        <w:rPr>
          <w:rFonts w:hint="cs"/>
          <w:rtl/>
        </w:rPr>
        <w:t xml:space="preserve"> فهذا ما لا يشمله الدليل هنا</w:t>
      </w:r>
      <w:r>
        <w:rPr>
          <w:rFonts w:hint="cs"/>
          <w:rtl/>
        </w:rPr>
        <w:t>.</w:t>
      </w:r>
      <w:r w:rsidR="000A4159" w:rsidRPr="00822CE9">
        <w:rPr>
          <w:rFonts w:hint="cs"/>
          <w:rtl/>
        </w:rPr>
        <w:t xml:space="preserve"> و</w:t>
      </w:r>
      <w:r>
        <w:rPr>
          <w:rFonts w:hint="cs"/>
          <w:rtl/>
        </w:rPr>
        <w:t>أ</w:t>
      </w:r>
      <w:r w:rsidR="000A4159" w:rsidRPr="00822CE9">
        <w:rPr>
          <w:rFonts w:hint="cs"/>
          <w:rtl/>
        </w:rPr>
        <w:t>م</w:t>
      </w:r>
      <w:r>
        <w:rPr>
          <w:rFonts w:hint="cs"/>
          <w:rtl/>
        </w:rPr>
        <w:t>ّ</w:t>
      </w:r>
      <w:r w:rsidR="000A4159" w:rsidRPr="00822CE9">
        <w:rPr>
          <w:rFonts w:hint="cs"/>
          <w:rtl/>
        </w:rPr>
        <w:t>ا ما ذكره الشيخ شمس الدين من شرط أن لا يؤد</w:t>
      </w:r>
      <w:r>
        <w:rPr>
          <w:rFonts w:hint="cs"/>
          <w:rtl/>
        </w:rPr>
        <w:t>ّ</w:t>
      </w:r>
      <w:r w:rsidR="000A4159" w:rsidRPr="00822CE9">
        <w:rPr>
          <w:rFonts w:hint="cs"/>
          <w:rtl/>
        </w:rPr>
        <w:t>ي دفاع الحركة الإسلامي</w:t>
      </w:r>
      <w:r>
        <w:rPr>
          <w:rFonts w:hint="cs"/>
          <w:rtl/>
        </w:rPr>
        <w:t>ّ</w:t>
      </w:r>
      <w:r w:rsidR="000A4159" w:rsidRPr="00822CE9">
        <w:rPr>
          <w:rFonts w:hint="cs"/>
          <w:rtl/>
        </w:rPr>
        <w:t xml:space="preserve">ة عن </w:t>
      </w:r>
      <w:r w:rsidR="000A4159" w:rsidRPr="00822CE9">
        <w:rPr>
          <w:rFonts w:hint="cs"/>
          <w:rtl/>
        </w:rPr>
        <w:lastRenderedPageBreak/>
        <w:t>نفسها إلى حدوث فتنة</w:t>
      </w:r>
      <w:r w:rsidR="000A4159" w:rsidRPr="000A4159">
        <w:rPr>
          <w:rFonts w:cs="Taher"/>
          <w:vertAlign w:val="superscript"/>
          <w:rtl/>
        </w:rPr>
        <w:t>(</w:t>
      </w:r>
      <w:r w:rsidR="000A4159" w:rsidRPr="000A4159">
        <w:rPr>
          <w:rStyle w:val="FootnoteReference"/>
          <w:rFonts w:cs="Taher"/>
          <w:rtl/>
        </w:rPr>
        <w:footnoteReference w:id="315"/>
      </w:r>
      <w:r w:rsidR="000A4159" w:rsidRPr="000A4159">
        <w:rPr>
          <w:rFonts w:cs="Taher"/>
          <w:vertAlign w:val="superscript"/>
          <w:rtl/>
        </w:rPr>
        <w:t>)</w:t>
      </w:r>
      <w:r w:rsidR="000A4159" w:rsidRPr="00822CE9">
        <w:rPr>
          <w:rFonts w:hint="cs"/>
          <w:rtl/>
        </w:rPr>
        <w:t>، فهذا غير واضح ما لم يت</w:t>
      </w:r>
      <w:r>
        <w:rPr>
          <w:rFonts w:hint="cs"/>
          <w:rtl/>
        </w:rPr>
        <w:t>عنون</w:t>
      </w:r>
      <w:r w:rsidR="000A4159" w:rsidRPr="00822CE9">
        <w:rPr>
          <w:rFonts w:hint="cs"/>
          <w:rtl/>
        </w:rPr>
        <w:t xml:space="preserve"> بعنوان آخر</w:t>
      </w:r>
      <w:r>
        <w:rPr>
          <w:rFonts w:hint="cs"/>
          <w:rtl/>
        </w:rPr>
        <w:t>ٍ</w:t>
      </w:r>
      <w:r w:rsidR="000A4159" w:rsidRPr="00822CE9">
        <w:rPr>
          <w:rFonts w:hint="cs"/>
          <w:rtl/>
        </w:rPr>
        <w:t>، ثانوي</w:t>
      </w:r>
      <w:r>
        <w:rPr>
          <w:rFonts w:hint="cs"/>
          <w:rtl/>
        </w:rPr>
        <w:t>ّ</w:t>
      </w:r>
      <w:r w:rsidR="000A4159" w:rsidRPr="00822CE9">
        <w:rPr>
          <w:rFonts w:hint="cs"/>
          <w:rtl/>
        </w:rPr>
        <w:t xml:space="preserve"> أو غيره.</w:t>
      </w:r>
    </w:p>
    <w:p w14:paraId="1CCAB515" w14:textId="77777777" w:rsidR="000A4159" w:rsidRPr="00ED58C2" w:rsidRDefault="00ED58C2" w:rsidP="0096148C">
      <w:pPr>
        <w:pStyle w:val="Heading3"/>
        <w:rPr>
          <w:rtl/>
        </w:rPr>
      </w:pPr>
      <w:bookmarkStart w:id="185" w:name="_Toc143804172"/>
      <w:bookmarkStart w:id="186" w:name="_Toc238123297"/>
      <w:r>
        <w:rPr>
          <w:rFonts w:hint="cs"/>
          <w:rtl/>
        </w:rPr>
        <w:t>ب</w:t>
      </w:r>
      <w:r w:rsidR="000A4159" w:rsidRPr="00ED58C2">
        <w:rPr>
          <w:rFonts w:hint="cs"/>
          <w:rtl/>
        </w:rPr>
        <w:t xml:space="preserve"> ـ العنف الدفاعي الناتج عن استفزاز</w:t>
      </w:r>
      <w:bookmarkEnd w:id="185"/>
      <w:bookmarkEnd w:id="186"/>
    </w:p>
    <w:p w14:paraId="2791A0B3" w14:textId="77777777" w:rsidR="000A4159" w:rsidRPr="00822CE9" w:rsidRDefault="00ED58C2" w:rsidP="005D35B4">
      <w:pPr>
        <w:pStyle w:val="normal870"/>
        <w:rPr>
          <w:rtl/>
        </w:rPr>
      </w:pPr>
      <w:r>
        <w:rPr>
          <w:rFonts w:hint="cs"/>
          <w:rtl/>
        </w:rPr>
        <w:t xml:space="preserve">وهو </w:t>
      </w:r>
      <w:r w:rsidR="000A4159" w:rsidRPr="00822CE9">
        <w:rPr>
          <w:rFonts w:hint="cs"/>
          <w:rtl/>
        </w:rPr>
        <w:t>أن تستخدم الحركة الإسلامي</w:t>
      </w:r>
      <w:r>
        <w:rPr>
          <w:rFonts w:hint="cs"/>
          <w:rtl/>
        </w:rPr>
        <w:t>ّ</w:t>
      </w:r>
      <w:r w:rsidR="000A4159" w:rsidRPr="00822CE9">
        <w:rPr>
          <w:rFonts w:hint="cs"/>
          <w:rtl/>
        </w:rPr>
        <w:t>ة أساليب استفزازي</w:t>
      </w:r>
      <w:r>
        <w:rPr>
          <w:rFonts w:hint="cs"/>
          <w:rtl/>
        </w:rPr>
        <w:t>ّ</w:t>
      </w:r>
      <w:r w:rsidR="000A4159" w:rsidRPr="00822CE9">
        <w:rPr>
          <w:rFonts w:hint="cs"/>
          <w:rtl/>
        </w:rPr>
        <w:t>ة</w:t>
      </w:r>
      <w:r>
        <w:rPr>
          <w:rFonts w:hint="cs"/>
          <w:rtl/>
        </w:rPr>
        <w:t>،</w:t>
      </w:r>
      <w:r w:rsidR="000A4159" w:rsidRPr="00822CE9">
        <w:rPr>
          <w:rFonts w:hint="cs"/>
          <w:rtl/>
        </w:rPr>
        <w:t xml:space="preserve"> فتلجأ الدولة للقو</w:t>
      </w:r>
      <w:r>
        <w:rPr>
          <w:rFonts w:hint="cs"/>
          <w:rtl/>
        </w:rPr>
        <w:t>ّ</w:t>
      </w:r>
      <w:r w:rsidR="000A4159" w:rsidRPr="00822CE9">
        <w:rPr>
          <w:rFonts w:hint="cs"/>
          <w:rtl/>
        </w:rPr>
        <w:t xml:space="preserve">ة والاعتداء، وهنا مهما كان الموقف من الاستفزاز، لا يحقّ للدولة القتل والتنكيل بالحركة، فيحقّ للحركة الدفاع وردّ العدوان بالمثل بناءً على ما </w:t>
      </w:r>
      <w:r>
        <w:rPr>
          <w:rFonts w:hint="cs"/>
          <w:rtl/>
        </w:rPr>
        <w:t xml:space="preserve">يُتبنّى </w:t>
      </w:r>
      <w:r w:rsidR="000A4159" w:rsidRPr="00822CE9">
        <w:rPr>
          <w:rFonts w:hint="cs"/>
          <w:rtl/>
        </w:rPr>
        <w:t>في الصورة السابقة، والشروط هناك هي الشروط هنا</w:t>
      </w:r>
      <w:r>
        <w:rPr>
          <w:rFonts w:hint="cs"/>
          <w:rtl/>
        </w:rPr>
        <w:t>، فلا نعيد ولا نطيل</w:t>
      </w:r>
      <w:r w:rsidR="000A4159" w:rsidRPr="00822CE9">
        <w:rPr>
          <w:rFonts w:hint="cs"/>
          <w:rtl/>
        </w:rPr>
        <w:t>.</w:t>
      </w:r>
    </w:p>
    <w:p w14:paraId="18CEC41A" w14:textId="77777777" w:rsidR="000A4159" w:rsidRPr="00ED58C2" w:rsidRDefault="00ED58C2" w:rsidP="0096148C">
      <w:pPr>
        <w:pStyle w:val="Heading3"/>
        <w:rPr>
          <w:rtl/>
        </w:rPr>
      </w:pPr>
      <w:bookmarkStart w:id="187" w:name="_Toc143804173"/>
      <w:bookmarkStart w:id="188" w:name="_Toc238123298"/>
      <w:r>
        <w:rPr>
          <w:rFonts w:hint="cs"/>
          <w:rtl/>
        </w:rPr>
        <w:t>ج</w:t>
      </w:r>
      <w:r w:rsidR="000A4159" w:rsidRPr="00ED58C2">
        <w:rPr>
          <w:rFonts w:hint="cs"/>
          <w:rtl/>
        </w:rPr>
        <w:t xml:space="preserve"> ـ العنف الدفاعي الناتج عن عنف</w:t>
      </w:r>
      <w:r>
        <w:rPr>
          <w:rFonts w:hint="cs"/>
          <w:rtl/>
        </w:rPr>
        <w:t>ٍ</w:t>
      </w:r>
      <w:r w:rsidR="000A4159" w:rsidRPr="00ED58C2">
        <w:rPr>
          <w:rFonts w:hint="cs"/>
          <w:rtl/>
        </w:rPr>
        <w:t xml:space="preserve"> مسب</w:t>
      </w:r>
      <w:r>
        <w:rPr>
          <w:rFonts w:hint="cs"/>
          <w:rtl/>
        </w:rPr>
        <w:t>َ</w:t>
      </w:r>
      <w:r w:rsidR="000A4159" w:rsidRPr="00ED58C2">
        <w:rPr>
          <w:rFonts w:hint="cs"/>
          <w:rtl/>
        </w:rPr>
        <w:t>ق</w:t>
      </w:r>
      <w:bookmarkEnd w:id="187"/>
      <w:bookmarkEnd w:id="188"/>
    </w:p>
    <w:p w14:paraId="4F45E173" w14:textId="77777777" w:rsidR="000A4159" w:rsidRPr="00822CE9" w:rsidRDefault="000A4159" w:rsidP="005D35B4">
      <w:pPr>
        <w:pStyle w:val="normal84"/>
        <w:rPr>
          <w:rtl/>
        </w:rPr>
      </w:pPr>
      <w:r w:rsidRPr="00822CE9">
        <w:rPr>
          <w:rFonts w:hint="cs"/>
          <w:rtl/>
        </w:rPr>
        <w:t>و</w:t>
      </w:r>
      <w:r w:rsidR="00ED58C2">
        <w:rPr>
          <w:rFonts w:hint="cs"/>
          <w:rtl/>
        </w:rPr>
        <w:t>قد تقدّم توضيح هذه الحالة، وا</w:t>
      </w:r>
      <w:r w:rsidRPr="00822CE9">
        <w:rPr>
          <w:rFonts w:hint="cs"/>
          <w:rtl/>
        </w:rPr>
        <w:t>لحكم هنا هو الحكم في الحالات السابقة بشروطه، مهما كان تق</w:t>
      </w:r>
      <w:r w:rsidR="00ED58C2">
        <w:rPr>
          <w:rFonts w:hint="cs"/>
          <w:rtl/>
        </w:rPr>
        <w:t>و</w:t>
      </w:r>
      <w:r w:rsidRPr="00822CE9">
        <w:rPr>
          <w:rFonts w:hint="cs"/>
          <w:rtl/>
        </w:rPr>
        <w:t>يم الابتداء باستعمال العنف الابتدائي</w:t>
      </w:r>
      <w:r w:rsidR="00ED58C2">
        <w:rPr>
          <w:rFonts w:hint="cs"/>
          <w:rtl/>
        </w:rPr>
        <w:t>؛</w:t>
      </w:r>
      <w:r w:rsidRPr="00822CE9">
        <w:rPr>
          <w:rFonts w:hint="cs"/>
          <w:rtl/>
        </w:rPr>
        <w:t xml:space="preserve"> لنفس الأدلّة، لكن في غير حالات الدفاع الشخصي يشكل الأمر</w:t>
      </w:r>
      <w:r w:rsidR="00ED58C2">
        <w:rPr>
          <w:rFonts w:hint="cs"/>
          <w:rtl/>
        </w:rPr>
        <w:t>؛</w:t>
      </w:r>
      <w:r w:rsidRPr="00822CE9">
        <w:rPr>
          <w:rFonts w:hint="cs"/>
          <w:rtl/>
        </w:rPr>
        <w:t xml:space="preserve"> لإمكان عدم صدق عنوان البغي على الطرف الآخر (السلطة) إذا حكمنا بحرمة العنف الأو</w:t>
      </w:r>
      <w:r w:rsidR="00ED58C2">
        <w:rPr>
          <w:rFonts w:hint="cs"/>
          <w:rtl/>
        </w:rPr>
        <w:t>ّ</w:t>
      </w:r>
      <w:r w:rsidRPr="00822CE9">
        <w:rPr>
          <w:rFonts w:hint="cs"/>
          <w:rtl/>
        </w:rPr>
        <w:t>ل، وعدم صدق الرد</w:t>
      </w:r>
      <w:r w:rsidR="00ED58C2">
        <w:rPr>
          <w:rFonts w:hint="cs"/>
          <w:rtl/>
        </w:rPr>
        <w:t>ّ</w:t>
      </w:r>
      <w:r w:rsidRPr="00822CE9">
        <w:rPr>
          <w:rFonts w:hint="cs"/>
          <w:rtl/>
        </w:rPr>
        <w:t xml:space="preserve"> بالمثل، لكون المب</w:t>
      </w:r>
      <w:r w:rsidR="00ED58C2">
        <w:rPr>
          <w:rFonts w:hint="cs"/>
          <w:rtl/>
        </w:rPr>
        <w:t>ت</w:t>
      </w:r>
      <w:r w:rsidRPr="00822CE9">
        <w:rPr>
          <w:rFonts w:hint="cs"/>
          <w:rtl/>
        </w:rPr>
        <w:t>دئ هو الحركة الإسلامي</w:t>
      </w:r>
      <w:r w:rsidR="00ED58C2">
        <w:rPr>
          <w:rFonts w:hint="cs"/>
          <w:rtl/>
        </w:rPr>
        <w:t>ّ</w:t>
      </w:r>
      <w:r w:rsidRPr="00822CE9">
        <w:rPr>
          <w:rFonts w:hint="cs"/>
          <w:rtl/>
        </w:rPr>
        <w:t>ة، فعلى القول بعدم شرعي</w:t>
      </w:r>
      <w:r w:rsidR="00ED58C2">
        <w:rPr>
          <w:rFonts w:hint="cs"/>
          <w:rtl/>
        </w:rPr>
        <w:t>ّ</w:t>
      </w:r>
      <w:r w:rsidRPr="00822CE9">
        <w:rPr>
          <w:rFonts w:hint="cs"/>
          <w:rtl/>
        </w:rPr>
        <w:t xml:space="preserve">ة استخدام العنف الابتدائي </w:t>
      </w:r>
      <w:r w:rsidR="00ED58C2">
        <w:rPr>
          <w:rFonts w:hint="cs"/>
          <w:rtl/>
        </w:rPr>
        <w:t>ي</w:t>
      </w:r>
      <w:r w:rsidRPr="00822CE9">
        <w:rPr>
          <w:rFonts w:hint="cs"/>
          <w:rtl/>
        </w:rPr>
        <w:t>شكل استخدام العنف هنا، خلافاً للعلامة شمس الدين</w:t>
      </w:r>
      <w:r w:rsidRPr="000A4159">
        <w:rPr>
          <w:rFonts w:cs="Taher"/>
          <w:vertAlign w:val="superscript"/>
          <w:rtl/>
        </w:rPr>
        <w:t>(</w:t>
      </w:r>
      <w:r w:rsidRPr="000A4159">
        <w:rPr>
          <w:rStyle w:val="FootnoteReference"/>
          <w:rFonts w:cs="Taher"/>
          <w:rtl/>
        </w:rPr>
        <w:footnoteReference w:id="316"/>
      </w:r>
      <w:r w:rsidRPr="000A4159">
        <w:rPr>
          <w:rFonts w:cs="Taher"/>
          <w:vertAlign w:val="superscript"/>
          <w:rtl/>
        </w:rPr>
        <w:t>)</w:t>
      </w:r>
      <w:r w:rsidRPr="00822CE9">
        <w:rPr>
          <w:rtl/>
        </w:rPr>
        <w:t>.</w:t>
      </w:r>
    </w:p>
    <w:p w14:paraId="46E6E7F9" w14:textId="77777777" w:rsidR="00ED58C2" w:rsidRPr="00ED58C2" w:rsidRDefault="00ED58C2" w:rsidP="0096148C">
      <w:pPr>
        <w:pStyle w:val="Heading2"/>
        <w:rPr>
          <w:rtl/>
        </w:rPr>
      </w:pPr>
      <w:bookmarkStart w:id="189" w:name="_Toc143804174"/>
      <w:bookmarkStart w:id="190" w:name="_Toc238123299"/>
      <w:r w:rsidRPr="00ED58C2">
        <w:rPr>
          <w:rFonts w:hint="cs"/>
          <w:rtl/>
        </w:rPr>
        <w:t xml:space="preserve">نتائج البحث </w:t>
      </w:r>
      <w:r>
        <w:rPr>
          <w:rFonts w:hint="cs"/>
          <w:rtl/>
        </w:rPr>
        <w:t xml:space="preserve">الأوّليّة </w:t>
      </w:r>
      <w:r w:rsidRPr="00ED58C2">
        <w:rPr>
          <w:rFonts w:hint="cs"/>
          <w:rtl/>
        </w:rPr>
        <w:t>في مدارك نظري</w:t>
      </w:r>
      <w:r>
        <w:rPr>
          <w:rFonts w:hint="cs"/>
          <w:rtl/>
        </w:rPr>
        <w:t>ّ</w:t>
      </w:r>
      <w:r w:rsidRPr="00ED58C2">
        <w:rPr>
          <w:rFonts w:hint="cs"/>
          <w:rtl/>
        </w:rPr>
        <w:t>ة شرعيّ</w:t>
      </w:r>
      <w:r>
        <w:rPr>
          <w:rFonts w:hint="cs"/>
          <w:rtl/>
        </w:rPr>
        <w:t>ة</w:t>
      </w:r>
      <w:r w:rsidRPr="00ED58C2">
        <w:rPr>
          <w:rFonts w:hint="cs"/>
          <w:rtl/>
        </w:rPr>
        <w:t xml:space="preserve"> الثور</w:t>
      </w:r>
      <w:r>
        <w:rPr>
          <w:rFonts w:hint="cs"/>
          <w:rtl/>
        </w:rPr>
        <w:t>ات</w:t>
      </w:r>
      <w:r w:rsidRPr="00ED58C2">
        <w:rPr>
          <w:rFonts w:hint="cs"/>
          <w:rtl/>
        </w:rPr>
        <w:t xml:space="preserve"> غير السلمي</w:t>
      </w:r>
      <w:r>
        <w:rPr>
          <w:rFonts w:hint="cs"/>
          <w:rtl/>
        </w:rPr>
        <w:t>ّ</w:t>
      </w:r>
      <w:r w:rsidRPr="00ED58C2">
        <w:rPr>
          <w:rFonts w:hint="cs"/>
          <w:rtl/>
        </w:rPr>
        <w:t>ة</w:t>
      </w:r>
      <w:bookmarkEnd w:id="189"/>
      <w:bookmarkEnd w:id="190"/>
    </w:p>
    <w:p w14:paraId="235E0437" w14:textId="77777777" w:rsidR="000A4159" w:rsidRPr="00ED58C2" w:rsidRDefault="000A4159" w:rsidP="00ED58C2">
      <w:pPr>
        <w:spacing w:line="214" w:lineRule="auto"/>
        <w:rPr>
          <w:b/>
          <w:bCs/>
          <w:rtl/>
        </w:rPr>
      </w:pPr>
      <w:r w:rsidRPr="00ED58C2">
        <w:rPr>
          <w:rFonts w:hint="cs"/>
          <w:b/>
          <w:bCs/>
          <w:rtl/>
        </w:rPr>
        <w:t>هذا تمام الكلام في نظري</w:t>
      </w:r>
      <w:r w:rsidR="00ED58C2" w:rsidRPr="00ED58C2">
        <w:rPr>
          <w:rFonts w:hint="cs"/>
          <w:b/>
          <w:bCs/>
          <w:rtl/>
        </w:rPr>
        <w:t>ّ</w:t>
      </w:r>
      <w:r w:rsidRPr="00ED58C2">
        <w:rPr>
          <w:rFonts w:hint="cs"/>
          <w:b/>
          <w:bCs/>
          <w:rtl/>
        </w:rPr>
        <w:t>ة شرعي</w:t>
      </w:r>
      <w:r w:rsidR="00ED58C2" w:rsidRPr="00ED58C2">
        <w:rPr>
          <w:rFonts w:hint="cs"/>
          <w:b/>
          <w:bCs/>
          <w:rtl/>
        </w:rPr>
        <w:t>ّ</w:t>
      </w:r>
      <w:r w:rsidRPr="00ED58C2">
        <w:rPr>
          <w:rFonts w:hint="cs"/>
          <w:b/>
          <w:bCs/>
          <w:rtl/>
        </w:rPr>
        <w:t>ة الخروج المسلّح</w:t>
      </w:r>
      <w:r w:rsidR="00BC3A6F">
        <w:rPr>
          <w:rFonts w:hint="cs"/>
          <w:b/>
          <w:bCs/>
          <w:rtl/>
        </w:rPr>
        <w:t xml:space="preserve"> وأمثاله</w:t>
      </w:r>
      <w:r w:rsidRPr="00ED58C2">
        <w:rPr>
          <w:rFonts w:hint="cs"/>
          <w:b/>
          <w:bCs/>
          <w:rtl/>
        </w:rPr>
        <w:t>، بقطع النظر عن مقارنتها بأدلّة الحرمة، و</w:t>
      </w:r>
      <w:r w:rsidR="00ED58C2" w:rsidRPr="00ED58C2">
        <w:rPr>
          <w:rFonts w:hint="cs"/>
          <w:b/>
          <w:bCs/>
          <w:rtl/>
        </w:rPr>
        <w:t>ما خرجنا به حتى الآن هو الآتي:</w:t>
      </w:r>
    </w:p>
    <w:p w14:paraId="68D473C4" w14:textId="77777777" w:rsidR="000A4159" w:rsidRPr="00822CE9" w:rsidRDefault="000A4159" w:rsidP="00AF6BD7">
      <w:pPr>
        <w:spacing w:line="214" w:lineRule="auto"/>
        <w:rPr>
          <w:rtl/>
        </w:rPr>
      </w:pPr>
      <w:r w:rsidRPr="00ED58C2">
        <w:rPr>
          <w:rFonts w:hint="cs"/>
          <w:b/>
          <w:bCs/>
          <w:rtl/>
        </w:rPr>
        <w:t>1 ـ</w:t>
      </w:r>
      <w:r w:rsidRPr="00822CE9">
        <w:rPr>
          <w:rFonts w:hint="cs"/>
          <w:rtl/>
        </w:rPr>
        <w:t xml:space="preserve"> إن</w:t>
      </w:r>
      <w:r w:rsidR="00ED58C2">
        <w:rPr>
          <w:rFonts w:hint="cs"/>
          <w:rtl/>
        </w:rPr>
        <w:t>ّ</w:t>
      </w:r>
      <w:r w:rsidRPr="00822CE9">
        <w:rPr>
          <w:rFonts w:hint="cs"/>
          <w:rtl/>
        </w:rPr>
        <w:t xml:space="preserve"> ال</w:t>
      </w:r>
      <w:r w:rsidR="00AF6BD7">
        <w:rPr>
          <w:rFonts w:hint="cs"/>
          <w:rtl/>
        </w:rPr>
        <w:t>دليل</w:t>
      </w:r>
      <w:r w:rsidRPr="00822CE9">
        <w:rPr>
          <w:rFonts w:hint="cs"/>
          <w:rtl/>
        </w:rPr>
        <w:t xml:space="preserve"> الأو</w:t>
      </w:r>
      <w:r w:rsidR="00ED58C2">
        <w:rPr>
          <w:rFonts w:hint="cs"/>
          <w:rtl/>
        </w:rPr>
        <w:t>ّ</w:t>
      </w:r>
      <w:r w:rsidRPr="00822CE9">
        <w:rPr>
          <w:rFonts w:hint="cs"/>
          <w:rtl/>
        </w:rPr>
        <w:t>ل والثاني والثالث والسادس والسابع والثامن والتاسع والعاشر والحادي عشر والثالث عشر والرابع عشر</w:t>
      </w:r>
      <w:r w:rsidR="00ED58C2">
        <w:rPr>
          <w:rFonts w:hint="cs"/>
          <w:rtl/>
        </w:rPr>
        <w:t>،</w:t>
      </w:r>
      <w:r w:rsidRPr="00822CE9">
        <w:rPr>
          <w:rFonts w:hint="cs"/>
          <w:rtl/>
        </w:rPr>
        <w:t xml:space="preserve"> غير</w:t>
      </w:r>
      <w:r w:rsidR="00ED58C2">
        <w:rPr>
          <w:rFonts w:hint="cs"/>
          <w:rtl/>
        </w:rPr>
        <w:t>ُ</w:t>
      </w:r>
      <w:r w:rsidRPr="00822CE9">
        <w:rPr>
          <w:rFonts w:hint="cs"/>
          <w:rtl/>
        </w:rPr>
        <w:t xml:space="preserve"> تام</w:t>
      </w:r>
      <w:r w:rsidR="00ED58C2">
        <w:rPr>
          <w:rFonts w:hint="cs"/>
          <w:rtl/>
        </w:rPr>
        <w:t>ّ</w:t>
      </w:r>
      <w:r w:rsidRPr="00822CE9">
        <w:rPr>
          <w:rFonts w:hint="cs"/>
          <w:rtl/>
        </w:rPr>
        <w:t>ة مطلقاً.</w:t>
      </w:r>
    </w:p>
    <w:p w14:paraId="396A127A" w14:textId="77777777" w:rsidR="000A4159" w:rsidRPr="00822CE9" w:rsidRDefault="000A4159" w:rsidP="00ED58C2">
      <w:pPr>
        <w:spacing w:line="214" w:lineRule="auto"/>
        <w:rPr>
          <w:rtl/>
        </w:rPr>
      </w:pPr>
      <w:r w:rsidRPr="00ED58C2">
        <w:rPr>
          <w:rFonts w:hint="cs"/>
          <w:b/>
          <w:bCs/>
          <w:rtl/>
        </w:rPr>
        <w:t>2 ـ</w:t>
      </w:r>
      <w:r w:rsidRPr="00822CE9">
        <w:rPr>
          <w:rFonts w:hint="cs"/>
          <w:rtl/>
        </w:rPr>
        <w:t xml:space="preserve"> شرعي</w:t>
      </w:r>
      <w:r w:rsidR="00ED58C2">
        <w:rPr>
          <w:rFonts w:hint="cs"/>
          <w:rtl/>
        </w:rPr>
        <w:t>ّ</w:t>
      </w:r>
      <w:r w:rsidRPr="00822CE9">
        <w:rPr>
          <w:rFonts w:hint="cs"/>
          <w:rtl/>
        </w:rPr>
        <w:t xml:space="preserve">ة الثورة </w:t>
      </w:r>
      <w:r w:rsidR="00ED58C2">
        <w:rPr>
          <w:rFonts w:hint="cs"/>
          <w:rtl/>
        </w:rPr>
        <w:t xml:space="preserve">غير السلميّة أو مثل </w:t>
      </w:r>
      <w:r w:rsidRPr="00822CE9">
        <w:rPr>
          <w:rFonts w:hint="cs"/>
          <w:rtl/>
        </w:rPr>
        <w:t>المسلّحة في حالة صدق عنوان البغي والمحاربة الاعتدائي</w:t>
      </w:r>
      <w:r w:rsidR="00ED58C2">
        <w:rPr>
          <w:rFonts w:hint="cs"/>
          <w:rtl/>
        </w:rPr>
        <w:t>ّ</w:t>
      </w:r>
      <w:r w:rsidRPr="00822CE9">
        <w:rPr>
          <w:rFonts w:hint="cs"/>
          <w:rtl/>
        </w:rPr>
        <w:t>ة من قبل</w:t>
      </w:r>
      <w:r w:rsidR="00ED58C2">
        <w:rPr>
          <w:rFonts w:hint="cs"/>
          <w:rtl/>
        </w:rPr>
        <w:t xml:space="preserve"> الدولة بحيث يصدق على المعارضة أ</w:t>
      </w:r>
      <w:r w:rsidRPr="00822CE9">
        <w:rPr>
          <w:rFonts w:hint="cs"/>
          <w:rtl/>
        </w:rPr>
        <w:t>ن</w:t>
      </w:r>
      <w:r w:rsidR="00ED58C2">
        <w:rPr>
          <w:rFonts w:hint="cs"/>
          <w:rtl/>
        </w:rPr>
        <w:t>ّ</w:t>
      </w:r>
      <w:r w:rsidRPr="00822CE9">
        <w:rPr>
          <w:rFonts w:hint="cs"/>
          <w:rtl/>
        </w:rPr>
        <w:t xml:space="preserve">ها تقاتل المعتدي وتردّ اعتداءه بمثله </w:t>
      </w:r>
      <w:r w:rsidRPr="00822CE9">
        <w:rPr>
          <w:rFonts w:hint="cs"/>
          <w:rtl/>
        </w:rPr>
        <w:lastRenderedPageBreak/>
        <w:t>وتبطل بغي</w:t>
      </w:r>
      <w:r w:rsidR="00ED58C2">
        <w:rPr>
          <w:rFonts w:hint="cs"/>
          <w:rtl/>
        </w:rPr>
        <w:t>َ</w:t>
      </w:r>
      <w:r w:rsidRPr="00822CE9">
        <w:rPr>
          <w:rFonts w:hint="cs"/>
          <w:rtl/>
        </w:rPr>
        <w:t>ه، لهذا كان الدليل الرابع تام</w:t>
      </w:r>
      <w:r w:rsidR="00ED58C2">
        <w:rPr>
          <w:rFonts w:hint="cs"/>
          <w:rtl/>
        </w:rPr>
        <w:t>ّ</w:t>
      </w:r>
      <w:r w:rsidRPr="00822CE9">
        <w:rPr>
          <w:rFonts w:hint="cs"/>
          <w:rtl/>
        </w:rPr>
        <w:t>اً بهذا القدر، لا ما إذا كانت الدولة لا تعتدي على الحركة الإسلامي</w:t>
      </w:r>
      <w:r w:rsidR="00ED58C2">
        <w:rPr>
          <w:rFonts w:hint="cs"/>
          <w:rtl/>
        </w:rPr>
        <w:t>ّة غاية الأ</w:t>
      </w:r>
      <w:r w:rsidRPr="00822CE9">
        <w:rPr>
          <w:rFonts w:hint="cs"/>
          <w:rtl/>
        </w:rPr>
        <w:t>مر لا تطب</w:t>
      </w:r>
      <w:r w:rsidR="00ED58C2">
        <w:rPr>
          <w:rFonts w:hint="cs"/>
          <w:rtl/>
        </w:rPr>
        <w:t>ّ</w:t>
      </w:r>
      <w:r w:rsidRPr="00822CE9">
        <w:rPr>
          <w:rFonts w:hint="cs"/>
          <w:rtl/>
        </w:rPr>
        <w:t>ق الشريعة مثلاً.. وهذا هو القدر المستفاد من الدليل الخامس أيضاً</w:t>
      </w:r>
      <w:r w:rsidR="00ED58C2">
        <w:rPr>
          <w:rFonts w:hint="cs"/>
          <w:rtl/>
        </w:rPr>
        <w:t>،</w:t>
      </w:r>
      <w:r w:rsidRPr="00822CE9">
        <w:rPr>
          <w:rFonts w:hint="cs"/>
          <w:rtl/>
        </w:rPr>
        <w:t xml:space="preserve"> والدليل الخامس عشر.</w:t>
      </w:r>
    </w:p>
    <w:p w14:paraId="355397DB" w14:textId="77777777" w:rsidR="000A4159" w:rsidRPr="00822CE9" w:rsidRDefault="000A4159" w:rsidP="0036479A">
      <w:pPr>
        <w:spacing w:line="214" w:lineRule="auto"/>
        <w:rPr>
          <w:rtl/>
        </w:rPr>
      </w:pPr>
      <w:r w:rsidRPr="00ED58C2">
        <w:rPr>
          <w:rFonts w:hint="cs"/>
          <w:b/>
          <w:bCs/>
          <w:rtl/>
        </w:rPr>
        <w:t>3 ـ</w:t>
      </w:r>
      <w:r w:rsidRPr="00822CE9">
        <w:rPr>
          <w:rFonts w:hint="cs"/>
          <w:rtl/>
        </w:rPr>
        <w:t xml:space="preserve"> شرعي</w:t>
      </w:r>
      <w:r w:rsidR="00ED58C2">
        <w:rPr>
          <w:rFonts w:hint="cs"/>
          <w:rtl/>
        </w:rPr>
        <w:t>ّ</w:t>
      </w:r>
      <w:r w:rsidRPr="00822CE9">
        <w:rPr>
          <w:rFonts w:hint="cs"/>
          <w:rtl/>
        </w:rPr>
        <w:t xml:space="preserve">ة الثورة المسلّحة في حالة الخوف على </w:t>
      </w:r>
      <w:r w:rsidR="009E564E">
        <w:rPr>
          <w:rFonts w:cs="Cambria" w:hint="cs"/>
          <w:rtl/>
        </w:rPr>
        <w:t>"</w:t>
      </w:r>
      <w:r w:rsidRPr="00822CE9">
        <w:rPr>
          <w:rFonts w:hint="cs"/>
          <w:rtl/>
        </w:rPr>
        <w:t>أساس الإسلام</w:t>
      </w:r>
      <w:r w:rsidR="009E564E">
        <w:rPr>
          <w:rFonts w:cs="Cambria" w:hint="cs"/>
          <w:rtl/>
        </w:rPr>
        <w:t>"</w:t>
      </w:r>
      <w:r w:rsidRPr="00822CE9">
        <w:rPr>
          <w:rFonts w:hint="cs"/>
          <w:rtl/>
        </w:rPr>
        <w:t xml:space="preserve"> مع قمع السلطة للإسلامي</w:t>
      </w:r>
      <w:r w:rsidR="00ED58C2">
        <w:rPr>
          <w:rFonts w:hint="cs"/>
          <w:rtl/>
        </w:rPr>
        <w:t>ّ</w:t>
      </w:r>
      <w:r w:rsidRPr="00822CE9">
        <w:rPr>
          <w:rFonts w:hint="cs"/>
          <w:rtl/>
        </w:rPr>
        <w:t>ين وعدم إعطائهم الحري</w:t>
      </w:r>
      <w:r w:rsidR="00ED58C2">
        <w:rPr>
          <w:rFonts w:hint="cs"/>
          <w:rtl/>
        </w:rPr>
        <w:t>ّ</w:t>
      </w:r>
      <w:r w:rsidRPr="00822CE9">
        <w:rPr>
          <w:rFonts w:hint="cs"/>
          <w:rtl/>
        </w:rPr>
        <w:t>ة، وهذا هو الم</w:t>
      </w:r>
      <w:r w:rsidR="00ED58C2">
        <w:rPr>
          <w:rFonts w:hint="cs"/>
          <w:rtl/>
        </w:rPr>
        <w:t>ستفاد من الدليل الثاني عشر على أ</w:t>
      </w:r>
      <w:r w:rsidRPr="00822CE9">
        <w:rPr>
          <w:rFonts w:hint="cs"/>
          <w:rtl/>
        </w:rPr>
        <w:t>قصى تقدير</w:t>
      </w:r>
      <w:r w:rsidR="00ED58C2">
        <w:rPr>
          <w:rFonts w:hint="cs"/>
          <w:rtl/>
        </w:rPr>
        <w:t>،</w:t>
      </w:r>
      <w:r w:rsidRPr="00822CE9">
        <w:rPr>
          <w:rFonts w:hint="cs"/>
          <w:rtl/>
        </w:rPr>
        <w:t xml:space="preserve"> وكذا الخامس عشر والسادس عشر.</w:t>
      </w:r>
      <w:r w:rsidR="0036479A">
        <w:rPr>
          <w:rFonts w:hint="cs"/>
          <w:rtl/>
        </w:rPr>
        <w:t xml:space="preserve"> والمراد بأساس الإسلام ذهاب وجوده الاجتماعي (عدم وجود جماعة مسلمة) أو زوال شعائره من الأرض؛ لأنّ هذا هو القدر المتيقّن.</w:t>
      </w:r>
    </w:p>
    <w:p w14:paraId="62F5759D" w14:textId="77777777" w:rsidR="000A4159" w:rsidRPr="00822CE9" w:rsidRDefault="000A4159" w:rsidP="00A079D6">
      <w:pPr>
        <w:spacing w:line="214" w:lineRule="auto"/>
        <w:rPr>
          <w:rtl/>
        </w:rPr>
      </w:pPr>
      <w:r w:rsidRPr="00ED58C2">
        <w:rPr>
          <w:rFonts w:hint="cs"/>
          <w:b/>
          <w:bCs/>
          <w:rtl/>
        </w:rPr>
        <w:t>4 ـ</w:t>
      </w:r>
      <w:r w:rsidRPr="00822CE9">
        <w:rPr>
          <w:rFonts w:hint="cs"/>
          <w:rtl/>
        </w:rPr>
        <w:t xml:space="preserve"> جريان قانون التزاحم هنا بحيث يفسح المجال لطرو</w:t>
      </w:r>
      <w:r w:rsidR="00ED58C2">
        <w:rPr>
          <w:rFonts w:hint="cs"/>
          <w:rtl/>
        </w:rPr>
        <w:t>ّ</w:t>
      </w:r>
      <w:r w:rsidRPr="00822CE9">
        <w:rPr>
          <w:rFonts w:hint="cs"/>
          <w:rtl/>
        </w:rPr>
        <w:t xml:space="preserve"> عناوين ثانوية، أو إعطاء الصلاحي</w:t>
      </w:r>
      <w:r w:rsidR="00ED58C2">
        <w:rPr>
          <w:rFonts w:hint="cs"/>
          <w:rtl/>
        </w:rPr>
        <w:t>ّ</w:t>
      </w:r>
      <w:r w:rsidRPr="00822CE9">
        <w:rPr>
          <w:rFonts w:hint="cs"/>
          <w:rtl/>
        </w:rPr>
        <w:t>ة للح</w:t>
      </w:r>
      <w:r w:rsidR="00ED58C2">
        <w:rPr>
          <w:rFonts w:hint="cs"/>
          <w:rtl/>
        </w:rPr>
        <w:t>ا</w:t>
      </w:r>
      <w:r w:rsidRPr="00822CE9">
        <w:rPr>
          <w:rFonts w:hint="cs"/>
          <w:rtl/>
        </w:rPr>
        <w:t>كم الشرعي بناءً على مثل نظري</w:t>
      </w:r>
      <w:r w:rsidR="00ED58C2">
        <w:rPr>
          <w:rFonts w:hint="cs"/>
          <w:rtl/>
        </w:rPr>
        <w:t>ّ</w:t>
      </w:r>
      <w:r w:rsidRPr="00822CE9">
        <w:rPr>
          <w:rFonts w:hint="cs"/>
          <w:rtl/>
        </w:rPr>
        <w:t>ة ولاية الفقيه.</w:t>
      </w:r>
    </w:p>
    <w:p w14:paraId="7DADE5B1" w14:textId="77777777" w:rsidR="000A4159" w:rsidRDefault="000A4159" w:rsidP="00A079D6">
      <w:pPr>
        <w:spacing w:line="214" w:lineRule="auto"/>
        <w:rPr>
          <w:b/>
          <w:bCs/>
          <w:rtl/>
        </w:rPr>
      </w:pPr>
      <w:r w:rsidRPr="000C129C">
        <w:rPr>
          <w:rFonts w:hint="cs"/>
          <w:b/>
          <w:bCs/>
          <w:rtl/>
        </w:rPr>
        <w:t xml:space="preserve">فالثورة المسلّحة </w:t>
      </w:r>
      <w:r w:rsidR="000C129C" w:rsidRPr="000C129C">
        <w:rPr>
          <w:rFonts w:hint="cs"/>
          <w:b/>
          <w:bCs/>
          <w:rtl/>
        </w:rPr>
        <w:t xml:space="preserve">والعنفيّة </w:t>
      </w:r>
      <w:r w:rsidRPr="000C129C">
        <w:rPr>
          <w:rFonts w:hint="cs"/>
          <w:b/>
          <w:bCs/>
          <w:rtl/>
        </w:rPr>
        <w:t>لإقامة نظام إسلامي أو تطبيق الشريعة، أو خلع الحاكم لفسقه شخصي أو.. غير جائزة ما لم يصدق ما تقدّم</w:t>
      </w:r>
      <w:r w:rsidR="00ED58C2" w:rsidRPr="000C129C">
        <w:rPr>
          <w:rFonts w:hint="cs"/>
          <w:b/>
          <w:bCs/>
          <w:rtl/>
        </w:rPr>
        <w:t>،</w:t>
      </w:r>
      <w:r w:rsidRPr="000C129C">
        <w:rPr>
          <w:rFonts w:hint="cs"/>
          <w:b/>
          <w:bCs/>
          <w:rtl/>
        </w:rPr>
        <w:t xml:space="preserve"> ولم يطرأ عنوان ثانوي.</w:t>
      </w:r>
    </w:p>
    <w:p w14:paraId="70CAA695" w14:textId="77777777" w:rsidR="00A7711F" w:rsidRDefault="00A7711F" w:rsidP="00A079D6">
      <w:pPr>
        <w:spacing w:line="214" w:lineRule="auto"/>
        <w:rPr>
          <w:b/>
          <w:bCs/>
          <w:rtl/>
        </w:rPr>
        <w:sectPr w:rsidR="00A7711F" w:rsidSect="002C4AA9">
          <w:footnotePr>
            <w:numRestart w:val="eachPage"/>
          </w:footnotePr>
          <w:type w:val="oddPage"/>
          <w:pgSz w:w="11907" w:h="16840" w:code="9"/>
          <w:pgMar w:top="2837" w:right="2218" w:bottom="2664" w:left="2218" w:header="2275" w:footer="0" w:gutter="0"/>
          <w:cols w:space="720"/>
          <w:titlePg/>
          <w:docGrid w:linePitch="360"/>
        </w:sectPr>
      </w:pPr>
    </w:p>
    <w:p w14:paraId="1351B974" w14:textId="1225CB49" w:rsidR="002E2BA7" w:rsidRDefault="002E2BA7" w:rsidP="00611BAF">
      <w:pPr>
        <w:pStyle w:val="Space1"/>
        <w:bidi w:val="0"/>
        <w:rPr>
          <w:rtl/>
        </w:rPr>
      </w:pPr>
    </w:p>
    <w:p w14:paraId="41445E3F" w14:textId="77777777" w:rsidR="002E2BA7" w:rsidRDefault="002E2BA7" w:rsidP="00611BAF">
      <w:pPr>
        <w:pStyle w:val="Space1"/>
        <w:rPr>
          <w:rtl/>
        </w:rPr>
      </w:pPr>
    </w:p>
    <w:p w14:paraId="76E07F2F" w14:textId="77777777" w:rsidR="002E2BA7" w:rsidRDefault="002E2BA7" w:rsidP="00A7711F">
      <w:pPr>
        <w:pStyle w:val="Space"/>
      </w:pPr>
    </w:p>
    <w:p w14:paraId="4CD47F1E" w14:textId="77777777" w:rsidR="00611BAF" w:rsidRDefault="00611BAF" w:rsidP="00A7711F">
      <w:pPr>
        <w:pStyle w:val="Space"/>
        <w:rPr>
          <w:rtl/>
        </w:rPr>
      </w:pPr>
    </w:p>
    <w:p w14:paraId="1D7C2849" w14:textId="77777777" w:rsidR="002E2BA7" w:rsidRPr="005D35B4" w:rsidRDefault="002E2BA7" w:rsidP="00A7711F">
      <w:pPr>
        <w:pStyle w:val="Heading2"/>
        <w:tabs>
          <w:tab w:val="left" w:pos="336"/>
          <w:tab w:val="center" w:pos="3871"/>
        </w:tabs>
        <w:spacing w:before="0" w:line="202" w:lineRule="auto"/>
        <w:jc w:val="center"/>
        <w:rPr>
          <w:sz w:val="44"/>
          <w:szCs w:val="44"/>
          <w:rtl/>
        </w:rPr>
      </w:pPr>
      <w:bookmarkStart w:id="191" w:name="_Toc143804175"/>
      <w:bookmarkStart w:id="192" w:name="_Toc238123300"/>
      <w:r w:rsidRPr="005D35B4">
        <w:rPr>
          <w:rFonts w:hint="cs"/>
          <w:sz w:val="44"/>
          <w:szCs w:val="44"/>
          <w:rtl/>
        </w:rPr>
        <w:t>النظريّة الثانية</w:t>
      </w:r>
      <w:bookmarkEnd w:id="191"/>
      <w:bookmarkEnd w:id="192"/>
    </w:p>
    <w:p w14:paraId="3F2235E3" w14:textId="77777777" w:rsidR="000A4159" w:rsidRPr="005D35B4" w:rsidRDefault="000A4159" w:rsidP="00A7711F">
      <w:pPr>
        <w:pStyle w:val="Heading2"/>
        <w:tabs>
          <w:tab w:val="left" w:pos="336"/>
          <w:tab w:val="center" w:pos="3871"/>
        </w:tabs>
        <w:spacing w:before="0" w:line="202" w:lineRule="auto"/>
        <w:jc w:val="center"/>
        <w:rPr>
          <w:sz w:val="40"/>
          <w:szCs w:val="40"/>
          <w:rtl/>
        </w:rPr>
      </w:pPr>
      <w:bookmarkStart w:id="193" w:name="_Toc143804176"/>
      <w:bookmarkStart w:id="194" w:name="_Toc238123301"/>
      <w:r w:rsidRPr="005D35B4">
        <w:rPr>
          <w:rFonts w:hint="cs"/>
          <w:sz w:val="40"/>
          <w:szCs w:val="40"/>
          <w:rtl/>
        </w:rPr>
        <w:t>نظري</w:t>
      </w:r>
      <w:r w:rsidR="00746D71" w:rsidRPr="005D35B4">
        <w:rPr>
          <w:rFonts w:hint="cs"/>
          <w:sz w:val="40"/>
          <w:szCs w:val="40"/>
          <w:rtl/>
        </w:rPr>
        <w:t>ّ</w:t>
      </w:r>
      <w:r w:rsidRPr="005D35B4">
        <w:rPr>
          <w:rFonts w:hint="cs"/>
          <w:sz w:val="40"/>
          <w:szCs w:val="40"/>
          <w:rtl/>
        </w:rPr>
        <w:t>ة عدم شرعي</w:t>
      </w:r>
      <w:r w:rsidR="00746D71" w:rsidRPr="005D35B4">
        <w:rPr>
          <w:rFonts w:hint="cs"/>
          <w:sz w:val="40"/>
          <w:szCs w:val="40"/>
          <w:rtl/>
        </w:rPr>
        <w:t>ّ</w:t>
      </w:r>
      <w:r w:rsidRPr="005D35B4">
        <w:rPr>
          <w:rFonts w:hint="cs"/>
          <w:sz w:val="40"/>
          <w:szCs w:val="40"/>
          <w:rtl/>
        </w:rPr>
        <w:t xml:space="preserve">ة الثورة </w:t>
      </w:r>
      <w:r w:rsidR="00F13ED6" w:rsidRPr="005D35B4">
        <w:rPr>
          <w:rFonts w:hint="cs"/>
          <w:sz w:val="40"/>
          <w:szCs w:val="40"/>
          <w:rtl/>
        </w:rPr>
        <w:t xml:space="preserve">غير السلميّة </w:t>
      </w:r>
      <w:r w:rsidRPr="005D35B4">
        <w:rPr>
          <w:rFonts w:hint="cs"/>
          <w:sz w:val="40"/>
          <w:szCs w:val="40"/>
          <w:rtl/>
        </w:rPr>
        <w:t>ضد</w:t>
      </w:r>
      <w:r w:rsidR="00F13ED6" w:rsidRPr="005D35B4">
        <w:rPr>
          <w:rFonts w:hint="cs"/>
          <w:sz w:val="40"/>
          <w:szCs w:val="40"/>
          <w:rtl/>
        </w:rPr>
        <w:t>ّ</w:t>
      </w:r>
      <w:r w:rsidRPr="005D35B4">
        <w:rPr>
          <w:rFonts w:hint="cs"/>
          <w:sz w:val="40"/>
          <w:szCs w:val="40"/>
          <w:rtl/>
        </w:rPr>
        <w:t xml:space="preserve"> الأنظمة الفاسدة</w:t>
      </w:r>
      <w:bookmarkEnd w:id="193"/>
      <w:bookmarkEnd w:id="194"/>
    </w:p>
    <w:p w14:paraId="1E7A163D" w14:textId="77777777" w:rsidR="000C129C" w:rsidRPr="000C129C" w:rsidRDefault="000C129C" w:rsidP="005D35B4">
      <w:pPr>
        <w:pStyle w:val="Heading2"/>
        <w:spacing w:before="0"/>
        <w:rPr>
          <w:rtl/>
        </w:rPr>
      </w:pPr>
      <w:bookmarkStart w:id="195" w:name="_Toc143804177"/>
      <w:bookmarkStart w:id="196" w:name="_Toc238123302"/>
      <w:r w:rsidRPr="000C129C">
        <w:rPr>
          <w:rFonts w:hint="cs"/>
          <w:rtl/>
        </w:rPr>
        <w:t>تمهيد</w:t>
      </w:r>
      <w:bookmarkEnd w:id="195"/>
      <w:bookmarkEnd w:id="196"/>
    </w:p>
    <w:p w14:paraId="4CB3F4A8" w14:textId="77777777" w:rsidR="000A4159" w:rsidRPr="00822CE9" w:rsidRDefault="000A4159" w:rsidP="00A079D6">
      <w:pPr>
        <w:spacing w:line="214" w:lineRule="auto"/>
        <w:rPr>
          <w:rtl/>
        </w:rPr>
      </w:pPr>
      <w:r w:rsidRPr="00822CE9">
        <w:rPr>
          <w:rFonts w:hint="cs"/>
          <w:rtl/>
        </w:rPr>
        <w:t>تعدّ نظري</w:t>
      </w:r>
      <w:r w:rsidR="00F13ED6">
        <w:rPr>
          <w:rFonts w:hint="cs"/>
          <w:rtl/>
        </w:rPr>
        <w:t>ّ</w:t>
      </w:r>
      <w:r w:rsidRPr="00822CE9">
        <w:rPr>
          <w:rFonts w:hint="cs"/>
          <w:rtl/>
        </w:rPr>
        <w:t>ة عدم شرعي</w:t>
      </w:r>
      <w:r w:rsidR="00F13ED6">
        <w:rPr>
          <w:rFonts w:hint="cs"/>
          <w:rtl/>
        </w:rPr>
        <w:t>ّ</w:t>
      </w:r>
      <w:r w:rsidRPr="00822CE9">
        <w:rPr>
          <w:rFonts w:hint="cs"/>
          <w:rtl/>
        </w:rPr>
        <w:t xml:space="preserve">ة الثورة المسلّحة </w:t>
      </w:r>
      <w:r w:rsidR="00F13ED6">
        <w:rPr>
          <w:rFonts w:hint="cs"/>
          <w:rtl/>
        </w:rPr>
        <w:t xml:space="preserve">أو مطلق غير السلميّة </w:t>
      </w:r>
      <w:r w:rsidRPr="00822CE9">
        <w:rPr>
          <w:rFonts w:hint="cs"/>
          <w:rtl/>
        </w:rPr>
        <w:t>ضدّ الأنظمة غير الشرعي</w:t>
      </w:r>
      <w:r w:rsidR="00F13ED6">
        <w:rPr>
          <w:rFonts w:hint="cs"/>
          <w:rtl/>
        </w:rPr>
        <w:t>ّ</w:t>
      </w:r>
      <w:r w:rsidRPr="00822CE9">
        <w:rPr>
          <w:rFonts w:hint="cs"/>
          <w:rtl/>
        </w:rPr>
        <w:t>ة أو الظالمة أو.. ذات وجهين:</w:t>
      </w:r>
    </w:p>
    <w:p w14:paraId="2EBDAA59" w14:textId="77777777" w:rsidR="000A4159" w:rsidRDefault="000A4159" w:rsidP="003C696B">
      <w:pPr>
        <w:spacing w:line="214" w:lineRule="auto"/>
        <w:rPr>
          <w:rtl/>
        </w:rPr>
      </w:pPr>
      <w:r w:rsidRPr="00822CE9">
        <w:rPr>
          <w:rFonts w:hint="cs"/>
          <w:b/>
          <w:bCs/>
          <w:rtl/>
        </w:rPr>
        <w:t>الأو</w:t>
      </w:r>
      <w:r w:rsidR="00F13ED6">
        <w:rPr>
          <w:rFonts w:hint="cs"/>
          <w:b/>
          <w:bCs/>
          <w:rtl/>
        </w:rPr>
        <w:t>ّ</w:t>
      </w:r>
      <w:r w:rsidRPr="00822CE9">
        <w:rPr>
          <w:rFonts w:hint="cs"/>
          <w:b/>
          <w:bCs/>
          <w:rtl/>
        </w:rPr>
        <w:t>ل: عام،</w:t>
      </w:r>
      <w:r w:rsidRPr="00822CE9">
        <w:rPr>
          <w:rFonts w:hint="cs"/>
          <w:rtl/>
        </w:rPr>
        <w:t xml:space="preserve"> وهو الوجه الذي كان له حضور في وسط أهل السنّة ومدارسهم الفقهي</w:t>
      </w:r>
      <w:r w:rsidR="00F13ED6">
        <w:rPr>
          <w:rFonts w:hint="cs"/>
          <w:rtl/>
        </w:rPr>
        <w:t>ّ</w:t>
      </w:r>
      <w:r w:rsidRPr="00822CE9">
        <w:rPr>
          <w:rFonts w:hint="cs"/>
          <w:rtl/>
        </w:rPr>
        <w:t>ة، ويتلخّص في النظري</w:t>
      </w:r>
      <w:r w:rsidR="00F13ED6">
        <w:rPr>
          <w:rFonts w:hint="cs"/>
          <w:rtl/>
        </w:rPr>
        <w:t>ّ</w:t>
      </w:r>
      <w:r w:rsidRPr="00822CE9">
        <w:rPr>
          <w:rFonts w:hint="cs"/>
          <w:rtl/>
        </w:rPr>
        <w:t>ة التي تأمر بإطاعة الحاكم الجائر مطلقاً ولزوم جماعة المسلمين وعدم شقّ عصاهم مهما كان السبب إلا في حالة الكفر الب</w:t>
      </w:r>
      <w:r w:rsidR="00AF6BD7">
        <w:rPr>
          <w:rFonts w:hint="cs"/>
          <w:rtl/>
        </w:rPr>
        <w:t>َ</w:t>
      </w:r>
      <w:r w:rsidRPr="00822CE9">
        <w:rPr>
          <w:rFonts w:hint="cs"/>
          <w:rtl/>
        </w:rPr>
        <w:t xml:space="preserve">واح </w:t>
      </w:r>
      <w:r w:rsidR="00AF6BD7">
        <w:rPr>
          <w:rFonts w:hint="cs"/>
          <w:rtl/>
        </w:rPr>
        <w:t xml:space="preserve">الظاهر البادي </w:t>
      </w:r>
      <w:r w:rsidRPr="00822CE9">
        <w:rPr>
          <w:rFonts w:hint="cs"/>
          <w:rtl/>
        </w:rPr>
        <w:t>أو الشرك الصر</w:t>
      </w:r>
      <w:r w:rsidR="00AF6BD7">
        <w:rPr>
          <w:rFonts w:hint="cs"/>
          <w:rtl/>
        </w:rPr>
        <w:t>ي</w:t>
      </w:r>
      <w:r w:rsidRPr="00822CE9">
        <w:rPr>
          <w:rFonts w:hint="cs"/>
          <w:rtl/>
        </w:rPr>
        <w:t>ح من السلطان</w:t>
      </w:r>
      <w:r w:rsidR="00F13ED6">
        <w:rPr>
          <w:rFonts w:hint="cs"/>
          <w:rtl/>
        </w:rPr>
        <w:t>.</w:t>
      </w:r>
      <w:r w:rsidRPr="00822CE9">
        <w:rPr>
          <w:rFonts w:hint="cs"/>
          <w:rtl/>
        </w:rPr>
        <w:t xml:space="preserve"> وقد استند بعض</w:t>
      </w:r>
      <w:r w:rsidR="00F13ED6">
        <w:rPr>
          <w:rFonts w:hint="cs"/>
          <w:rtl/>
        </w:rPr>
        <w:t>ُ</w:t>
      </w:r>
      <w:r w:rsidRPr="00822CE9">
        <w:rPr>
          <w:rFonts w:hint="cs"/>
          <w:rtl/>
        </w:rPr>
        <w:t xml:space="preserve"> فقهاء أهل السنّة الآخذين بهذه النظري</w:t>
      </w:r>
      <w:r w:rsidR="00F13ED6">
        <w:rPr>
          <w:rFonts w:hint="cs"/>
          <w:rtl/>
        </w:rPr>
        <w:t>ّ</w:t>
      </w:r>
      <w:r w:rsidRPr="00822CE9">
        <w:rPr>
          <w:rFonts w:hint="cs"/>
          <w:rtl/>
        </w:rPr>
        <w:t>ة إلى بعض المقولات العامّة من جهة</w:t>
      </w:r>
      <w:r w:rsidR="00F13ED6">
        <w:rPr>
          <w:rFonts w:hint="cs"/>
          <w:rtl/>
        </w:rPr>
        <w:t>،</w:t>
      </w:r>
      <w:r w:rsidR="00AF6BD7">
        <w:rPr>
          <w:rFonts w:hint="cs"/>
          <w:rtl/>
        </w:rPr>
        <w:t xml:space="preserve"> وإلى روايات خاصّة</w:t>
      </w:r>
      <w:r w:rsidRPr="00822CE9">
        <w:rPr>
          <w:rFonts w:hint="cs"/>
          <w:rtl/>
        </w:rPr>
        <w:t xml:space="preserve"> من جهة ثانية.</w:t>
      </w:r>
      <w:r w:rsidR="003C696B">
        <w:rPr>
          <w:rFonts w:hint="cs"/>
          <w:rtl/>
        </w:rPr>
        <w:t xml:space="preserve"> وكثيراً ما يتعرّض علماء أهل السنّة لهذا الموضوع في كتب العقيدة، بما قد يشي وكأنّها من عقائد وأساسيّات أفكارهم.</w:t>
      </w:r>
    </w:p>
    <w:p w14:paraId="3D3CDF97" w14:textId="77777777" w:rsidR="00B22ACE" w:rsidRDefault="00B22ACE" w:rsidP="005D35B4">
      <w:pPr>
        <w:pStyle w:val="normal870"/>
        <w:rPr>
          <w:rtl/>
        </w:rPr>
      </w:pPr>
      <w:r w:rsidRPr="005D35B4">
        <w:rPr>
          <w:rFonts w:hint="cs"/>
          <w:b/>
          <w:bCs/>
          <w:rtl/>
        </w:rPr>
        <w:t>وهذا الوجه هو الذي دارت المناقشات والمنازعات عليه بين التيارات التقليديّة، وكذلك السلفيّة التقليديّة، والتيارات السياسيّة الإسلاميّة مثل الإخوانيّة والجهاديّين.</w:t>
      </w:r>
      <w:r w:rsidR="00701083" w:rsidRPr="005D35B4">
        <w:rPr>
          <w:rFonts w:hint="cs"/>
          <w:b/>
          <w:bCs/>
          <w:rtl/>
        </w:rPr>
        <w:t xml:space="preserve"> وهناك نوع من التداخل بين هذه النظريّة ونظريّة حدود شرعيّة الحاكم</w:t>
      </w:r>
      <w:r w:rsidR="00701083" w:rsidRPr="000A0712">
        <w:rPr>
          <w:rFonts w:hint="cs"/>
          <w:rtl/>
        </w:rPr>
        <w:t>،</w:t>
      </w:r>
      <w:r w:rsidR="00701083">
        <w:rPr>
          <w:rFonts w:hint="cs"/>
          <w:rtl/>
        </w:rPr>
        <w:t xml:space="preserve"> فإذا قلنا ـ كما قال بالفعل بعض علماء أهل السنّة ـ بانعزاله بالفسق أو بالجور، فلا معنى لطاعته عندئذٍ؛ لأنّه لم يعد حاكماً، فيكون معنى الطاعة المطلقة هو حالة خطئه أو ظلمه مع بقائه على شرعيّة السلطة، وفي المسألة تفصيل</w:t>
      </w:r>
      <w:r w:rsidR="001979E6">
        <w:rPr>
          <w:rFonts w:hint="cs"/>
          <w:rtl/>
        </w:rPr>
        <w:t>، مثل أنّ البيعة اختيارية في البداية لكنّها ليست كذلك بعدها</w:t>
      </w:r>
      <w:r w:rsidR="00701083">
        <w:rPr>
          <w:rFonts w:hint="cs"/>
          <w:rtl/>
        </w:rPr>
        <w:t>.</w:t>
      </w:r>
    </w:p>
    <w:p w14:paraId="635A73BA" w14:textId="77777777" w:rsidR="00165930" w:rsidRPr="00822CE9" w:rsidRDefault="00165930" w:rsidP="00165930">
      <w:pPr>
        <w:spacing w:line="214" w:lineRule="auto"/>
        <w:rPr>
          <w:rtl/>
        </w:rPr>
      </w:pPr>
      <w:r w:rsidRPr="000F71B6">
        <w:rPr>
          <w:rFonts w:hint="cs"/>
          <w:b/>
          <w:bCs/>
          <w:rtl/>
        </w:rPr>
        <w:t>ولا بدّ من التمييز هنا ورفع الخلط والالتباس الذي يقع فيه بعضٌ، بين مسألتَي: الخروج على الحاكم، والإنكار عليه،</w:t>
      </w:r>
      <w:r>
        <w:rPr>
          <w:rFonts w:hint="cs"/>
          <w:rtl/>
        </w:rPr>
        <w:t xml:space="preserve"> فقد يقال بجواز الإنكار ولو علناً فضلاً عنه سرّاً، لكنّ الخروج ـ بما له من دلالة خاصّة ـ يكون محرّماً.</w:t>
      </w:r>
    </w:p>
    <w:p w14:paraId="2016988A" w14:textId="77777777" w:rsidR="000A4159" w:rsidRPr="00822CE9" w:rsidRDefault="000A4159" w:rsidP="00F13ED6">
      <w:pPr>
        <w:spacing w:line="214" w:lineRule="auto"/>
        <w:rPr>
          <w:rtl/>
        </w:rPr>
      </w:pPr>
      <w:r w:rsidRPr="00822CE9">
        <w:rPr>
          <w:rFonts w:hint="cs"/>
          <w:b/>
          <w:bCs/>
          <w:rtl/>
        </w:rPr>
        <w:lastRenderedPageBreak/>
        <w:t>الثاني: خاص</w:t>
      </w:r>
      <w:r w:rsidR="00F13ED6">
        <w:rPr>
          <w:rFonts w:hint="cs"/>
          <w:b/>
          <w:bCs/>
          <w:rtl/>
        </w:rPr>
        <w:t>ّ</w:t>
      </w:r>
      <w:r w:rsidRPr="00822CE9">
        <w:rPr>
          <w:rFonts w:hint="cs"/>
          <w:b/>
          <w:bCs/>
          <w:rtl/>
        </w:rPr>
        <w:t>،</w:t>
      </w:r>
      <w:r w:rsidRPr="00822CE9">
        <w:rPr>
          <w:rFonts w:hint="cs"/>
          <w:rtl/>
        </w:rPr>
        <w:t xml:space="preserve"> وهو الوجه الذي غلب حضوره في الوسط الشيعي</w:t>
      </w:r>
      <w:r w:rsidR="00F13ED6">
        <w:rPr>
          <w:rFonts w:hint="cs"/>
          <w:rtl/>
        </w:rPr>
        <w:t xml:space="preserve"> الإمامي</w:t>
      </w:r>
      <w:r w:rsidRPr="00822CE9">
        <w:rPr>
          <w:rFonts w:hint="cs"/>
          <w:rtl/>
        </w:rPr>
        <w:t xml:space="preserve">، وهو لا يرفض الثورة بالمطلق من حيث ذاتها، لكنّه يحرّمها في عصر غيبة </w:t>
      </w:r>
      <w:r w:rsidR="00F13ED6">
        <w:rPr>
          <w:rFonts w:hint="cs"/>
          <w:rtl/>
        </w:rPr>
        <w:t>الإمام الثاني عشر</w:t>
      </w:r>
      <w:r w:rsidRPr="00822CE9">
        <w:rPr>
          <w:rFonts w:hint="cs"/>
          <w:rtl/>
        </w:rPr>
        <w:t>، أو بتعبير آخر: في عصر ما قبل ظهور الإمام المهدي، أي أنّ الرايات التي ترفع وتقوم قبل قيام المهدي هي رايات ضلال، أو أن</w:t>
      </w:r>
      <w:r w:rsidR="00F13ED6">
        <w:rPr>
          <w:rFonts w:hint="cs"/>
          <w:rtl/>
        </w:rPr>
        <w:t>ّ</w:t>
      </w:r>
      <w:r w:rsidRPr="00822CE9">
        <w:rPr>
          <w:rFonts w:hint="cs"/>
          <w:rtl/>
        </w:rPr>
        <w:t>ه محكوم</w:t>
      </w:r>
      <w:r w:rsidR="00F13ED6">
        <w:rPr>
          <w:rFonts w:hint="cs"/>
          <w:rtl/>
        </w:rPr>
        <w:t>ٌ</w:t>
      </w:r>
      <w:r w:rsidRPr="00822CE9">
        <w:rPr>
          <w:rFonts w:hint="cs"/>
          <w:rtl/>
        </w:rPr>
        <w:t xml:space="preserve"> عليها بالفشل س</w:t>
      </w:r>
      <w:r w:rsidR="00F13ED6">
        <w:rPr>
          <w:rFonts w:hint="cs"/>
          <w:rtl/>
        </w:rPr>
        <w:t>َ</w:t>
      </w:r>
      <w:r w:rsidRPr="00822CE9">
        <w:rPr>
          <w:rFonts w:hint="cs"/>
          <w:rtl/>
        </w:rPr>
        <w:t>ل</w:t>
      </w:r>
      <w:r w:rsidR="00F13ED6">
        <w:rPr>
          <w:rFonts w:hint="cs"/>
          <w:rtl/>
        </w:rPr>
        <w:t>َ</w:t>
      </w:r>
      <w:r w:rsidRPr="00822CE9">
        <w:rPr>
          <w:rFonts w:hint="cs"/>
          <w:rtl/>
        </w:rPr>
        <w:t>فاً أو أنّ مصائبها وسي</w:t>
      </w:r>
      <w:r w:rsidR="00F13ED6">
        <w:rPr>
          <w:rFonts w:hint="cs"/>
          <w:rtl/>
        </w:rPr>
        <w:t>ّ</w:t>
      </w:r>
      <w:r w:rsidRPr="00822CE9">
        <w:rPr>
          <w:rFonts w:hint="cs"/>
          <w:rtl/>
        </w:rPr>
        <w:t>ئاتها على الشيعة ستكون أكبر من حسناتها وفوائدها و.. وقد كان الأساس في المستند هنا هو نظري</w:t>
      </w:r>
      <w:r w:rsidR="00F13ED6">
        <w:rPr>
          <w:rFonts w:hint="cs"/>
          <w:rtl/>
        </w:rPr>
        <w:t>ّ</w:t>
      </w:r>
      <w:r w:rsidRPr="00822CE9">
        <w:rPr>
          <w:rFonts w:hint="cs"/>
          <w:rtl/>
        </w:rPr>
        <w:t>ة التقيّة تارةً والنصوص الخاصّة المروي</w:t>
      </w:r>
      <w:r w:rsidR="00F13ED6">
        <w:rPr>
          <w:rFonts w:hint="cs"/>
          <w:rtl/>
        </w:rPr>
        <w:t>ّ</w:t>
      </w:r>
      <w:r w:rsidRPr="00822CE9">
        <w:rPr>
          <w:rFonts w:hint="cs"/>
          <w:rtl/>
        </w:rPr>
        <w:t xml:space="preserve">ة عن أهل البيت أخرى، بعد استبعاد أصالة </w:t>
      </w:r>
      <w:r w:rsidR="00F13ED6">
        <w:rPr>
          <w:rFonts w:hint="cs"/>
          <w:rtl/>
        </w:rPr>
        <w:t>البراءة</w:t>
      </w:r>
      <w:r w:rsidRPr="00822CE9">
        <w:rPr>
          <w:rFonts w:hint="cs"/>
          <w:rtl/>
        </w:rPr>
        <w:t xml:space="preserve"> نتيجة الدم</w:t>
      </w:r>
      <w:r w:rsidR="00F13ED6">
        <w:rPr>
          <w:rFonts w:hint="cs"/>
          <w:rtl/>
        </w:rPr>
        <w:t>ّ</w:t>
      </w:r>
      <w:r w:rsidRPr="00822CE9">
        <w:rPr>
          <w:rFonts w:hint="cs"/>
          <w:rtl/>
        </w:rPr>
        <w:t>.</w:t>
      </w:r>
    </w:p>
    <w:p w14:paraId="1DE6A42D" w14:textId="77777777" w:rsidR="000A4159" w:rsidRPr="00822CE9" w:rsidRDefault="000A4159" w:rsidP="00F13ED6">
      <w:pPr>
        <w:spacing w:line="214" w:lineRule="auto"/>
        <w:rPr>
          <w:rtl/>
        </w:rPr>
      </w:pPr>
      <w:r w:rsidRPr="0069657C">
        <w:rPr>
          <w:rFonts w:hint="cs"/>
          <w:b/>
          <w:bCs/>
          <w:rtl/>
        </w:rPr>
        <w:t>وفرق</w:t>
      </w:r>
      <w:r w:rsidR="00F13ED6" w:rsidRPr="0069657C">
        <w:rPr>
          <w:rFonts w:hint="cs"/>
          <w:b/>
          <w:bCs/>
          <w:rtl/>
        </w:rPr>
        <w:t>ُ</w:t>
      </w:r>
      <w:r w:rsidRPr="0069657C">
        <w:rPr>
          <w:rFonts w:hint="cs"/>
          <w:b/>
          <w:bCs/>
          <w:rtl/>
        </w:rPr>
        <w:t xml:space="preserve"> الوجه الأوّل عن الثاني</w:t>
      </w:r>
      <w:r w:rsidRPr="00822CE9">
        <w:rPr>
          <w:rFonts w:hint="cs"/>
          <w:rtl/>
        </w:rPr>
        <w:t xml:space="preserve"> أنّ التحريم في الوجه الأو</w:t>
      </w:r>
      <w:r w:rsidR="00F13ED6">
        <w:rPr>
          <w:rFonts w:hint="cs"/>
          <w:rtl/>
        </w:rPr>
        <w:t>ّ</w:t>
      </w:r>
      <w:r w:rsidRPr="00822CE9">
        <w:rPr>
          <w:rFonts w:hint="cs"/>
          <w:rtl/>
        </w:rPr>
        <w:t xml:space="preserve">ل أبديٌّ وفي تمام الحالات والأعصار والأمصار، سواء كان </w:t>
      </w:r>
      <w:r w:rsidR="00F13ED6">
        <w:rPr>
          <w:rFonts w:hint="cs"/>
          <w:rtl/>
        </w:rPr>
        <w:t xml:space="preserve">الإمام المنصوص </w:t>
      </w:r>
      <w:r w:rsidRPr="00822CE9">
        <w:rPr>
          <w:rFonts w:hint="cs"/>
          <w:rtl/>
        </w:rPr>
        <w:t>حاضراً أم لا، أم</w:t>
      </w:r>
      <w:r w:rsidR="00F13ED6">
        <w:rPr>
          <w:rFonts w:hint="cs"/>
          <w:rtl/>
        </w:rPr>
        <w:t>ّ</w:t>
      </w:r>
      <w:r w:rsidRPr="00822CE9">
        <w:rPr>
          <w:rFonts w:hint="cs"/>
          <w:rtl/>
        </w:rPr>
        <w:t xml:space="preserve">ا التحريم في الوجه الثاني فهو خاصّ بحالة عدم الإذن الخاصّ من </w:t>
      </w:r>
      <w:r w:rsidR="00F13ED6">
        <w:rPr>
          <w:rFonts w:hint="cs"/>
          <w:rtl/>
        </w:rPr>
        <w:t>الإمام المنصوص</w:t>
      </w:r>
      <w:r w:rsidRPr="00822CE9">
        <w:rPr>
          <w:rFonts w:hint="cs"/>
          <w:rtl/>
        </w:rPr>
        <w:t xml:space="preserve"> على تقدير حضوره، وكذلك حالة غيبته أيضاً.</w:t>
      </w:r>
    </w:p>
    <w:p w14:paraId="3435151C" w14:textId="77777777" w:rsidR="000A4159" w:rsidRPr="00822CE9" w:rsidRDefault="000A4159" w:rsidP="009E564E">
      <w:pPr>
        <w:spacing w:line="214" w:lineRule="auto"/>
        <w:rPr>
          <w:rtl/>
        </w:rPr>
      </w:pPr>
      <w:r w:rsidRPr="00822CE9">
        <w:rPr>
          <w:rFonts w:hint="cs"/>
          <w:rtl/>
        </w:rPr>
        <w:t>ولكي نستوعب نظري</w:t>
      </w:r>
      <w:r w:rsidR="00F13ED6">
        <w:rPr>
          <w:rFonts w:hint="cs"/>
          <w:rtl/>
        </w:rPr>
        <w:t>ّ</w:t>
      </w:r>
      <w:r w:rsidRPr="00822CE9">
        <w:rPr>
          <w:rFonts w:hint="cs"/>
          <w:rtl/>
        </w:rPr>
        <w:t>ة حظر الثور</w:t>
      </w:r>
      <w:r w:rsidR="009E564E">
        <w:rPr>
          <w:rFonts w:hint="cs"/>
          <w:rtl/>
        </w:rPr>
        <w:t>ات غير السلميّة</w:t>
      </w:r>
      <w:r w:rsidRPr="00822CE9">
        <w:rPr>
          <w:rFonts w:hint="cs"/>
          <w:rtl/>
        </w:rPr>
        <w:t xml:space="preserve"> بالبحث، علينا استعراض هذين المنحيين في معالجة الموضوع، أي المنحى العام الذي غلب في الفقه السنّي، والمنحى الخاص الذي غلب في الفقه الشيعي</w:t>
      </w:r>
      <w:r w:rsidR="000A0712">
        <w:rPr>
          <w:rFonts w:hint="cs"/>
          <w:rtl/>
        </w:rPr>
        <w:t xml:space="preserve"> الإمامي</w:t>
      </w:r>
      <w:r w:rsidRPr="00822CE9">
        <w:rPr>
          <w:rFonts w:hint="cs"/>
          <w:rtl/>
        </w:rPr>
        <w:t>، وذلك لدراسة مديات الصواب فيهما.</w:t>
      </w:r>
    </w:p>
    <w:p w14:paraId="7377A6F0" w14:textId="77777777" w:rsidR="000A4159" w:rsidRPr="00F13ED6" w:rsidRDefault="000A4159" w:rsidP="0096148C">
      <w:pPr>
        <w:pStyle w:val="Heading2"/>
        <w:rPr>
          <w:rtl/>
        </w:rPr>
      </w:pPr>
      <w:bookmarkStart w:id="197" w:name="_Toc143804178"/>
      <w:bookmarkStart w:id="198" w:name="_Toc238123303"/>
      <w:r w:rsidRPr="00F13ED6">
        <w:rPr>
          <w:rFonts w:hint="cs"/>
          <w:rtl/>
        </w:rPr>
        <w:t xml:space="preserve">1 ـ </w:t>
      </w:r>
      <w:r w:rsidR="00F13ED6">
        <w:rPr>
          <w:rFonts w:hint="cs"/>
          <w:rtl/>
        </w:rPr>
        <w:t xml:space="preserve">نظريّة التحريم انطلاقاً من </w:t>
      </w:r>
      <w:r w:rsidRPr="00F13ED6">
        <w:rPr>
          <w:rFonts w:hint="cs"/>
          <w:rtl/>
        </w:rPr>
        <w:t>لزوم طاعة مطلق الحاكم</w:t>
      </w:r>
      <w:r w:rsidR="00F13ED6">
        <w:rPr>
          <w:rFonts w:hint="cs"/>
          <w:rtl/>
        </w:rPr>
        <w:t>، الأدلّة والملاحظات</w:t>
      </w:r>
      <w:bookmarkEnd w:id="197"/>
      <w:bookmarkEnd w:id="198"/>
    </w:p>
    <w:p w14:paraId="504C483D" w14:textId="77777777" w:rsidR="00E77FE1" w:rsidRDefault="00E77FE1" w:rsidP="00E77FE1">
      <w:pPr>
        <w:spacing w:line="214" w:lineRule="auto"/>
        <w:rPr>
          <w:b/>
          <w:bCs/>
          <w:rtl/>
        </w:rPr>
      </w:pPr>
      <w:r>
        <w:rPr>
          <w:rFonts w:hint="cs"/>
          <w:b/>
          <w:bCs/>
          <w:rtl/>
        </w:rPr>
        <w:t>تتعدّد الأدلّة التي ذكرها أنصار نظريّة التحريم على قاعدة لزوم طاعة الحاكم، وأهمّها الآتي:</w:t>
      </w:r>
    </w:p>
    <w:p w14:paraId="197C1A2A" w14:textId="77777777" w:rsidR="00E77FE1" w:rsidRPr="00E77FE1" w:rsidRDefault="00E77FE1" w:rsidP="0096148C">
      <w:pPr>
        <w:pStyle w:val="Heading3"/>
        <w:rPr>
          <w:rtl/>
        </w:rPr>
      </w:pPr>
      <w:bookmarkStart w:id="199" w:name="_Toc143804179"/>
      <w:bookmarkStart w:id="200" w:name="_Toc238123304"/>
      <w:r w:rsidRPr="00E77FE1">
        <w:rPr>
          <w:rFonts w:hint="cs"/>
          <w:rtl/>
        </w:rPr>
        <w:t>1 ـ 1 ـ النصوص</w:t>
      </w:r>
      <w:r>
        <w:rPr>
          <w:rFonts w:hint="cs"/>
          <w:rtl/>
        </w:rPr>
        <w:t xml:space="preserve"> </w:t>
      </w:r>
      <w:r w:rsidRPr="00E77FE1">
        <w:rPr>
          <w:rFonts w:hint="cs"/>
          <w:rtl/>
        </w:rPr>
        <w:t xml:space="preserve">الحديثيّة والتأسيس للطاعة المطلقة للحكّام، </w:t>
      </w:r>
      <w:r>
        <w:rPr>
          <w:rFonts w:hint="cs"/>
          <w:rtl/>
        </w:rPr>
        <w:t>عرض وتحليل وتعليق</w:t>
      </w:r>
      <w:bookmarkEnd w:id="199"/>
      <w:bookmarkEnd w:id="200"/>
    </w:p>
    <w:p w14:paraId="4904741B" w14:textId="77777777" w:rsidR="000A4159" w:rsidRPr="00F13ED6" w:rsidRDefault="000A4159" w:rsidP="00A079D6">
      <w:pPr>
        <w:spacing w:line="214" w:lineRule="auto"/>
        <w:rPr>
          <w:b/>
          <w:bCs/>
          <w:rtl/>
        </w:rPr>
      </w:pPr>
      <w:r w:rsidRPr="00F13ED6">
        <w:rPr>
          <w:rFonts w:hint="cs"/>
          <w:b/>
          <w:bCs/>
          <w:rtl/>
        </w:rPr>
        <w:t>ثم</w:t>
      </w:r>
      <w:r w:rsidR="00F13ED6" w:rsidRPr="00F13ED6">
        <w:rPr>
          <w:rFonts w:hint="cs"/>
          <w:b/>
          <w:bCs/>
          <w:rtl/>
        </w:rPr>
        <w:t>ّ</w:t>
      </w:r>
      <w:r w:rsidRPr="00F13ED6">
        <w:rPr>
          <w:rFonts w:hint="cs"/>
          <w:b/>
          <w:bCs/>
          <w:rtl/>
        </w:rPr>
        <w:t>ة روايات جاءت في مصادر الحديث تشير إلى لزوم إطاعة الحاكم الجائر مهما فعل، وأبرزها:</w:t>
      </w:r>
    </w:p>
    <w:p w14:paraId="4AE70826" w14:textId="77777777" w:rsidR="000A4159" w:rsidRPr="00822CE9" w:rsidRDefault="000A4159" w:rsidP="0069657C">
      <w:pPr>
        <w:spacing w:line="214" w:lineRule="auto"/>
        <w:rPr>
          <w:rtl/>
        </w:rPr>
      </w:pPr>
      <w:r w:rsidRPr="00F13ED6">
        <w:rPr>
          <w:rFonts w:hint="cs"/>
          <w:b/>
          <w:bCs/>
          <w:rtl/>
        </w:rPr>
        <w:t xml:space="preserve">الرواية الأولى: </w:t>
      </w:r>
      <w:r w:rsidR="00F13ED6">
        <w:rPr>
          <w:rFonts w:hint="cs"/>
          <w:b/>
          <w:bCs/>
          <w:rtl/>
        </w:rPr>
        <w:t xml:space="preserve">خبر </w:t>
      </w:r>
      <w:r w:rsidRPr="00F13ED6">
        <w:rPr>
          <w:rFonts w:hint="cs"/>
          <w:b/>
          <w:bCs/>
          <w:rtl/>
        </w:rPr>
        <w:t>ح</w:t>
      </w:r>
      <w:r w:rsidR="0069657C">
        <w:rPr>
          <w:rFonts w:hint="cs"/>
          <w:b/>
          <w:bCs/>
          <w:rtl/>
        </w:rPr>
        <w:t>ُ</w:t>
      </w:r>
      <w:r w:rsidRPr="00F13ED6">
        <w:rPr>
          <w:rFonts w:hint="cs"/>
          <w:b/>
          <w:bCs/>
          <w:rtl/>
        </w:rPr>
        <w:t>ذيفة بن الي</w:t>
      </w:r>
      <w:r w:rsidR="0069657C">
        <w:rPr>
          <w:rFonts w:hint="cs"/>
          <w:b/>
          <w:bCs/>
          <w:rtl/>
        </w:rPr>
        <w:t>َ</w:t>
      </w:r>
      <w:r w:rsidRPr="00F13ED6">
        <w:rPr>
          <w:rFonts w:hint="cs"/>
          <w:b/>
          <w:bCs/>
          <w:rtl/>
        </w:rPr>
        <w:t>مان،</w:t>
      </w:r>
      <w:r w:rsidRPr="00822CE9">
        <w:rPr>
          <w:rFonts w:hint="cs"/>
          <w:rtl/>
        </w:rPr>
        <w:t xml:space="preserve"> قال: قلت: يا رسول الله</w:t>
      </w:r>
      <w:r w:rsidR="00F13ED6">
        <w:rPr>
          <w:rFonts w:hint="cs"/>
          <w:rtl/>
        </w:rPr>
        <w:t>،</w:t>
      </w:r>
      <w:r w:rsidRPr="00822CE9">
        <w:rPr>
          <w:rFonts w:hint="cs"/>
          <w:rtl/>
        </w:rPr>
        <w:t xml:space="preserve"> إن</w:t>
      </w:r>
      <w:r w:rsidR="00F13ED6">
        <w:rPr>
          <w:rFonts w:hint="cs"/>
          <w:rtl/>
        </w:rPr>
        <w:t>ّ</w:t>
      </w:r>
      <w:r w:rsidRPr="00822CE9">
        <w:rPr>
          <w:rFonts w:hint="cs"/>
          <w:rtl/>
        </w:rPr>
        <w:t>ا كنّا بشر</w:t>
      </w:r>
      <w:r w:rsidR="008F1C8D">
        <w:rPr>
          <w:rFonts w:hint="cs"/>
          <w:rtl/>
        </w:rPr>
        <w:t>ّ</w:t>
      </w:r>
      <w:r w:rsidRPr="00822CE9">
        <w:rPr>
          <w:rFonts w:hint="cs"/>
          <w:rtl/>
        </w:rPr>
        <w:t xml:space="preserve"> فجاء الله بخير فنحن فيه، فهل من وراء هذا الخير شرّ؟ قال: «نعم»، قلت: هل وراء ذلك الشر</w:t>
      </w:r>
      <w:r w:rsidR="00F13ED6">
        <w:rPr>
          <w:rFonts w:hint="cs"/>
          <w:rtl/>
        </w:rPr>
        <w:t>ّ</w:t>
      </w:r>
      <w:r w:rsidRPr="00822CE9">
        <w:rPr>
          <w:rFonts w:hint="cs"/>
          <w:rtl/>
        </w:rPr>
        <w:t xml:space="preserve"> خير؟ قال: «نعم»، قلت: فهل وراء ذلك الخير شر</w:t>
      </w:r>
      <w:r w:rsidR="00F13ED6">
        <w:rPr>
          <w:rFonts w:hint="cs"/>
          <w:rtl/>
        </w:rPr>
        <w:t>ّ</w:t>
      </w:r>
      <w:r w:rsidRPr="00822CE9">
        <w:rPr>
          <w:rFonts w:hint="cs"/>
          <w:rtl/>
        </w:rPr>
        <w:t>؟ قال: «نعم»، قلت: كيف؟ قال: «يكون بعدي أئم</w:t>
      </w:r>
      <w:r w:rsidR="00F13ED6">
        <w:rPr>
          <w:rFonts w:hint="cs"/>
          <w:rtl/>
        </w:rPr>
        <w:t>ّ</w:t>
      </w:r>
      <w:r w:rsidRPr="00822CE9">
        <w:rPr>
          <w:rFonts w:hint="cs"/>
          <w:rtl/>
        </w:rPr>
        <w:t>ة لا يهتدون بهداي، ولا يس</w:t>
      </w:r>
      <w:r w:rsidR="0069657C">
        <w:rPr>
          <w:rFonts w:hint="cs"/>
          <w:rtl/>
        </w:rPr>
        <w:t>ت</w:t>
      </w:r>
      <w:r w:rsidRPr="00822CE9">
        <w:rPr>
          <w:rFonts w:hint="cs"/>
          <w:rtl/>
        </w:rPr>
        <w:t>نّون بسن</w:t>
      </w:r>
      <w:r w:rsidR="00F13ED6">
        <w:rPr>
          <w:rFonts w:hint="cs"/>
          <w:rtl/>
        </w:rPr>
        <w:t>ّت</w:t>
      </w:r>
      <w:r w:rsidRPr="00822CE9">
        <w:rPr>
          <w:rFonts w:hint="cs"/>
          <w:rtl/>
        </w:rPr>
        <w:t>ي، وسيقوم فيهم رجال</w:t>
      </w:r>
      <w:r w:rsidR="00F13ED6">
        <w:rPr>
          <w:rFonts w:hint="cs"/>
          <w:rtl/>
        </w:rPr>
        <w:t>ٌ</w:t>
      </w:r>
      <w:r w:rsidRPr="00822CE9">
        <w:rPr>
          <w:rFonts w:hint="cs"/>
          <w:rtl/>
        </w:rPr>
        <w:t xml:space="preserve"> قلوبهم قلوب الشياطين في جثمان إنس» </w:t>
      </w:r>
      <w:r w:rsidRPr="00822CE9">
        <w:rPr>
          <w:rFonts w:hint="cs"/>
          <w:rtl/>
        </w:rPr>
        <w:lastRenderedPageBreak/>
        <w:t>قال: قلت: كيف أصنع يا رسول الله إن أدركت ذلك؟ قال: «تسمع وتطيع للأمير، وإن ضرب ظهرك وأخذ مالك فاسمع وأطع»</w:t>
      </w:r>
      <w:r w:rsidRPr="000A4159">
        <w:rPr>
          <w:rFonts w:cs="Taher"/>
          <w:vertAlign w:val="superscript"/>
          <w:rtl/>
        </w:rPr>
        <w:t>(</w:t>
      </w:r>
      <w:r w:rsidRPr="000A4159">
        <w:rPr>
          <w:rStyle w:val="FootnoteReference"/>
          <w:rFonts w:cs="Taher"/>
          <w:rtl/>
        </w:rPr>
        <w:footnoteReference w:id="317"/>
      </w:r>
      <w:r w:rsidRPr="000A4159">
        <w:rPr>
          <w:rFonts w:cs="Taher"/>
          <w:vertAlign w:val="superscript"/>
          <w:rtl/>
        </w:rPr>
        <w:t>)</w:t>
      </w:r>
      <w:r w:rsidRPr="00822CE9">
        <w:rPr>
          <w:rtl/>
        </w:rPr>
        <w:t>.</w:t>
      </w:r>
    </w:p>
    <w:p w14:paraId="1C307991" w14:textId="77777777" w:rsidR="000A4159" w:rsidRPr="00822CE9" w:rsidRDefault="000A4159" w:rsidP="00A079D6">
      <w:pPr>
        <w:spacing w:line="214" w:lineRule="auto"/>
        <w:rPr>
          <w:rtl/>
        </w:rPr>
      </w:pPr>
      <w:r w:rsidRPr="00822CE9">
        <w:rPr>
          <w:rFonts w:hint="cs"/>
          <w:rtl/>
        </w:rPr>
        <w:t>فهذه الرواية واضحة الدلالة ليس على عدم شرعي</w:t>
      </w:r>
      <w:r w:rsidR="00F13ED6">
        <w:rPr>
          <w:rFonts w:hint="cs"/>
          <w:rtl/>
        </w:rPr>
        <w:t>ّ</w:t>
      </w:r>
      <w:r w:rsidRPr="00822CE9">
        <w:rPr>
          <w:rFonts w:hint="cs"/>
          <w:rtl/>
        </w:rPr>
        <w:t>ة الخروج على الحاكم فحسب</w:t>
      </w:r>
      <w:r w:rsidR="00F13ED6">
        <w:rPr>
          <w:rFonts w:hint="cs"/>
          <w:rtl/>
        </w:rPr>
        <w:t>،</w:t>
      </w:r>
      <w:r w:rsidRPr="00822CE9">
        <w:rPr>
          <w:rFonts w:hint="cs"/>
          <w:rtl/>
        </w:rPr>
        <w:t xml:space="preserve"> بل على لزوم طاعته والسمع له حتى لو ظلم الناس وأخذ أموالهم</w:t>
      </w:r>
      <w:r w:rsidR="00F13ED6">
        <w:rPr>
          <w:rFonts w:hint="cs"/>
          <w:rtl/>
        </w:rPr>
        <w:t>،</w:t>
      </w:r>
      <w:r w:rsidRPr="00822CE9">
        <w:rPr>
          <w:rFonts w:hint="cs"/>
          <w:rtl/>
        </w:rPr>
        <w:t xml:space="preserve"> فضلاً عن </w:t>
      </w:r>
      <w:r w:rsidR="00F13ED6">
        <w:rPr>
          <w:rFonts w:hint="cs"/>
          <w:rtl/>
        </w:rPr>
        <w:t xml:space="preserve">حالة </w:t>
      </w:r>
      <w:r w:rsidRPr="00822CE9">
        <w:rPr>
          <w:rFonts w:hint="cs"/>
          <w:rtl/>
        </w:rPr>
        <w:t>عدم شرعيّته مثلاً لفسق شخصي أو غيره.</w:t>
      </w:r>
    </w:p>
    <w:p w14:paraId="0AB46866" w14:textId="77777777" w:rsidR="000A4159" w:rsidRDefault="000A4159" w:rsidP="005D35B4">
      <w:pPr>
        <w:pStyle w:val="normal84"/>
        <w:rPr>
          <w:rtl/>
        </w:rPr>
      </w:pPr>
      <w:r w:rsidRPr="008F1C8D">
        <w:rPr>
          <w:rFonts w:hint="cs"/>
          <w:b/>
          <w:bCs/>
          <w:rtl/>
        </w:rPr>
        <w:t>وبقطع النظر عن الملاحظات اللاحقة، فهذه الرواية ـ بهذه الص</w:t>
      </w:r>
      <w:r w:rsidR="00F13ED6" w:rsidRPr="008F1C8D">
        <w:rPr>
          <w:rFonts w:hint="cs"/>
          <w:b/>
          <w:bCs/>
          <w:rtl/>
        </w:rPr>
        <w:t>يغة ـ ضعيفة السند؛</w:t>
      </w:r>
      <w:r w:rsidRPr="00822CE9">
        <w:rPr>
          <w:rFonts w:hint="cs"/>
          <w:rtl/>
        </w:rPr>
        <w:t xml:space="preserve"> لأن</w:t>
      </w:r>
      <w:r w:rsidR="00F13ED6">
        <w:rPr>
          <w:rFonts w:hint="cs"/>
          <w:rtl/>
        </w:rPr>
        <w:t>ّ</w:t>
      </w:r>
      <w:r w:rsidRPr="00822CE9">
        <w:rPr>
          <w:rFonts w:hint="cs"/>
          <w:rtl/>
        </w:rPr>
        <w:t xml:space="preserve">ه رواها أبو سلام عن حذيفة بن اليمان، وهو </w:t>
      </w:r>
      <w:r w:rsidR="00F13ED6">
        <w:rPr>
          <w:rFonts w:hint="cs"/>
          <w:rtl/>
        </w:rPr>
        <w:t xml:space="preserve">ممّن </w:t>
      </w:r>
      <w:r w:rsidRPr="00822CE9">
        <w:rPr>
          <w:rFonts w:hint="cs"/>
          <w:rtl/>
        </w:rPr>
        <w:t>لم يرو</w:t>
      </w:r>
      <w:r w:rsidR="00F13ED6">
        <w:rPr>
          <w:rFonts w:hint="cs"/>
          <w:rtl/>
        </w:rPr>
        <w:t>ِ</w:t>
      </w:r>
      <w:r w:rsidRPr="00822CE9">
        <w:rPr>
          <w:rFonts w:hint="cs"/>
          <w:rtl/>
        </w:rPr>
        <w:t xml:space="preserve"> عن حذيفة، فيكون الحديث مرسلاً</w:t>
      </w:r>
      <w:r w:rsidR="00164CF9">
        <w:rPr>
          <w:rFonts w:hint="cs"/>
          <w:rtl/>
        </w:rPr>
        <w:t xml:space="preserve"> أو منقطعاً</w:t>
      </w:r>
      <w:r w:rsidRPr="00822CE9">
        <w:rPr>
          <w:rFonts w:hint="cs"/>
          <w:rtl/>
        </w:rPr>
        <w:t>، كما نقله المقريزي عن الدارقطني</w:t>
      </w:r>
      <w:r w:rsidRPr="000A4159">
        <w:rPr>
          <w:rFonts w:cs="Taher"/>
          <w:vertAlign w:val="superscript"/>
          <w:rtl/>
        </w:rPr>
        <w:t>(</w:t>
      </w:r>
      <w:r w:rsidRPr="000A4159">
        <w:rPr>
          <w:rStyle w:val="FootnoteReference"/>
          <w:rFonts w:cs="Taher"/>
          <w:rtl/>
        </w:rPr>
        <w:footnoteReference w:id="318"/>
      </w:r>
      <w:r w:rsidRPr="000A4159">
        <w:rPr>
          <w:rFonts w:cs="Taher"/>
          <w:vertAlign w:val="superscript"/>
          <w:rtl/>
        </w:rPr>
        <w:t>)</w:t>
      </w:r>
      <w:r w:rsidRPr="00822CE9">
        <w:rPr>
          <w:rtl/>
        </w:rPr>
        <w:t xml:space="preserve"> </w:t>
      </w:r>
      <w:r w:rsidRPr="00822CE9">
        <w:rPr>
          <w:rFonts w:hint="cs"/>
          <w:rtl/>
        </w:rPr>
        <w:t>؛ وإن عاد وصح</w:t>
      </w:r>
      <w:r w:rsidR="00F13ED6">
        <w:rPr>
          <w:rFonts w:hint="cs"/>
          <w:rtl/>
        </w:rPr>
        <w:t>ّ</w:t>
      </w:r>
      <w:r w:rsidRPr="00822CE9">
        <w:rPr>
          <w:rFonts w:hint="cs"/>
          <w:rtl/>
        </w:rPr>
        <w:t xml:space="preserve">حه عبر </w:t>
      </w:r>
      <w:r w:rsidRPr="00F452EB">
        <w:rPr>
          <w:rFonts w:hint="cs"/>
          <w:b/>
          <w:bCs/>
          <w:rtl/>
        </w:rPr>
        <w:t>رواية البخاري، و</w:t>
      </w:r>
      <w:r w:rsidR="00F452EB" w:rsidRPr="00F452EB">
        <w:rPr>
          <w:rFonts w:hint="cs"/>
          <w:b/>
          <w:bCs/>
          <w:rtl/>
        </w:rPr>
        <w:t>ه</w:t>
      </w:r>
      <w:r w:rsidR="008F1C8D">
        <w:rPr>
          <w:rFonts w:hint="cs"/>
          <w:b/>
          <w:bCs/>
          <w:rtl/>
        </w:rPr>
        <w:t>و</w:t>
      </w:r>
      <w:r w:rsidR="00F452EB" w:rsidRPr="00F452EB">
        <w:rPr>
          <w:rFonts w:hint="cs"/>
          <w:b/>
          <w:bCs/>
          <w:rtl/>
        </w:rPr>
        <w:t>:</w:t>
      </w:r>
      <w:r w:rsidR="00F452EB">
        <w:rPr>
          <w:rFonts w:hint="cs"/>
          <w:rtl/>
        </w:rPr>
        <w:t xml:space="preserve"> </w:t>
      </w:r>
      <w:r w:rsidR="00F452EB" w:rsidRPr="00F452EB">
        <w:rPr>
          <w:rtl/>
        </w:rPr>
        <w:t>كان الناس يسألون رسول الله</w:t>
      </w:r>
      <w:r w:rsidR="00F452EB">
        <w:rPr>
          <w:rFonts w:hint="cs"/>
          <w:rtl/>
        </w:rPr>
        <w:t>‘</w:t>
      </w:r>
      <w:r w:rsidR="00F452EB" w:rsidRPr="00F452EB">
        <w:rPr>
          <w:rtl/>
        </w:rPr>
        <w:t xml:space="preserve"> عن</w:t>
      </w:r>
      <w:r w:rsidR="00F452EB">
        <w:rPr>
          <w:rFonts w:hint="cs"/>
          <w:rtl/>
        </w:rPr>
        <w:t xml:space="preserve"> </w:t>
      </w:r>
      <w:r w:rsidR="00F452EB" w:rsidRPr="00F452EB">
        <w:rPr>
          <w:rtl/>
        </w:rPr>
        <w:t>الخير وكنت أسأله عن الشر</w:t>
      </w:r>
      <w:r w:rsidR="00F452EB">
        <w:rPr>
          <w:rFonts w:hint="cs"/>
          <w:rtl/>
        </w:rPr>
        <w:t>ّ</w:t>
      </w:r>
      <w:r w:rsidR="00F452EB">
        <w:rPr>
          <w:rtl/>
        </w:rPr>
        <w:t xml:space="preserve"> مخافة </w:t>
      </w:r>
      <w:r w:rsidR="00F452EB">
        <w:rPr>
          <w:rFonts w:hint="cs"/>
          <w:rtl/>
        </w:rPr>
        <w:t>أ</w:t>
      </w:r>
      <w:r w:rsidR="00F452EB" w:rsidRPr="00F452EB">
        <w:rPr>
          <w:rtl/>
        </w:rPr>
        <w:t>ن يدركني</w:t>
      </w:r>
      <w:r w:rsidR="00F452EB">
        <w:rPr>
          <w:rFonts w:hint="cs"/>
          <w:rtl/>
        </w:rPr>
        <w:t>،</w:t>
      </w:r>
      <w:r w:rsidR="00F452EB" w:rsidRPr="00F452EB">
        <w:rPr>
          <w:rtl/>
        </w:rPr>
        <w:t xml:space="preserve"> فقلت</w:t>
      </w:r>
      <w:r w:rsidR="00F452EB">
        <w:rPr>
          <w:rFonts w:hint="cs"/>
          <w:rtl/>
        </w:rPr>
        <w:t>:</w:t>
      </w:r>
      <w:r w:rsidR="00F452EB" w:rsidRPr="00F452EB">
        <w:rPr>
          <w:rtl/>
        </w:rPr>
        <w:t xml:space="preserve"> يا رسول الله</w:t>
      </w:r>
      <w:r w:rsidR="00F452EB">
        <w:rPr>
          <w:rFonts w:hint="cs"/>
          <w:rtl/>
        </w:rPr>
        <w:t>،</w:t>
      </w:r>
      <w:r w:rsidR="00F452EB">
        <w:rPr>
          <w:rtl/>
        </w:rPr>
        <w:t xml:space="preserve"> </w:t>
      </w:r>
      <w:r w:rsidR="00F452EB">
        <w:rPr>
          <w:rFonts w:hint="cs"/>
          <w:rtl/>
        </w:rPr>
        <w:t>إ</w:t>
      </w:r>
      <w:r w:rsidR="00F452EB" w:rsidRPr="00F452EB">
        <w:rPr>
          <w:rtl/>
        </w:rPr>
        <w:t>ن</w:t>
      </w:r>
      <w:r w:rsidR="00F452EB">
        <w:rPr>
          <w:rFonts w:hint="cs"/>
          <w:rtl/>
        </w:rPr>
        <w:t>ّ</w:t>
      </w:r>
      <w:r w:rsidR="00F452EB" w:rsidRPr="00F452EB">
        <w:rPr>
          <w:rtl/>
        </w:rPr>
        <w:t>ا كن</w:t>
      </w:r>
      <w:r w:rsidR="00F452EB">
        <w:rPr>
          <w:rFonts w:hint="cs"/>
          <w:rtl/>
        </w:rPr>
        <w:t>ّ</w:t>
      </w:r>
      <w:r w:rsidR="00F452EB" w:rsidRPr="00F452EB">
        <w:rPr>
          <w:rtl/>
        </w:rPr>
        <w:t>ا</w:t>
      </w:r>
      <w:r w:rsidR="00F452EB">
        <w:rPr>
          <w:rFonts w:hint="cs"/>
          <w:rtl/>
        </w:rPr>
        <w:t xml:space="preserve"> </w:t>
      </w:r>
      <w:r w:rsidR="00F452EB" w:rsidRPr="00F452EB">
        <w:rPr>
          <w:rtl/>
        </w:rPr>
        <w:t>في جاهلي</w:t>
      </w:r>
      <w:r w:rsidR="00F452EB">
        <w:rPr>
          <w:rFonts w:hint="cs"/>
          <w:rtl/>
        </w:rPr>
        <w:t>ّ</w:t>
      </w:r>
      <w:r w:rsidR="00F452EB" w:rsidRPr="00F452EB">
        <w:rPr>
          <w:rtl/>
        </w:rPr>
        <w:t>ة</w:t>
      </w:r>
      <w:r w:rsidR="00F452EB">
        <w:rPr>
          <w:rFonts w:hint="cs"/>
          <w:rtl/>
        </w:rPr>
        <w:t>ٍ</w:t>
      </w:r>
      <w:r w:rsidR="00F452EB" w:rsidRPr="00F452EB">
        <w:rPr>
          <w:rtl/>
        </w:rPr>
        <w:t xml:space="preserve"> وشر</w:t>
      </w:r>
      <w:r w:rsidR="00F452EB">
        <w:rPr>
          <w:rFonts w:hint="cs"/>
          <w:rtl/>
        </w:rPr>
        <w:t>ّ،</w:t>
      </w:r>
      <w:r w:rsidR="00F452EB" w:rsidRPr="00F452EB">
        <w:rPr>
          <w:rtl/>
        </w:rPr>
        <w:t xml:space="preserve"> فجاءنا الله بهذا الخير</w:t>
      </w:r>
      <w:r w:rsidR="00F452EB">
        <w:rPr>
          <w:rFonts w:hint="cs"/>
          <w:rtl/>
        </w:rPr>
        <w:t>،</w:t>
      </w:r>
      <w:r w:rsidR="00F452EB" w:rsidRPr="00F452EB">
        <w:rPr>
          <w:rtl/>
        </w:rPr>
        <w:t xml:space="preserve"> فهل بعد هذا الخير من شر</w:t>
      </w:r>
      <w:r w:rsidR="00F452EB">
        <w:rPr>
          <w:rFonts w:hint="cs"/>
          <w:rtl/>
        </w:rPr>
        <w:t>ّ؟</w:t>
      </w:r>
      <w:r w:rsidR="00F452EB" w:rsidRPr="00F452EB">
        <w:rPr>
          <w:rtl/>
        </w:rPr>
        <w:t xml:space="preserve"> قال</w:t>
      </w:r>
      <w:r w:rsidR="00F452EB">
        <w:rPr>
          <w:rFonts w:hint="cs"/>
          <w:rtl/>
        </w:rPr>
        <w:t>:</w:t>
      </w:r>
      <w:r w:rsidR="00F452EB" w:rsidRPr="00F452EB">
        <w:rPr>
          <w:rtl/>
        </w:rPr>
        <w:t xml:space="preserve"> </w:t>
      </w:r>
      <w:r w:rsidR="00F452EB">
        <w:rPr>
          <w:rFonts w:hint="cs"/>
          <w:rtl/>
        </w:rPr>
        <w:t>«</w:t>
      </w:r>
      <w:r w:rsidR="00F452EB" w:rsidRPr="00F452EB">
        <w:rPr>
          <w:rtl/>
        </w:rPr>
        <w:t>نعم</w:t>
      </w:r>
      <w:r w:rsidR="00F452EB">
        <w:rPr>
          <w:rFonts w:hint="cs"/>
          <w:rtl/>
        </w:rPr>
        <w:t>».</w:t>
      </w:r>
      <w:r w:rsidR="00F452EB" w:rsidRPr="00F452EB">
        <w:rPr>
          <w:rtl/>
        </w:rPr>
        <w:t xml:space="preserve"> قلت</w:t>
      </w:r>
      <w:r w:rsidR="00F452EB">
        <w:rPr>
          <w:rFonts w:hint="cs"/>
          <w:rtl/>
        </w:rPr>
        <w:t xml:space="preserve">: </w:t>
      </w:r>
      <w:r w:rsidR="00F452EB" w:rsidRPr="00F452EB">
        <w:rPr>
          <w:rtl/>
        </w:rPr>
        <w:t>وهل بعد ذلك الشر</w:t>
      </w:r>
      <w:r w:rsidR="00F452EB">
        <w:rPr>
          <w:rFonts w:hint="cs"/>
          <w:rtl/>
        </w:rPr>
        <w:t>ّ</w:t>
      </w:r>
      <w:r w:rsidR="00F452EB" w:rsidRPr="00F452EB">
        <w:rPr>
          <w:rtl/>
        </w:rPr>
        <w:t xml:space="preserve"> من خير</w:t>
      </w:r>
      <w:r w:rsidR="00F452EB">
        <w:rPr>
          <w:rFonts w:hint="cs"/>
          <w:rtl/>
        </w:rPr>
        <w:t>؟</w:t>
      </w:r>
      <w:r w:rsidR="00F452EB" w:rsidRPr="00F452EB">
        <w:rPr>
          <w:rtl/>
        </w:rPr>
        <w:t xml:space="preserve"> قال</w:t>
      </w:r>
      <w:r w:rsidR="00F452EB">
        <w:rPr>
          <w:rFonts w:hint="cs"/>
          <w:rtl/>
        </w:rPr>
        <w:t>:</w:t>
      </w:r>
      <w:r w:rsidR="00F452EB" w:rsidRPr="00F452EB">
        <w:rPr>
          <w:rtl/>
        </w:rPr>
        <w:t xml:space="preserve"> </w:t>
      </w:r>
      <w:r w:rsidR="00F452EB">
        <w:rPr>
          <w:rFonts w:hint="cs"/>
          <w:rtl/>
        </w:rPr>
        <w:t>«</w:t>
      </w:r>
      <w:r w:rsidR="00F452EB" w:rsidRPr="00F452EB">
        <w:rPr>
          <w:rtl/>
        </w:rPr>
        <w:t>نعم</w:t>
      </w:r>
      <w:r w:rsidR="00F452EB">
        <w:rPr>
          <w:rFonts w:hint="cs"/>
          <w:rtl/>
        </w:rPr>
        <w:t>،</w:t>
      </w:r>
      <w:r w:rsidR="00F452EB" w:rsidRPr="00F452EB">
        <w:rPr>
          <w:rtl/>
        </w:rPr>
        <w:t xml:space="preserve"> وفيه دخن</w:t>
      </w:r>
      <w:r w:rsidR="00F452EB">
        <w:rPr>
          <w:rFonts w:hint="cs"/>
          <w:rtl/>
        </w:rPr>
        <w:t>»</w:t>
      </w:r>
      <w:r w:rsidR="00F452EB" w:rsidRPr="00F452EB">
        <w:rPr>
          <w:rtl/>
        </w:rPr>
        <w:t xml:space="preserve"> قلت</w:t>
      </w:r>
      <w:r w:rsidR="00F452EB">
        <w:rPr>
          <w:rFonts w:hint="cs"/>
          <w:rtl/>
        </w:rPr>
        <w:t>:</w:t>
      </w:r>
      <w:r w:rsidR="00F452EB" w:rsidRPr="00F452EB">
        <w:rPr>
          <w:rtl/>
        </w:rPr>
        <w:t xml:space="preserve"> وما دخنه</w:t>
      </w:r>
      <w:r w:rsidR="00F452EB">
        <w:rPr>
          <w:rFonts w:hint="cs"/>
          <w:rtl/>
        </w:rPr>
        <w:t>؟</w:t>
      </w:r>
      <w:r w:rsidR="00F452EB" w:rsidRPr="00F452EB">
        <w:rPr>
          <w:rtl/>
        </w:rPr>
        <w:t xml:space="preserve"> قال</w:t>
      </w:r>
      <w:r w:rsidR="00F452EB">
        <w:rPr>
          <w:rFonts w:hint="cs"/>
          <w:rtl/>
        </w:rPr>
        <w:t>:</w:t>
      </w:r>
      <w:r w:rsidR="00F452EB" w:rsidRPr="00F452EB">
        <w:rPr>
          <w:rtl/>
        </w:rPr>
        <w:t xml:space="preserve"> </w:t>
      </w:r>
      <w:r w:rsidR="00F452EB">
        <w:rPr>
          <w:rFonts w:hint="cs"/>
          <w:rtl/>
        </w:rPr>
        <w:t>«</w:t>
      </w:r>
      <w:r w:rsidR="00F452EB" w:rsidRPr="00F452EB">
        <w:rPr>
          <w:rtl/>
        </w:rPr>
        <w:t>قوم يهدون</w:t>
      </w:r>
      <w:r w:rsidR="00F452EB">
        <w:rPr>
          <w:rFonts w:hint="cs"/>
          <w:rtl/>
        </w:rPr>
        <w:t xml:space="preserve"> </w:t>
      </w:r>
      <w:r w:rsidR="00F452EB" w:rsidRPr="00F452EB">
        <w:rPr>
          <w:rtl/>
        </w:rPr>
        <w:t>بغير هدى تعرف منهم وتنكر</w:t>
      </w:r>
      <w:r w:rsidR="00F452EB">
        <w:rPr>
          <w:rFonts w:hint="cs"/>
          <w:rtl/>
        </w:rPr>
        <w:t>»،</w:t>
      </w:r>
      <w:r w:rsidR="00F452EB" w:rsidRPr="00F452EB">
        <w:rPr>
          <w:rtl/>
        </w:rPr>
        <w:t xml:space="preserve"> قلت</w:t>
      </w:r>
      <w:r w:rsidR="00F452EB">
        <w:rPr>
          <w:rFonts w:hint="cs"/>
          <w:rtl/>
        </w:rPr>
        <w:t>:</w:t>
      </w:r>
      <w:r w:rsidR="00F452EB" w:rsidRPr="00F452EB">
        <w:rPr>
          <w:rtl/>
        </w:rPr>
        <w:t xml:space="preserve"> فهل بعد ذلك الخير من شر</w:t>
      </w:r>
      <w:r w:rsidR="00F452EB">
        <w:rPr>
          <w:rFonts w:hint="cs"/>
          <w:rtl/>
        </w:rPr>
        <w:t>ّ؟</w:t>
      </w:r>
      <w:r w:rsidR="00F452EB" w:rsidRPr="00F452EB">
        <w:rPr>
          <w:rtl/>
        </w:rPr>
        <w:t xml:space="preserve"> قال</w:t>
      </w:r>
      <w:r w:rsidR="00F452EB">
        <w:rPr>
          <w:rFonts w:hint="cs"/>
          <w:rtl/>
        </w:rPr>
        <w:t>:</w:t>
      </w:r>
      <w:r w:rsidR="00F452EB" w:rsidRPr="00F452EB">
        <w:rPr>
          <w:rtl/>
        </w:rPr>
        <w:t xml:space="preserve"> </w:t>
      </w:r>
      <w:r w:rsidR="00F452EB">
        <w:rPr>
          <w:rFonts w:hint="cs"/>
          <w:rtl/>
        </w:rPr>
        <w:t>«</w:t>
      </w:r>
      <w:r w:rsidR="00F452EB" w:rsidRPr="00F452EB">
        <w:rPr>
          <w:rtl/>
        </w:rPr>
        <w:t>نعم</w:t>
      </w:r>
      <w:r w:rsidR="00F452EB">
        <w:rPr>
          <w:rFonts w:hint="cs"/>
          <w:rtl/>
        </w:rPr>
        <w:t>،</w:t>
      </w:r>
      <w:r w:rsidR="00F452EB" w:rsidRPr="00F452EB">
        <w:rPr>
          <w:rtl/>
        </w:rPr>
        <w:t xml:space="preserve"> دعاة</w:t>
      </w:r>
      <w:r w:rsidR="00F452EB">
        <w:rPr>
          <w:rFonts w:hint="cs"/>
          <w:rtl/>
        </w:rPr>
        <w:t xml:space="preserve">ٌ </w:t>
      </w:r>
      <w:r w:rsidR="00F452EB" w:rsidRPr="00F452EB">
        <w:rPr>
          <w:rtl/>
        </w:rPr>
        <w:t>على أبواب جهنم من أجابهم إليها قذفوه فيها</w:t>
      </w:r>
      <w:r w:rsidR="00F452EB">
        <w:rPr>
          <w:rFonts w:hint="cs"/>
          <w:rtl/>
        </w:rPr>
        <w:t>»،</w:t>
      </w:r>
      <w:r w:rsidR="00F452EB" w:rsidRPr="00F452EB">
        <w:rPr>
          <w:rtl/>
        </w:rPr>
        <w:t xml:space="preserve"> قلت</w:t>
      </w:r>
      <w:r w:rsidR="00F452EB">
        <w:rPr>
          <w:rFonts w:hint="cs"/>
          <w:rtl/>
        </w:rPr>
        <w:t>:</w:t>
      </w:r>
      <w:r w:rsidR="00F452EB" w:rsidRPr="00F452EB">
        <w:rPr>
          <w:rtl/>
        </w:rPr>
        <w:t xml:space="preserve"> يا رسول الله</w:t>
      </w:r>
      <w:r w:rsidR="00F452EB">
        <w:rPr>
          <w:rFonts w:hint="cs"/>
          <w:rtl/>
        </w:rPr>
        <w:t>،</w:t>
      </w:r>
      <w:r w:rsidR="00F452EB" w:rsidRPr="00F452EB">
        <w:rPr>
          <w:rtl/>
        </w:rPr>
        <w:t xml:space="preserve"> صفهم لنا</w:t>
      </w:r>
      <w:r w:rsidR="00F452EB">
        <w:rPr>
          <w:rFonts w:hint="cs"/>
          <w:rtl/>
        </w:rPr>
        <w:t>،</w:t>
      </w:r>
      <w:r w:rsidR="00F452EB" w:rsidRPr="00F452EB">
        <w:rPr>
          <w:rtl/>
        </w:rPr>
        <w:t xml:space="preserve"> قال</w:t>
      </w:r>
      <w:r w:rsidR="00F452EB">
        <w:rPr>
          <w:rFonts w:hint="cs"/>
          <w:rtl/>
        </w:rPr>
        <w:t>:</w:t>
      </w:r>
      <w:r w:rsidR="00F452EB" w:rsidRPr="00F452EB">
        <w:rPr>
          <w:rtl/>
        </w:rPr>
        <w:t xml:space="preserve"> </w:t>
      </w:r>
      <w:r w:rsidR="00F452EB">
        <w:rPr>
          <w:rFonts w:hint="cs"/>
          <w:rtl/>
        </w:rPr>
        <w:t>«</w:t>
      </w:r>
      <w:r w:rsidR="00F452EB" w:rsidRPr="00F452EB">
        <w:rPr>
          <w:rtl/>
        </w:rPr>
        <w:t>هم</w:t>
      </w:r>
      <w:r w:rsidR="00F452EB">
        <w:rPr>
          <w:rFonts w:hint="cs"/>
          <w:rtl/>
        </w:rPr>
        <w:t xml:space="preserve"> </w:t>
      </w:r>
      <w:r w:rsidR="00F452EB" w:rsidRPr="00F452EB">
        <w:rPr>
          <w:rtl/>
        </w:rPr>
        <w:t>من جلدتنا ويتكل</w:t>
      </w:r>
      <w:r w:rsidR="00F452EB">
        <w:rPr>
          <w:rFonts w:hint="cs"/>
          <w:rtl/>
        </w:rPr>
        <w:t>ّ</w:t>
      </w:r>
      <w:r w:rsidR="00F452EB" w:rsidRPr="00F452EB">
        <w:rPr>
          <w:rtl/>
        </w:rPr>
        <w:t>مون بألسنتنا</w:t>
      </w:r>
      <w:r w:rsidR="00F452EB">
        <w:rPr>
          <w:rFonts w:hint="cs"/>
          <w:rtl/>
        </w:rPr>
        <w:t>»</w:t>
      </w:r>
      <w:r w:rsidR="00F452EB" w:rsidRPr="00F452EB">
        <w:rPr>
          <w:rtl/>
        </w:rPr>
        <w:t xml:space="preserve"> قلت</w:t>
      </w:r>
      <w:r w:rsidR="00F452EB">
        <w:rPr>
          <w:rFonts w:hint="cs"/>
          <w:rtl/>
        </w:rPr>
        <w:t>:</w:t>
      </w:r>
      <w:r w:rsidR="00F452EB">
        <w:rPr>
          <w:rtl/>
        </w:rPr>
        <w:t xml:space="preserve"> فما تأمرني </w:t>
      </w:r>
      <w:r w:rsidR="00F452EB">
        <w:rPr>
          <w:rFonts w:hint="cs"/>
          <w:rtl/>
        </w:rPr>
        <w:t>إ</w:t>
      </w:r>
      <w:r w:rsidR="00F452EB" w:rsidRPr="00F452EB">
        <w:rPr>
          <w:rtl/>
        </w:rPr>
        <w:t>ن أدركني ذلك</w:t>
      </w:r>
      <w:r w:rsidR="00F452EB">
        <w:rPr>
          <w:rFonts w:hint="cs"/>
          <w:rtl/>
        </w:rPr>
        <w:t>؟</w:t>
      </w:r>
      <w:r w:rsidR="00F452EB" w:rsidRPr="00F452EB">
        <w:rPr>
          <w:rtl/>
        </w:rPr>
        <w:t xml:space="preserve"> قال</w:t>
      </w:r>
      <w:r w:rsidR="00F452EB">
        <w:rPr>
          <w:rFonts w:hint="cs"/>
          <w:rtl/>
        </w:rPr>
        <w:t>:</w:t>
      </w:r>
      <w:r w:rsidR="00F452EB" w:rsidRPr="00F452EB">
        <w:rPr>
          <w:rtl/>
        </w:rPr>
        <w:t xml:space="preserve"> </w:t>
      </w:r>
      <w:r w:rsidR="00F452EB">
        <w:rPr>
          <w:rFonts w:hint="cs"/>
          <w:rtl/>
        </w:rPr>
        <w:t>«</w:t>
      </w:r>
      <w:r w:rsidR="00F452EB" w:rsidRPr="00F452EB">
        <w:rPr>
          <w:rtl/>
        </w:rPr>
        <w:t>تلزم جماعة</w:t>
      </w:r>
      <w:r w:rsidR="00F452EB">
        <w:rPr>
          <w:rFonts w:hint="cs"/>
          <w:rtl/>
        </w:rPr>
        <w:t xml:space="preserve"> </w:t>
      </w:r>
      <w:r w:rsidR="00F452EB">
        <w:rPr>
          <w:rtl/>
        </w:rPr>
        <w:t>المسلمين و</w:t>
      </w:r>
      <w:r w:rsidR="00F452EB">
        <w:rPr>
          <w:rFonts w:hint="cs"/>
          <w:rtl/>
        </w:rPr>
        <w:t>إ</w:t>
      </w:r>
      <w:r w:rsidR="00F452EB" w:rsidRPr="00F452EB">
        <w:rPr>
          <w:rtl/>
        </w:rPr>
        <w:t>مامهم</w:t>
      </w:r>
      <w:r w:rsidR="00F452EB">
        <w:rPr>
          <w:rFonts w:hint="cs"/>
          <w:rtl/>
        </w:rPr>
        <w:t>»</w:t>
      </w:r>
      <w:r w:rsidR="00F452EB" w:rsidRPr="00F452EB">
        <w:rPr>
          <w:rtl/>
        </w:rPr>
        <w:t xml:space="preserve"> قلت</w:t>
      </w:r>
      <w:r w:rsidR="00F452EB">
        <w:rPr>
          <w:rFonts w:hint="cs"/>
          <w:rtl/>
        </w:rPr>
        <w:t>:</w:t>
      </w:r>
      <w:r w:rsidR="00F452EB">
        <w:rPr>
          <w:rtl/>
        </w:rPr>
        <w:t xml:space="preserve"> فإن لم يكن لهم جماعة ولا </w:t>
      </w:r>
      <w:r w:rsidR="00F452EB">
        <w:rPr>
          <w:rFonts w:hint="cs"/>
          <w:rtl/>
        </w:rPr>
        <w:t>إ</w:t>
      </w:r>
      <w:r w:rsidR="00F452EB" w:rsidRPr="00F452EB">
        <w:rPr>
          <w:rtl/>
        </w:rPr>
        <w:t>مام</w:t>
      </w:r>
      <w:r w:rsidR="00F452EB">
        <w:rPr>
          <w:rFonts w:hint="cs"/>
          <w:rtl/>
        </w:rPr>
        <w:t>؟</w:t>
      </w:r>
      <w:r w:rsidR="00F452EB" w:rsidRPr="00F452EB">
        <w:rPr>
          <w:rtl/>
        </w:rPr>
        <w:t xml:space="preserve"> قال</w:t>
      </w:r>
      <w:r w:rsidR="00F452EB">
        <w:rPr>
          <w:rFonts w:hint="cs"/>
          <w:rtl/>
        </w:rPr>
        <w:t>:</w:t>
      </w:r>
      <w:r w:rsidR="00F452EB" w:rsidRPr="00F452EB">
        <w:rPr>
          <w:rtl/>
        </w:rPr>
        <w:t xml:space="preserve"> </w:t>
      </w:r>
      <w:r w:rsidR="00F452EB">
        <w:rPr>
          <w:rFonts w:hint="cs"/>
          <w:rtl/>
        </w:rPr>
        <w:t>«</w:t>
      </w:r>
      <w:r w:rsidR="00F452EB" w:rsidRPr="00F452EB">
        <w:rPr>
          <w:rtl/>
        </w:rPr>
        <w:t>فاعتزل تلك الفرق</w:t>
      </w:r>
      <w:r w:rsidR="00F452EB">
        <w:rPr>
          <w:rFonts w:hint="cs"/>
          <w:rtl/>
        </w:rPr>
        <w:t xml:space="preserve"> </w:t>
      </w:r>
      <w:r w:rsidR="00F452EB" w:rsidRPr="00F452EB">
        <w:rPr>
          <w:rtl/>
        </w:rPr>
        <w:t>كل</w:t>
      </w:r>
      <w:r w:rsidR="00F452EB">
        <w:rPr>
          <w:rFonts w:hint="cs"/>
          <w:rtl/>
        </w:rPr>
        <w:t>ّ</w:t>
      </w:r>
      <w:r w:rsidR="00F452EB" w:rsidRPr="00F452EB">
        <w:rPr>
          <w:rtl/>
        </w:rPr>
        <w:t>ها ولو أن تعض</w:t>
      </w:r>
      <w:r w:rsidR="00F452EB">
        <w:rPr>
          <w:rFonts w:hint="cs"/>
          <w:rtl/>
        </w:rPr>
        <w:t>ّ</w:t>
      </w:r>
      <w:r w:rsidR="00F452EB" w:rsidRPr="00F452EB">
        <w:rPr>
          <w:rtl/>
        </w:rPr>
        <w:t xml:space="preserve"> بأصل شجرة حتى يدركك الموت وأنت على ذلك</w:t>
      </w:r>
      <w:r w:rsidR="00F452EB">
        <w:rPr>
          <w:rFonts w:hint="cs"/>
          <w:rtl/>
        </w:rPr>
        <w:t>»</w:t>
      </w:r>
      <w:r w:rsidR="00F452EB" w:rsidRPr="000A4159">
        <w:rPr>
          <w:rFonts w:cs="Taher"/>
          <w:vertAlign w:val="superscript"/>
          <w:rtl/>
        </w:rPr>
        <w:t>(</w:t>
      </w:r>
      <w:r w:rsidR="00F452EB" w:rsidRPr="000A4159">
        <w:rPr>
          <w:rStyle w:val="FootnoteReference"/>
          <w:rFonts w:cs="Taher"/>
          <w:rtl/>
        </w:rPr>
        <w:footnoteReference w:id="319"/>
      </w:r>
      <w:r w:rsidR="00F452EB" w:rsidRPr="000A4159">
        <w:rPr>
          <w:rFonts w:cs="Taher"/>
          <w:vertAlign w:val="superscript"/>
          <w:rtl/>
        </w:rPr>
        <w:t>)</w:t>
      </w:r>
      <w:r w:rsidR="00F452EB">
        <w:rPr>
          <w:rFonts w:hint="cs"/>
          <w:rtl/>
        </w:rPr>
        <w:t>.</w:t>
      </w:r>
    </w:p>
    <w:p w14:paraId="4615D7C9" w14:textId="77777777" w:rsidR="00512634" w:rsidRPr="00822CE9" w:rsidRDefault="00512634" w:rsidP="005D35B4">
      <w:pPr>
        <w:pStyle w:val="normal84"/>
        <w:rPr>
          <w:rtl/>
        </w:rPr>
      </w:pPr>
      <w:r w:rsidRPr="008F1C8D">
        <w:rPr>
          <w:rFonts w:hint="cs"/>
          <w:b/>
          <w:bCs/>
          <w:rtl/>
        </w:rPr>
        <w:t>وبهذا لا تتعيّن رواية السمع والطاعة للأمير ولو ضرب ظهرك؛ لأنّ الحوار النبويّ مع حذيفة واحدٌ وقد نُقل بشكلين،</w:t>
      </w:r>
      <w:r>
        <w:rPr>
          <w:rFonts w:hint="cs"/>
          <w:rtl/>
        </w:rPr>
        <w:t xml:space="preserve"> فيكون المراد في الحدّ الأدنى هو لزوم الجماعة والإمام عند الفتن والاختلافات، ولا إشارة فيها لمفهوم ظلم الإمام وبطشه وغير ذلك.</w:t>
      </w:r>
    </w:p>
    <w:p w14:paraId="4F0425D7" w14:textId="77777777" w:rsidR="00F13ED6" w:rsidRDefault="000A4159" w:rsidP="00F13ED6">
      <w:pPr>
        <w:spacing w:line="214" w:lineRule="auto"/>
        <w:rPr>
          <w:rtl/>
        </w:rPr>
      </w:pPr>
      <w:r w:rsidRPr="00F13ED6">
        <w:rPr>
          <w:rFonts w:hint="cs"/>
          <w:b/>
          <w:bCs/>
          <w:rtl/>
        </w:rPr>
        <w:t xml:space="preserve">الرواية الثانية: </w:t>
      </w:r>
      <w:r w:rsidR="00F13ED6">
        <w:rPr>
          <w:rFonts w:hint="cs"/>
          <w:b/>
          <w:bCs/>
          <w:rtl/>
        </w:rPr>
        <w:t xml:space="preserve">خبر </w:t>
      </w:r>
      <w:r w:rsidRPr="00F13ED6">
        <w:rPr>
          <w:rFonts w:hint="cs"/>
          <w:b/>
          <w:bCs/>
          <w:rtl/>
        </w:rPr>
        <w:t>ع</w:t>
      </w:r>
      <w:r w:rsidR="0069657C">
        <w:rPr>
          <w:rFonts w:hint="cs"/>
          <w:b/>
          <w:bCs/>
          <w:rtl/>
        </w:rPr>
        <w:t>ُ</w:t>
      </w:r>
      <w:r w:rsidRPr="00F13ED6">
        <w:rPr>
          <w:rFonts w:hint="cs"/>
          <w:b/>
          <w:bCs/>
          <w:rtl/>
        </w:rPr>
        <w:t>بادة بن الصامت،</w:t>
      </w:r>
      <w:r w:rsidRPr="00822CE9">
        <w:rPr>
          <w:rFonts w:hint="cs"/>
          <w:rtl/>
        </w:rPr>
        <w:t xml:space="preserve"> قال: دعانا رسول الله</w:t>
      </w:r>
      <w:r w:rsidR="00F13ED6">
        <w:rPr>
          <w:rFonts w:hint="cs"/>
          <w:rtl/>
        </w:rPr>
        <w:t>‘</w:t>
      </w:r>
      <w:r w:rsidRPr="00822CE9">
        <w:rPr>
          <w:rFonts w:hint="cs"/>
          <w:rtl/>
        </w:rPr>
        <w:t xml:space="preserve"> فبايعناه، فكان (فقال) فيما أخذ علينا أن بايعنا على السمع والطاعة في منشطنا ومكرهنا وعسرنا ويسرنا وأثرة</w:t>
      </w:r>
      <w:r w:rsidR="00F13ED6">
        <w:rPr>
          <w:rFonts w:hint="cs"/>
          <w:rtl/>
        </w:rPr>
        <w:t>ٍ</w:t>
      </w:r>
      <w:r w:rsidRPr="00822CE9">
        <w:rPr>
          <w:rFonts w:hint="cs"/>
          <w:rtl/>
        </w:rPr>
        <w:t xml:space="preserve"> علينا</w:t>
      </w:r>
      <w:r w:rsidR="00F13ED6">
        <w:rPr>
          <w:rFonts w:hint="cs"/>
          <w:rtl/>
        </w:rPr>
        <w:t>،</w:t>
      </w:r>
      <w:r w:rsidRPr="00822CE9">
        <w:rPr>
          <w:rFonts w:hint="cs"/>
          <w:rtl/>
        </w:rPr>
        <w:t xml:space="preserve"> وأن </w:t>
      </w:r>
      <w:r w:rsidRPr="00822CE9">
        <w:rPr>
          <w:rFonts w:hint="cs"/>
          <w:rtl/>
        </w:rPr>
        <w:lastRenderedPageBreak/>
        <w:t>لا ننازع الأمر أهل</w:t>
      </w:r>
      <w:r w:rsidR="00F13ED6">
        <w:rPr>
          <w:rFonts w:hint="cs"/>
          <w:rtl/>
        </w:rPr>
        <w:t>َ</w:t>
      </w:r>
      <w:r w:rsidRPr="00822CE9">
        <w:rPr>
          <w:rFonts w:hint="cs"/>
          <w:rtl/>
        </w:rPr>
        <w:t>ه. قال: «إلا أن تروا كفراً ب</w:t>
      </w:r>
      <w:r w:rsidR="00F13ED6">
        <w:rPr>
          <w:rFonts w:hint="cs"/>
          <w:rtl/>
        </w:rPr>
        <w:t>َ</w:t>
      </w:r>
      <w:r w:rsidRPr="00822CE9">
        <w:rPr>
          <w:rFonts w:hint="cs"/>
          <w:rtl/>
        </w:rPr>
        <w:t>و</w:t>
      </w:r>
      <w:r w:rsidR="00F13ED6">
        <w:rPr>
          <w:rFonts w:hint="cs"/>
          <w:rtl/>
        </w:rPr>
        <w:t>َا</w:t>
      </w:r>
      <w:r w:rsidRPr="00822CE9">
        <w:rPr>
          <w:rFonts w:hint="cs"/>
          <w:rtl/>
        </w:rPr>
        <w:t>حاً عندكم من الله فيه برهان»</w:t>
      </w:r>
      <w:r w:rsidRPr="000A4159">
        <w:rPr>
          <w:rFonts w:cs="Taher"/>
          <w:vertAlign w:val="superscript"/>
          <w:rtl/>
        </w:rPr>
        <w:t>(</w:t>
      </w:r>
      <w:r w:rsidRPr="000A4159">
        <w:rPr>
          <w:rStyle w:val="FootnoteReference"/>
          <w:rFonts w:cs="Taher"/>
          <w:rtl/>
        </w:rPr>
        <w:footnoteReference w:id="320"/>
      </w:r>
      <w:r w:rsidRPr="000A4159">
        <w:rPr>
          <w:rFonts w:cs="Taher"/>
          <w:vertAlign w:val="superscript"/>
          <w:rtl/>
        </w:rPr>
        <w:t>)</w:t>
      </w:r>
      <w:r w:rsidR="00F13ED6">
        <w:rPr>
          <w:rFonts w:hint="cs"/>
          <w:rtl/>
        </w:rPr>
        <w:t>.</w:t>
      </w:r>
    </w:p>
    <w:p w14:paraId="6D2C918E" w14:textId="77777777" w:rsidR="000A4159" w:rsidRPr="00822CE9" w:rsidRDefault="000A4159" w:rsidP="006A7E6E">
      <w:pPr>
        <w:spacing w:line="214" w:lineRule="auto"/>
        <w:rPr>
          <w:rtl/>
        </w:rPr>
      </w:pPr>
      <w:r w:rsidRPr="00822CE9">
        <w:rPr>
          <w:rFonts w:hint="cs"/>
          <w:rtl/>
        </w:rPr>
        <w:t>وفي بعض النسخ ـ كما أشار النووي في شرح مسلم ـ ب</w:t>
      </w:r>
      <w:r w:rsidR="00F13ED6">
        <w:rPr>
          <w:rFonts w:hint="cs"/>
          <w:rtl/>
        </w:rPr>
        <w:t>َ</w:t>
      </w:r>
      <w:r w:rsidRPr="00822CE9">
        <w:rPr>
          <w:rFonts w:hint="cs"/>
          <w:rtl/>
        </w:rPr>
        <w:t>ر</w:t>
      </w:r>
      <w:r w:rsidR="00F13ED6">
        <w:rPr>
          <w:rFonts w:hint="cs"/>
          <w:rtl/>
        </w:rPr>
        <w:t>َ</w:t>
      </w:r>
      <w:r w:rsidRPr="00822CE9">
        <w:rPr>
          <w:rFonts w:hint="cs"/>
          <w:rtl/>
        </w:rPr>
        <w:t>احاً، والمقصود</w:t>
      </w:r>
      <w:r w:rsidR="00F13ED6">
        <w:rPr>
          <w:rFonts w:hint="cs"/>
          <w:rtl/>
        </w:rPr>
        <w:t>ُ</w:t>
      </w:r>
      <w:r w:rsidRPr="00822CE9">
        <w:rPr>
          <w:rFonts w:hint="cs"/>
          <w:rtl/>
        </w:rPr>
        <w:t xml:space="preserve"> واحد</w:t>
      </w:r>
      <w:r w:rsidR="00F13ED6">
        <w:rPr>
          <w:rFonts w:hint="cs"/>
          <w:rtl/>
        </w:rPr>
        <w:t>ٌ</w:t>
      </w:r>
      <w:r w:rsidRPr="00822CE9">
        <w:rPr>
          <w:rFonts w:hint="cs"/>
          <w:rtl/>
        </w:rPr>
        <w:t xml:space="preserve"> وهو الكفر الظاهر، وقيل: أراد بالكفر المعاصي</w:t>
      </w:r>
      <w:r w:rsidRPr="000A4159">
        <w:rPr>
          <w:rFonts w:cs="Taher"/>
          <w:vertAlign w:val="superscript"/>
          <w:rtl/>
        </w:rPr>
        <w:t>(</w:t>
      </w:r>
      <w:r w:rsidRPr="000A4159">
        <w:rPr>
          <w:rStyle w:val="FootnoteReference"/>
          <w:rFonts w:cs="Taher"/>
          <w:rtl/>
        </w:rPr>
        <w:footnoteReference w:id="321"/>
      </w:r>
      <w:r w:rsidRPr="000A4159">
        <w:rPr>
          <w:rFonts w:cs="Taher"/>
          <w:vertAlign w:val="superscript"/>
          <w:rtl/>
        </w:rPr>
        <w:t>)</w:t>
      </w:r>
      <w:r w:rsidR="006A7E6E">
        <w:rPr>
          <w:rFonts w:hint="cs"/>
          <w:rtl/>
        </w:rPr>
        <w:t>، ونُقل هذا التفسير ـ أعني المعاصي ـ عن النووي أيضاً</w:t>
      </w:r>
      <w:r w:rsidR="006A7E6E" w:rsidRPr="000A4159">
        <w:rPr>
          <w:rFonts w:cs="Taher"/>
          <w:vertAlign w:val="superscript"/>
          <w:rtl/>
        </w:rPr>
        <w:t>(</w:t>
      </w:r>
      <w:r w:rsidR="006A7E6E" w:rsidRPr="000A4159">
        <w:rPr>
          <w:rStyle w:val="FootnoteReference"/>
          <w:rFonts w:cs="Taher"/>
          <w:rtl/>
        </w:rPr>
        <w:footnoteReference w:id="322"/>
      </w:r>
      <w:r w:rsidR="006A7E6E" w:rsidRPr="000A4159">
        <w:rPr>
          <w:rFonts w:cs="Taher"/>
          <w:vertAlign w:val="superscript"/>
          <w:rtl/>
        </w:rPr>
        <w:t>)</w:t>
      </w:r>
      <w:r w:rsidR="006A7E6E">
        <w:rPr>
          <w:rFonts w:hint="cs"/>
          <w:rtl/>
        </w:rPr>
        <w:t xml:space="preserve">، </w:t>
      </w:r>
      <w:r w:rsidRPr="00822CE9">
        <w:rPr>
          <w:rFonts w:hint="cs"/>
          <w:rtl/>
        </w:rPr>
        <w:t>وقد نصّ الألباني على صحّة هذا الحديث</w:t>
      </w:r>
      <w:r w:rsidRPr="000A4159">
        <w:rPr>
          <w:rFonts w:cs="Taher"/>
          <w:vertAlign w:val="superscript"/>
          <w:rtl/>
        </w:rPr>
        <w:t>(</w:t>
      </w:r>
      <w:r w:rsidRPr="000A4159">
        <w:rPr>
          <w:rStyle w:val="FootnoteReference"/>
          <w:rFonts w:cs="Taher"/>
          <w:rtl/>
        </w:rPr>
        <w:footnoteReference w:id="323"/>
      </w:r>
      <w:r w:rsidRPr="000A4159">
        <w:rPr>
          <w:rFonts w:cs="Taher"/>
          <w:vertAlign w:val="superscript"/>
          <w:rtl/>
        </w:rPr>
        <w:t>)</w:t>
      </w:r>
      <w:r w:rsidRPr="00822CE9">
        <w:rPr>
          <w:rtl/>
        </w:rPr>
        <w:t>.</w:t>
      </w:r>
    </w:p>
    <w:p w14:paraId="61D8D65E" w14:textId="77777777" w:rsidR="000A4159" w:rsidRPr="00822CE9" w:rsidRDefault="000A4159" w:rsidP="00A079D6">
      <w:pPr>
        <w:spacing w:line="214" w:lineRule="auto"/>
        <w:rPr>
          <w:rtl/>
        </w:rPr>
      </w:pPr>
      <w:r w:rsidRPr="00822CE9">
        <w:rPr>
          <w:rFonts w:hint="cs"/>
          <w:rtl/>
        </w:rPr>
        <w:t>وليس في هذا الحديث أمر بلزوم الطاعة، بل نهي</w:t>
      </w:r>
      <w:r w:rsidR="00F13ED6">
        <w:rPr>
          <w:rFonts w:hint="cs"/>
          <w:rtl/>
        </w:rPr>
        <w:t>ٌ</w:t>
      </w:r>
      <w:r w:rsidRPr="00822CE9">
        <w:rPr>
          <w:rFonts w:hint="cs"/>
          <w:rtl/>
        </w:rPr>
        <w:t xml:space="preserve"> عن منازعة السلاطين في سلطانهم</w:t>
      </w:r>
      <w:r w:rsidR="00F13ED6">
        <w:rPr>
          <w:rFonts w:hint="cs"/>
          <w:rtl/>
        </w:rPr>
        <w:t>،</w:t>
      </w:r>
      <w:r w:rsidRPr="00822CE9">
        <w:rPr>
          <w:rFonts w:hint="cs"/>
          <w:rtl/>
        </w:rPr>
        <w:t xml:space="preserve"> إلا في حالة الكفر البواح الظاهر.</w:t>
      </w:r>
    </w:p>
    <w:p w14:paraId="56A4AFA3" w14:textId="77777777" w:rsidR="00F452EB" w:rsidRPr="00822CE9" w:rsidRDefault="000A4159" w:rsidP="00F452EB">
      <w:pPr>
        <w:spacing w:line="214" w:lineRule="auto"/>
        <w:rPr>
          <w:rtl/>
        </w:rPr>
      </w:pPr>
      <w:r w:rsidRPr="00F13ED6">
        <w:rPr>
          <w:rFonts w:hint="cs"/>
          <w:b/>
          <w:bCs/>
          <w:rtl/>
        </w:rPr>
        <w:t>وقد ت</w:t>
      </w:r>
      <w:r w:rsidR="00F13ED6">
        <w:rPr>
          <w:rFonts w:hint="cs"/>
          <w:b/>
          <w:bCs/>
          <w:rtl/>
        </w:rPr>
        <w:t>ُ</w:t>
      </w:r>
      <w:r w:rsidRPr="00F13ED6">
        <w:rPr>
          <w:rFonts w:hint="cs"/>
          <w:b/>
          <w:bCs/>
          <w:rtl/>
        </w:rPr>
        <w:t xml:space="preserve">ناقش هذه الرواية من حيث الدلالة </w:t>
      </w:r>
      <w:r w:rsidR="00F13ED6">
        <w:rPr>
          <w:rFonts w:hint="cs"/>
          <w:rtl/>
        </w:rPr>
        <w:t>بأ</w:t>
      </w:r>
      <w:r w:rsidRPr="00822CE9">
        <w:rPr>
          <w:rFonts w:hint="cs"/>
          <w:rtl/>
        </w:rPr>
        <w:t>ن</w:t>
      </w:r>
      <w:r w:rsidR="00F13ED6">
        <w:rPr>
          <w:rFonts w:hint="cs"/>
          <w:rtl/>
        </w:rPr>
        <w:t>ّ</w:t>
      </w:r>
      <w:r w:rsidRPr="00822CE9">
        <w:rPr>
          <w:rFonts w:hint="cs"/>
          <w:rtl/>
        </w:rPr>
        <w:t xml:space="preserve"> الاستثناء فيها منقطع</w:t>
      </w:r>
      <w:r w:rsidR="00F13ED6">
        <w:rPr>
          <w:rFonts w:hint="cs"/>
          <w:rtl/>
        </w:rPr>
        <w:t>ٌ؛</w:t>
      </w:r>
      <w:r w:rsidRPr="00822CE9">
        <w:rPr>
          <w:rFonts w:hint="cs"/>
          <w:rtl/>
        </w:rPr>
        <w:t xml:space="preserve"> ذلك أن</w:t>
      </w:r>
      <w:r w:rsidR="00F13ED6">
        <w:rPr>
          <w:rFonts w:hint="cs"/>
          <w:rtl/>
        </w:rPr>
        <w:t>ّ</w:t>
      </w:r>
      <w:r w:rsidRPr="00822CE9">
        <w:rPr>
          <w:rFonts w:hint="cs"/>
          <w:rtl/>
        </w:rPr>
        <w:t>ها تنهى عن منازعة الأمر أهل</w:t>
      </w:r>
      <w:r w:rsidR="00F13ED6">
        <w:rPr>
          <w:rFonts w:hint="cs"/>
          <w:rtl/>
        </w:rPr>
        <w:t>َ</w:t>
      </w:r>
      <w:r w:rsidRPr="00822CE9">
        <w:rPr>
          <w:rFonts w:hint="cs"/>
          <w:rtl/>
        </w:rPr>
        <w:t>ه؛ فهي تسلّم بأن</w:t>
      </w:r>
      <w:r w:rsidR="00F13ED6">
        <w:rPr>
          <w:rFonts w:hint="cs"/>
          <w:rtl/>
        </w:rPr>
        <w:t>ّ</w:t>
      </w:r>
      <w:r w:rsidRPr="00822CE9">
        <w:rPr>
          <w:rFonts w:hint="cs"/>
          <w:rtl/>
        </w:rPr>
        <w:t xml:space="preserve"> السلطان الذي يجري الحديث عنه هو أ</w:t>
      </w:r>
      <w:r w:rsidR="00F13ED6">
        <w:rPr>
          <w:rFonts w:hint="cs"/>
          <w:rtl/>
        </w:rPr>
        <w:t>ه</w:t>
      </w:r>
      <w:r w:rsidRPr="00822CE9">
        <w:rPr>
          <w:rFonts w:hint="cs"/>
          <w:rtl/>
        </w:rPr>
        <w:t>ل</w:t>
      </w:r>
      <w:r w:rsidR="00F13ED6">
        <w:rPr>
          <w:rFonts w:hint="cs"/>
          <w:rtl/>
        </w:rPr>
        <w:t>ٌ</w:t>
      </w:r>
      <w:r w:rsidRPr="00822CE9">
        <w:rPr>
          <w:rFonts w:hint="cs"/>
          <w:rtl/>
        </w:rPr>
        <w:t xml:space="preserve"> لهذا المنصب، فيكون الاستثناء إشارة إلى أن</w:t>
      </w:r>
      <w:r w:rsidR="00F13ED6">
        <w:rPr>
          <w:rFonts w:hint="cs"/>
          <w:rtl/>
        </w:rPr>
        <w:t>ّ</w:t>
      </w:r>
      <w:r w:rsidRPr="00822CE9">
        <w:rPr>
          <w:rFonts w:hint="cs"/>
          <w:rtl/>
        </w:rPr>
        <w:t xml:space="preserve"> الكافر خارج تخص</w:t>
      </w:r>
      <w:r w:rsidR="00F13ED6">
        <w:rPr>
          <w:rFonts w:hint="cs"/>
          <w:rtl/>
        </w:rPr>
        <w:t>ّ</w:t>
      </w:r>
      <w:r w:rsidRPr="00822CE9">
        <w:rPr>
          <w:rFonts w:hint="cs"/>
          <w:rtl/>
        </w:rPr>
        <w:t>صاً عن كونه من أهل الحكم، لا أن</w:t>
      </w:r>
      <w:r w:rsidR="00F13ED6">
        <w:rPr>
          <w:rFonts w:hint="cs"/>
          <w:rtl/>
        </w:rPr>
        <w:t>ّ</w:t>
      </w:r>
      <w:r w:rsidRPr="00822CE9">
        <w:rPr>
          <w:rFonts w:hint="cs"/>
          <w:rtl/>
        </w:rPr>
        <w:t>ه داخل وقد خرج تخصيصاً، إذاً فهي تفترض أهلي</w:t>
      </w:r>
      <w:r w:rsidR="00F13ED6">
        <w:rPr>
          <w:rFonts w:hint="cs"/>
          <w:rtl/>
        </w:rPr>
        <w:t>ّ</w:t>
      </w:r>
      <w:r w:rsidRPr="00822CE9">
        <w:rPr>
          <w:rFonts w:hint="cs"/>
          <w:rtl/>
        </w:rPr>
        <w:t>ة الحكم، إلا إذا قيل بأن</w:t>
      </w:r>
      <w:r w:rsidR="00F13ED6">
        <w:rPr>
          <w:rFonts w:hint="cs"/>
          <w:rtl/>
        </w:rPr>
        <w:t>ّ</w:t>
      </w:r>
      <w:r w:rsidRPr="00822CE9">
        <w:rPr>
          <w:rFonts w:hint="cs"/>
          <w:rtl/>
        </w:rPr>
        <w:t xml:space="preserve"> الاقتصار على هذا الاستثناء المنقطع كاشف</w:t>
      </w:r>
      <w:r w:rsidR="00F13ED6">
        <w:rPr>
          <w:rFonts w:hint="cs"/>
          <w:rtl/>
        </w:rPr>
        <w:t>ٌ</w:t>
      </w:r>
      <w:r w:rsidRPr="00822CE9">
        <w:rPr>
          <w:rFonts w:hint="cs"/>
          <w:rtl/>
        </w:rPr>
        <w:t xml:space="preserve"> عن عدم وجود استثناء</w:t>
      </w:r>
      <w:r w:rsidR="00F13ED6">
        <w:rPr>
          <w:rFonts w:hint="cs"/>
          <w:rtl/>
        </w:rPr>
        <w:t>ٍ</w:t>
      </w:r>
      <w:r w:rsidRPr="00822CE9">
        <w:rPr>
          <w:rFonts w:hint="cs"/>
          <w:rtl/>
        </w:rPr>
        <w:t xml:space="preserve"> آخر، </w:t>
      </w:r>
      <w:r w:rsidR="00F13ED6">
        <w:rPr>
          <w:rFonts w:hint="cs"/>
          <w:rtl/>
        </w:rPr>
        <w:t xml:space="preserve">ولا </w:t>
      </w:r>
      <w:r w:rsidRPr="00822CE9">
        <w:rPr>
          <w:rFonts w:hint="cs"/>
          <w:rtl/>
        </w:rPr>
        <w:t>سيما أن</w:t>
      </w:r>
      <w:r w:rsidR="00F13ED6">
        <w:rPr>
          <w:rFonts w:hint="cs"/>
          <w:rtl/>
        </w:rPr>
        <w:t>ّ</w:t>
      </w:r>
      <w:r w:rsidRPr="00822CE9">
        <w:rPr>
          <w:rFonts w:hint="cs"/>
          <w:rtl/>
        </w:rPr>
        <w:t xml:space="preserve"> الكفر البواح يندر تحق</w:t>
      </w:r>
      <w:r w:rsidR="00F13ED6">
        <w:rPr>
          <w:rFonts w:hint="cs"/>
          <w:rtl/>
        </w:rPr>
        <w:t>ّ</w:t>
      </w:r>
      <w:r w:rsidRPr="00822CE9">
        <w:rPr>
          <w:rFonts w:hint="cs"/>
          <w:rtl/>
        </w:rPr>
        <w:t>قه عادةً بالنسبة لحاكم المسلمين، فلماذا مي</w:t>
      </w:r>
      <w:r w:rsidR="00F13ED6">
        <w:rPr>
          <w:rFonts w:hint="cs"/>
          <w:rtl/>
        </w:rPr>
        <w:t>ّ</w:t>
      </w:r>
      <w:r w:rsidRPr="00822CE9">
        <w:rPr>
          <w:rFonts w:hint="cs"/>
          <w:rtl/>
        </w:rPr>
        <w:t>زه بالذكر وترك غيره؟!</w:t>
      </w:r>
      <w:r w:rsidR="00F452EB">
        <w:rPr>
          <w:rFonts w:hint="cs"/>
          <w:rtl/>
        </w:rPr>
        <w:t xml:space="preserve"> وثمّة احتمال أنّ الجملة موضع الشاهد من كلام عبادة بن الصامت نفسه وليست جزءاً من الرواية بل مدرَجة فيه.</w:t>
      </w:r>
    </w:p>
    <w:p w14:paraId="06F2D1BE" w14:textId="77777777" w:rsidR="000A4159" w:rsidRPr="00822CE9" w:rsidRDefault="000A4159" w:rsidP="001677A8">
      <w:pPr>
        <w:spacing w:line="214" w:lineRule="auto"/>
        <w:rPr>
          <w:rtl/>
        </w:rPr>
      </w:pPr>
      <w:r w:rsidRPr="00F13ED6">
        <w:rPr>
          <w:rFonts w:hint="cs"/>
          <w:b/>
          <w:bCs/>
          <w:rtl/>
        </w:rPr>
        <w:t>الرواية الثالثة: خبر سلمة بن يزيد الجعفي</w:t>
      </w:r>
      <w:r w:rsidR="00F13ED6">
        <w:rPr>
          <w:rFonts w:hint="cs"/>
          <w:rtl/>
        </w:rPr>
        <w:t>،</w:t>
      </w:r>
      <w:r w:rsidRPr="00822CE9">
        <w:rPr>
          <w:rFonts w:hint="cs"/>
          <w:rtl/>
        </w:rPr>
        <w:t xml:space="preserve"> أن</w:t>
      </w:r>
      <w:r w:rsidR="00F13ED6">
        <w:rPr>
          <w:rFonts w:hint="cs"/>
          <w:rtl/>
        </w:rPr>
        <w:t>ّ</w:t>
      </w:r>
      <w:r w:rsidRPr="00822CE9">
        <w:rPr>
          <w:rFonts w:hint="cs"/>
          <w:rtl/>
        </w:rPr>
        <w:t>ه سأل رسول الله</w:t>
      </w:r>
      <w:r w:rsidR="00F13ED6">
        <w:rPr>
          <w:rFonts w:hint="cs"/>
          <w:rtl/>
        </w:rPr>
        <w:t>‘</w:t>
      </w:r>
      <w:r w:rsidRPr="00822CE9">
        <w:rPr>
          <w:rFonts w:hint="cs"/>
          <w:rtl/>
        </w:rPr>
        <w:t>: يا نبيّ الله</w:t>
      </w:r>
      <w:r w:rsidR="00F13ED6">
        <w:rPr>
          <w:rFonts w:hint="cs"/>
          <w:rtl/>
        </w:rPr>
        <w:t>،</w:t>
      </w:r>
      <w:r w:rsidRPr="00822CE9">
        <w:rPr>
          <w:rFonts w:hint="cs"/>
          <w:rtl/>
        </w:rPr>
        <w:t xml:space="preserve"> أرأيت إن قامت ع</w:t>
      </w:r>
      <w:r w:rsidR="001677A8">
        <w:rPr>
          <w:rFonts w:hint="cs"/>
          <w:rtl/>
        </w:rPr>
        <w:t>لينا أمراء يسألونا حقّهم ويمنعو</w:t>
      </w:r>
      <w:r w:rsidRPr="00822CE9">
        <w:rPr>
          <w:rFonts w:hint="cs"/>
          <w:rtl/>
        </w:rPr>
        <w:t xml:space="preserve">نا حقّنا فما تأمرنا؟ فأعرض عنه، ثم سأله فأعرض عنه، ثم سأله في الثانية أو في الثالثة فجذبه الأشعث بن قيس، وقال: </w:t>
      </w:r>
      <w:r w:rsidR="001677A8">
        <w:rPr>
          <w:rFonts w:hint="eastAsia"/>
          <w:rtl/>
        </w:rPr>
        <w:t>«</w:t>
      </w:r>
      <w:r w:rsidRPr="00822CE9">
        <w:rPr>
          <w:rFonts w:hint="cs"/>
          <w:rtl/>
        </w:rPr>
        <w:t>اسمعوا وأطيعوا؛ فإن</w:t>
      </w:r>
      <w:r w:rsidR="001677A8">
        <w:rPr>
          <w:rFonts w:hint="cs"/>
          <w:rtl/>
        </w:rPr>
        <w:t>ّ</w:t>
      </w:r>
      <w:r w:rsidRPr="00822CE9">
        <w:rPr>
          <w:rFonts w:hint="cs"/>
          <w:rtl/>
        </w:rPr>
        <w:t>ما عليهم ما حم</w:t>
      </w:r>
      <w:r w:rsidR="001677A8">
        <w:rPr>
          <w:rFonts w:hint="cs"/>
          <w:rtl/>
        </w:rPr>
        <w:t>ّل</w:t>
      </w:r>
      <w:r w:rsidRPr="00822CE9">
        <w:rPr>
          <w:rFonts w:hint="cs"/>
          <w:rtl/>
        </w:rPr>
        <w:t>وا وعليكم ما حم</w:t>
      </w:r>
      <w:r w:rsidR="001677A8">
        <w:rPr>
          <w:rFonts w:hint="cs"/>
          <w:rtl/>
        </w:rPr>
        <w:t>ّل</w:t>
      </w:r>
      <w:r w:rsidRPr="00822CE9">
        <w:rPr>
          <w:rFonts w:hint="cs"/>
          <w:rtl/>
        </w:rPr>
        <w:t>تم</w:t>
      </w:r>
      <w:r w:rsidR="001677A8">
        <w:rPr>
          <w:rFonts w:hint="eastAsia"/>
          <w:rtl/>
        </w:rPr>
        <w:t>»</w:t>
      </w:r>
      <w:r w:rsidR="001677A8">
        <w:rPr>
          <w:rFonts w:hint="cs"/>
          <w:rtl/>
        </w:rPr>
        <w:t xml:space="preserve">، </w:t>
      </w:r>
      <w:r w:rsidRPr="00822CE9">
        <w:rPr>
          <w:rFonts w:hint="cs"/>
          <w:rtl/>
        </w:rPr>
        <w:t>وفي رواية</w:t>
      </w:r>
      <w:r w:rsidR="001677A8">
        <w:rPr>
          <w:rFonts w:hint="cs"/>
          <w:rtl/>
        </w:rPr>
        <w:t>ٍ</w:t>
      </w:r>
      <w:r w:rsidRPr="00822CE9">
        <w:rPr>
          <w:rFonts w:hint="cs"/>
          <w:rtl/>
        </w:rPr>
        <w:t xml:space="preserve"> أخرى تصريح بأنّ القائل الأخير هو رسول الله</w:t>
      </w:r>
      <w:r w:rsidR="001677A8">
        <w:rPr>
          <w:rFonts w:hint="cs"/>
          <w:rtl/>
        </w:rPr>
        <w:t>‘</w:t>
      </w:r>
      <w:r w:rsidRPr="000A4159">
        <w:rPr>
          <w:rFonts w:cs="Taher"/>
          <w:vertAlign w:val="superscript"/>
          <w:rtl/>
        </w:rPr>
        <w:t>(</w:t>
      </w:r>
      <w:r w:rsidRPr="000A4159">
        <w:rPr>
          <w:rStyle w:val="FootnoteReference"/>
          <w:rFonts w:cs="Taher"/>
          <w:rtl/>
        </w:rPr>
        <w:footnoteReference w:id="324"/>
      </w:r>
      <w:r w:rsidRPr="000A4159">
        <w:rPr>
          <w:rFonts w:cs="Taher"/>
          <w:vertAlign w:val="superscript"/>
          <w:rtl/>
        </w:rPr>
        <w:t>)</w:t>
      </w:r>
      <w:r w:rsidRPr="00822CE9">
        <w:rPr>
          <w:rtl/>
        </w:rPr>
        <w:t>.</w:t>
      </w:r>
    </w:p>
    <w:p w14:paraId="2C650B1D" w14:textId="77777777" w:rsidR="00C6647B" w:rsidRDefault="000A4159" w:rsidP="00C6647B">
      <w:pPr>
        <w:spacing w:line="214" w:lineRule="auto"/>
        <w:rPr>
          <w:rtl/>
        </w:rPr>
      </w:pPr>
      <w:r w:rsidRPr="00822CE9">
        <w:rPr>
          <w:rFonts w:hint="cs"/>
          <w:rtl/>
        </w:rPr>
        <w:t>وهذه الرواية دالّة على أنّ الحاكم حتى لو منع الحقوق ت</w:t>
      </w:r>
      <w:r w:rsidR="00E556E4">
        <w:rPr>
          <w:rFonts w:hint="cs"/>
          <w:rtl/>
        </w:rPr>
        <w:t>ُ</w:t>
      </w:r>
      <w:r w:rsidRPr="00822CE9">
        <w:rPr>
          <w:rFonts w:hint="cs"/>
          <w:rtl/>
        </w:rPr>
        <w:t>ر</w:t>
      </w:r>
      <w:r w:rsidR="00E556E4">
        <w:rPr>
          <w:rFonts w:hint="cs"/>
          <w:rtl/>
        </w:rPr>
        <w:t>ِ</w:t>
      </w:r>
      <w:r w:rsidRPr="00822CE9">
        <w:rPr>
          <w:rFonts w:hint="cs"/>
          <w:rtl/>
        </w:rPr>
        <w:t>ك، وأ</w:t>
      </w:r>
      <w:r w:rsidR="00E556E4">
        <w:rPr>
          <w:rFonts w:hint="cs"/>
          <w:rtl/>
        </w:rPr>
        <w:t>نّ</w:t>
      </w:r>
      <w:r w:rsidRPr="00822CE9">
        <w:rPr>
          <w:rFonts w:hint="cs"/>
          <w:rtl/>
        </w:rPr>
        <w:t xml:space="preserve"> اللازم معه هو السمع والطاعة رغم ذلك. </w:t>
      </w:r>
      <w:r w:rsidR="00E556E4">
        <w:rPr>
          <w:rFonts w:hint="cs"/>
          <w:rtl/>
        </w:rPr>
        <w:t xml:space="preserve">لكن هنا </w:t>
      </w:r>
      <w:r w:rsidRPr="00822CE9">
        <w:rPr>
          <w:rFonts w:hint="cs"/>
          <w:rtl/>
        </w:rPr>
        <w:t xml:space="preserve">مشكلة </w:t>
      </w:r>
      <w:r w:rsidR="00E556E4">
        <w:rPr>
          <w:rFonts w:hint="cs"/>
          <w:rtl/>
        </w:rPr>
        <w:t xml:space="preserve">وهو </w:t>
      </w:r>
      <w:r w:rsidRPr="00822CE9">
        <w:rPr>
          <w:rFonts w:hint="cs"/>
          <w:rtl/>
        </w:rPr>
        <w:t xml:space="preserve">أنّ </w:t>
      </w:r>
      <w:r w:rsidR="00E556E4">
        <w:rPr>
          <w:rFonts w:hint="cs"/>
          <w:rtl/>
        </w:rPr>
        <w:t xml:space="preserve">الرواية </w:t>
      </w:r>
      <w:r w:rsidRPr="00822CE9">
        <w:rPr>
          <w:rFonts w:hint="cs"/>
          <w:rtl/>
        </w:rPr>
        <w:t>في مورد</w:t>
      </w:r>
      <w:r w:rsidR="00E556E4">
        <w:rPr>
          <w:rFonts w:hint="cs"/>
          <w:rtl/>
        </w:rPr>
        <w:t>ٍ</w:t>
      </w:r>
      <w:r w:rsidRPr="00822CE9">
        <w:rPr>
          <w:rFonts w:hint="cs"/>
          <w:rtl/>
        </w:rPr>
        <w:t xml:space="preserve"> كان ظاهر</w:t>
      </w:r>
      <w:r w:rsidR="00E556E4">
        <w:rPr>
          <w:rFonts w:hint="cs"/>
          <w:rtl/>
        </w:rPr>
        <w:t>ها</w:t>
      </w:r>
      <w:r w:rsidRPr="00822CE9">
        <w:rPr>
          <w:rFonts w:hint="cs"/>
          <w:rtl/>
        </w:rPr>
        <w:t xml:space="preserve"> نسبة الجملة الأخيرة </w:t>
      </w:r>
      <w:r w:rsidRPr="00822CE9">
        <w:rPr>
          <w:rFonts w:hint="cs"/>
          <w:rtl/>
        </w:rPr>
        <w:lastRenderedPageBreak/>
        <w:t>إلى الأشعث بقرينة: «فجذبه الأشعث.. وقال:..»، فيما جاءت في مورد</w:t>
      </w:r>
      <w:r w:rsidR="00E556E4">
        <w:rPr>
          <w:rFonts w:hint="cs"/>
          <w:rtl/>
        </w:rPr>
        <w:t>ٍ</w:t>
      </w:r>
      <w:r w:rsidRPr="00822CE9">
        <w:rPr>
          <w:rFonts w:hint="cs"/>
          <w:rtl/>
        </w:rPr>
        <w:t xml:space="preserve"> آخر منسوبةً إلى النبي</w:t>
      </w:r>
      <w:r w:rsidR="00E556E4">
        <w:rPr>
          <w:rFonts w:hint="cs"/>
          <w:rtl/>
        </w:rPr>
        <w:t>ّ‘.</w:t>
      </w:r>
    </w:p>
    <w:p w14:paraId="3B682E01" w14:textId="77777777" w:rsidR="000A4159" w:rsidRPr="00822CE9" w:rsidRDefault="000A4159" w:rsidP="00C6647B">
      <w:pPr>
        <w:spacing w:line="214" w:lineRule="auto"/>
        <w:rPr>
          <w:rtl/>
        </w:rPr>
      </w:pPr>
      <w:r w:rsidRPr="00C6647B">
        <w:rPr>
          <w:rFonts w:hint="cs"/>
          <w:b/>
          <w:bCs/>
          <w:rtl/>
        </w:rPr>
        <w:t>وقد انتقد هذه الرواية بعض</w:t>
      </w:r>
      <w:r w:rsidR="00C6647B">
        <w:rPr>
          <w:rFonts w:hint="cs"/>
          <w:b/>
          <w:bCs/>
          <w:rtl/>
        </w:rPr>
        <w:t>ُ</w:t>
      </w:r>
      <w:r w:rsidRPr="00C6647B">
        <w:rPr>
          <w:rFonts w:hint="cs"/>
          <w:b/>
          <w:bCs/>
          <w:rtl/>
        </w:rPr>
        <w:t>هم</w:t>
      </w:r>
      <w:r w:rsidRPr="00822CE9">
        <w:rPr>
          <w:rFonts w:hint="cs"/>
          <w:rtl/>
        </w:rPr>
        <w:t xml:space="preserve"> بأن</w:t>
      </w:r>
      <w:r w:rsidR="00E556E4">
        <w:rPr>
          <w:rFonts w:hint="cs"/>
          <w:rtl/>
        </w:rPr>
        <w:t>ّ</w:t>
      </w:r>
      <w:r w:rsidRPr="00822CE9">
        <w:rPr>
          <w:rFonts w:hint="cs"/>
          <w:rtl/>
        </w:rPr>
        <w:t>ها توحي بعدم تدخ</w:t>
      </w:r>
      <w:r w:rsidR="00E556E4">
        <w:rPr>
          <w:rFonts w:hint="cs"/>
          <w:rtl/>
        </w:rPr>
        <w:t>ّ</w:t>
      </w:r>
      <w:r w:rsidRPr="00822CE9">
        <w:rPr>
          <w:rFonts w:hint="cs"/>
          <w:rtl/>
        </w:rPr>
        <w:t>ل النبي</w:t>
      </w:r>
      <w:r w:rsidR="00E556E4">
        <w:rPr>
          <w:rFonts w:hint="cs"/>
          <w:rtl/>
        </w:rPr>
        <w:t>ّ</w:t>
      </w:r>
      <w:r w:rsidRPr="00822CE9">
        <w:rPr>
          <w:rFonts w:hint="cs"/>
          <w:rtl/>
        </w:rPr>
        <w:t xml:space="preserve"> في حياة الناس العامة؛ وإلا فلماذا هذا الإعراض مرّةً أو مرّتين</w:t>
      </w:r>
      <w:r w:rsidR="00E556E4">
        <w:rPr>
          <w:rFonts w:hint="cs"/>
          <w:rtl/>
        </w:rPr>
        <w:t>؟!</w:t>
      </w:r>
      <w:r w:rsidRPr="00822CE9">
        <w:rPr>
          <w:rFonts w:hint="cs"/>
          <w:rtl/>
        </w:rPr>
        <w:t xml:space="preserve"> مضافاً إلى أنّ الرواية تأمر بإطاعة الحاكم وتنهى </w:t>
      </w:r>
      <w:r w:rsidR="00E556E4">
        <w:rPr>
          <w:rFonts w:hint="cs"/>
          <w:rtl/>
        </w:rPr>
        <w:t xml:space="preserve">عن </w:t>
      </w:r>
      <w:r w:rsidRPr="00822CE9">
        <w:rPr>
          <w:rFonts w:hint="cs"/>
          <w:rtl/>
        </w:rPr>
        <w:t>نهيه عن المنكر</w:t>
      </w:r>
      <w:r w:rsidR="00E556E4">
        <w:rPr>
          <w:rFonts w:hint="cs"/>
          <w:rtl/>
        </w:rPr>
        <w:t>،</w:t>
      </w:r>
      <w:r w:rsidRPr="00822CE9">
        <w:rPr>
          <w:rFonts w:hint="cs"/>
          <w:rtl/>
        </w:rPr>
        <w:t xml:space="preserve"> وهذا أمرٌ واضح الفساد</w:t>
      </w:r>
      <w:r w:rsidRPr="000A4159">
        <w:rPr>
          <w:rFonts w:cs="Taher"/>
          <w:vertAlign w:val="superscript"/>
          <w:rtl/>
        </w:rPr>
        <w:t>(</w:t>
      </w:r>
      <w:r w:rsidRPr="000A4159">
        <w:rPr>
          <w:rStyle w:val="FootnoteReference"/>
          <w:rFonts w:cs="Taher"/>
          <w:rtl/>
        </w:rPr>
        <w:footnoteReference w:id="325"/>
      </w:r>
      <w:r w:rsidRPr="000A4159">
        <w:rPr>
          <w:rFonts w:cs="Taher"/>
          <w:vertAlign w:val="superscript"/>
          <w:rtl/>
        </w:rPr>
        <w:t>)</w:t>
      </w:r>
      <w:r w:rsidRPr="00822CE9">
        <w:rPr>
          <w:rtl/>
        </w:rPr>
        <w:t>.</w:t>
      </w:r>
    </w:p>
    <w:p w14:paraId="26B9A75E" w14:textId="77777777" w:rsidR="000A4159" w:rsidRPr="00822CE9" w:rsidRDefault="000A4159" w:rsidP="00E556E4">
      <w:pPr>
        <w:spacing w:line="214" w:lineRule="auto"/>
        <w:rPr>
          <w:rtl/>
        </w:rPr>
      </w:pPr>
      <w:r w:rsidRPr="00E556E4">
        <w:rPr>
          <w:rFonts w:hint="cs"/>
          <w:b/>
          <w:bCs/>
          <w:rtl/>
        </w:rPr>
        <w:t xml:space="preserve">لكنّ هذه الملاحظة لا </w:t>
      </w:r>
      <w:r w:rsidR="00E556E4">
        <w:rPr>
          <w:rFonts w:hint="cs"/>
          <w:b/>
          <w:bCs/>
          <w:rtl/>
        </w:rPr>
        <w:t>ت</w:t>
      </w:r>
      <w:r w:rsidRPr="00E556E4">
        <w:rPr>
          <w:rFonts w:hint="cs"/>
          <w:b/>
          <w:bCs/>
          <w:rtl/>
        </w:rPr>
        <w:t xml:space="preserve">بدو </w:t>
      </w:r>
      <w:r w:rsidR="00E556E4">
        <w:rPr>
          <w:rFonts w:hint="cs"/>
          <w:b/>
          <w:bCs/>
          <w:rtl/>
        </w:rPr>
        <w:t>صحيحةً؛</w:t>
      </w:r>
      <w:r w:rsidRPr="00E556E4">
        <w:rPr>
          <w:rFonts w:hint="cs"/>
          <w:b/>
          <w:bCs/>
          <w:rtl/>
        </w:rPr>
        <w:t xml:space="preserve"> </w:t>
      </w:r>
      <w:r w:rsidRPr="00822CE9">
        <w:rPr>
          <w:rFonts w:hint="cs"/>
          <w:rtl/>
        </w:rPr>
        <w:t>فإن</w:t>
      </w:r>
      <w:r w:rsidR="00E556E4">
        <w:rPr>
          <w:rFonts w:hint="cs"/>
          <w:rtl/>
        </w:rPr>
        <w:t>ّ الإ</w:t>
      </w:r>
      <w:r w:rsidRPr="00822CE9">
        <w:rPr>
          <w:rFonts w:hint="cs"/>
          <w:rtl/>
        </w:rPr>
        <w:t xml:space="preserve">عراض الموجود في الرواية </w:t>
      </w:r>
      <w:r w:rsidR="00E556E4">
        <w:rPr>
          <w:rFonts w:hint="cs"/>
          <w:rtl/>
        </w:rPr>
        <w:t>م</w:t>
      </w:r>
      <w:r w:rsidRPr="00822CE9">
        <w:rPr>
          <w:rFonts w:hint="cs"/>
          <w:rtl/>
        </w:rPr>
        <w:t>ن النبي</w:t>
      </w:r>
      <w:r w:rsidR="00E556E4">
        <w:rPr>
          <w:rFonts w:hint="cs"/>
          <w:rtl/>
        </w:rPr>
        <w:t>ّ</w:t>
      </w:r>
      <w:r w:rsidRPr="00822CE9">
        <w:rPr>
          <w:rFonts w:hint="cs"/>
          <w:rtl/>
        </w:rPr>
        <w:t xml:space="preserve"> لا يعني عدم تدخ</w:t>
      </w:r>
      <w:r w:rsidR="00E556E4">
        <w:rPr>
          <w:rFonts w:hint="cs"/>
          <w:rtl/>
        </w:rPr>
        <w:t>ّ</w:t>
      </w:r>
      <w:r w:rsidRPr="00822CE9">
        <w:rPr>
          <w:rFonts w:hint="cs"/>
          <w:rtl/>
        </w:rPr>
        <w:t>ل</w:t>
      </w:r>
      <w:r w:rsidR="00E556E4">
        <w:rPr>
          <w:rFonts w:hint="cs"/>
          <w:rtl/>
        </w:rPr>
        <w:t>ه</w:t>
      </w:r>
      <w:r w:rsidRPr="00822CE9">
        <w:rPr>
          <w:rFonts w:hint="cs"/>
          <w:rtl/>
        </w:rPr>
        <w:t xml:space="preserve"> في الحياة العامّة، بل مثله موجود كثيراً في الروايات، يدلّ ـ فيما يدلّ حسب الظاهر ـ على ثقل الأمر وشدّة القضي</w:t>
      </w:r>
      <w:r w:rsidR="00E556E4">
        <w:rPr>
          <w:rFonts w:hint="cs"/>
          <w:rtl/>
        </w:rPr>
        <w:t>ّ</w:t>
      </w:r>
      <w:r w:rsidRPr="00822CE9">
        <w:rPr>
          <w:rFonts w:hint="cs"/>
          <w:rtl/>
        </w:rPr>
        <w:t>ة، ولعلّه نوع</w:t>
      </w:r>
      <w:r w:rsidR="00E556E4">
        <w:rPr>
          <w:rFonts w:hint="cs"/>
          <w:rtl/>
        </w:rPr>
        <w:t>ٌ</w:t>
      </w:r>
      <w:r w:rsidRPr="00822CE9">
        <w:rPr>
          <w:rFonts w:hint="cs"/>
          <w:rtl/>
        </w:rPr>
        <w:t xml:space="preserve"> من حث</w:t>
      </w:r>
      <w:r w:rsidR="00E556E4">
        <w:rPr>
          <w:rFonts w:hint="cs"/>
          <w:rtl/>
        </w:rPr>
        <w:t>ّ</w:t>
      </w:r>
      <w:r w:rsidRPr="00822CE9">
        <w:rPr>
          <w:rFonts w:hint="cs"/>
          <w:rtl/>
        </w:rPr>
        <w:t xml:space="preserve"> السامع على السؤال والتكرار كي يأتي الجواب في موقعه، وإلا لزم ردّ تمام الروايات التي فيها هذا اللسان</w:t>
      </w:r>
      <w:r w:rsidR="00E556E4">
        <w:rPr>
          <w:rFonts w:hint="cs"/>
          <w:rtl/>
        </w:rPr>
        <w:t>،</w:t>
      </w:r>
      <w:r w:rsidRPr="00822CE9">
        <w:rPr>
          <w:rFonts w:hint="cs"/>
          <w:rtl/>
        </w:rPr>
        <w:t xml:space="preserve"> مع أن</w:t>
      </w:r>
      <w:r w:rsidR="00E556E4">
        <w:rPr>
          <w:rFonts w:hint="cs"/>
          <w:rtl/>
        </w:rPr>
        <w:t>ّ</w:t>
      </w:r>
      <w:r w:rsidRPr="00822CE9">
        <w:rPr>
          <w:rFonts w:hint="cs"/>
          <w:rtl/>
        </w:rPr>
        <w:t>ه لا ي</w:t>
      </w:r>
      <w:r w:rsidR="00E556E4">
        <w:rPr>
          <w:rFonts w:hint="cs"/>
          <w:rtl/>
        </w:rPr>
        <w:t>ُ</w:t>
      </w:r>
      <w:r w:rsidRPr="00822CE9">
        <w:rPr>
          <w:rFonts w:hint="cs"/>
          <w:rtl/>
        </w:rPr>
        <w:t>ظن أخذ المستشكل بذلك؛ إضافةً إلى أن</w:t>
      </w:r>
      <w:r w:rsidR="00E556E4">
        <w:rPr>
          <w:rFonts w:hint="cs"/>
          <w:rtl/>
        </w:rPr>
        <w:t>ّ</w:t>
      </w:r>
      <w:r w:rsidRPr="00822CE9">
        <w:rPr>
          <w:rFonts w:hint="cs"/>
          <w:rtl/>
        </w:rPr>
        <w:t xml:space="preserve"> الرواية لا تتعرّض لترك الأمر بالمعروف و.. وإن</w:t>
      </w:r>
      <w:r w:rsidR="00E556E4">
        <w:rPr>
          <w:rFonts w:hint="cs"/>
          <w:rtl/>
        </w:rPr>
        <w:t>ّ</w:t>
      </w:r>
      <w:r w:rsidRPr="00822CE9">
        <w:rPr>
          <w:rFonts w:hint="cs"/>
          <w:rtl/>
        </w:rPr>
        <w:t xml:space="preserve">ما تريد أن تقول </w:t>
      </w:r>
      <w:r w:rsidR="00E556E4">
        <w:rPr>
          <w:rFonts w:hint="cs"/>
          <w:rtl/>
        </w:rPr>
        <w:t>بأ</w:t>
      </w:r>
      <w:r w:rsidRPr="00822CE9">
        <w:rPr>
          <w:rFonts w:hint="cs"/>
          <w:rtl/>
        </w:rPr>
        <w:t>نّ عليكم السمع والطاعة، وهم يتحم</w:t>
      </w:r>
      <w:r w:rsidR="00E556E4">
        <w:rPr>
          <w:rFonts w:hint="cs"/>
          <w:rtl/>
        </w:rPr>
        <w:t>ّ</w:t>
      </w:r>
      <w:r w:rsidRPr="00822CE9">
        <w:rPr>
          <w:rFonts w:hint="cs"/>
          <w:rtl/>
        </w:rPr>
        <w:t xml:space="preserve">لون الوزر، فهذا معناه </w:t>
      </w:r>
      <w:r w:rsidR="00E556E4">
        <w:rPr>
          <w:rFonts w:hint="cs"/>
          <w:rtl/>
        </w:rPr>
        <w:t xml:space="preserve">ـ </w:t>
      </w:r>
      <w:r w:rsidRPr="00822CE9">
        <w:rPr>
          <w:rFonts w:hint="cs"/>
          <w:rtl/>
        </w:rPr>
        <w:t xml:space="preserve">بقرينة السؤال </w:t>
      </w:r>
      <w:r w:rsidR="00E556E4">
        <w:rPr>
          <w:rFonts w:hint="cs"/>
          <w:rtl/>
        </w:rPr>
        <w:t xml:space="preserve">ـ </w:t>
      </w:r>
      <w:r w:rsidRPr="00822CE9">
        <w:rPr>
          <w:rFonts w:hint="cs"/>
          <w:rtl/>
        </w:rPr>
        <w:t>أن</w:t>
      </w:r>
      <w:r w:rsidR="00E556E4">
        <w:rPr>
          <w:rFonts w:hint="cs"/>
          <w:rtl/>
        </w:rPr>
        <w:t>ّ</w:t>
      </w:r>
      <w:r w:rsidRPr="00822CE9">
        <w:rPr>
          <w:rFonts w:hint="cs"/>
          <w:rtl/>
        </w:rPr>
        <w:t xml:space="preserve"> حقوقهم يجب أن تؤد</w:t>
      </w:r>
      <w:r w:rsidR="00E556E4">
        <w:rPr>
          <w:rFonts w:hint="cs"/>
          <w:rtl/>
        </w:rPr>
        <w:t>ّ</w:t>
      </w:r>
      <w:r w:rsidRPr="00822CE9">
        <w:rPr>
          <w:rFonts w:hint="cs"/>
          <w:rtl/>
        </w:rPr>
        <w:t>ى إليهم ولا يصحّ بحج</w:t>
      </w:r>
      <w:r w:rsidR="00E556E4">
        <w:rPr>
          <w:rFonts w:hint="cs"/>
          <w:rtl/>
        </w:rPr>
        <w:t>ّ</w:t>
      </w:r>
      <w:r w:rsidRPr="00822CE9">
        <w:rPr>
          <w:rFonts w:hint="cs"/>
          <w:rtl/>
        </w:rPr>
        <w:t>ة أن</w:t>
      </w:r>
      <w:r w:rsidR="00E556E4">
        <w:rPr>
          <w:rFonts w:hint="cs"/>
          <w:rtl/>
        </w:rPr>
        <w:t>ّ</w:t>
      </w:r>
      <w:r w:rsidRPr="00822CE9">
        <w:rPr>
          <w:rFonts w:hint="cs"/>
          <w:rtl/>
        </w:rPr>
        <w:t>هم لا يؤد</w:t>
      </w:r>
      <w:r w:rsidR="00E556E4">
        <w:rPr>
          <w:rFonts w:hint="cs"/>
          <w:rtl/>
        </w:rPr>
        <w:t>ّ</w:t>
      </w:r>
      <w:r w:rsidRPr="00822CE9">
        <w:rPr>
          <w:rFonts w:hint="cs"/>
          <w:rtl/>
        </w:rPr>
        <w:t>ون حقوق الناس أن نمنع حقوق</w:t>
      </w:r>
      <w:r w:rsidR="00E556E4">
        <w:rPr>
          <w:rFonts w:hint="cs"/>
          <w:rtl/>
        </w:rPr>
        <w:t>َ</w:t>
      </w:r>
      <w:r w:rsidRPr="00822CE9">
        <w:rPr>
          <w:rFonts w:hint="cs"/>
          <w:rtl/>
        </w:rPr>
        <w:t>هم، فهم يتحم</w:t>
      </w:r>
      <w:r w:rsidR="00E556E4">
        <w:rPr>
          <w:rFonts w:hint="cs"/>
          <w:rtl/>
        </w:rPr>
        <w:t>ّ</w:t>
      </w:r>
      <w:r w:rsidRPr="00822CE9">
        <w:rPr>
          <w:rFonts w:hint="cs"/>
          <w:rtl/>
        </w:rPr>
        <w:t>لون وزر منعهم الحقوق، وهذا تماماً كمنع الزوجة حق</w:t>
      </w:r>
      <w:r w:rsidR="00E556E4">
        <w:rPr>
          <w:rFonts w:hint="cs"/>
          <w:rtl/>
        </w:rPr>
        <w:t>ّ</w:t>
      </w:r>
      <w:r w:rsidRPr="00822CE9">
        <w:rPr>
          <w:rFonts w:hint="cs"/>
          <w:rtl/>
        </w:rPr>
        <w:t xml:space="preserve"> الرجل في إجراء</w:t>
      </w:r>
      <w:r w:rsidR="00E556E4">
        <w:rPr>
          <w:rFonts w:hint="cs"/>
          <w:rtl/>
        </w:rPr>
        <w:t>ٍ</w:t>
      </w:r>
      <w:r w:rsidRPr="00822CE9">
        <w:rPr>
          <w:rFonts w:hint="cs"/>
          <w:rtl/>
        </w:rPr>
        <w:t xml:space="preserve"> احترازي أو رد</w:t>
      </w:r>
      <w:r w:rsidR="00E556E4">
        <w:rPr>
          <w:rFonts w:hint="cs"/>
          <w:rtl/>
        </w:rPr>
        <w:t>ّ</w:t>
      </w:r>
      <w:r w:rsidRPr="00822CE9">
        <w:rPr>
          <w:rFonts w:hint="cs"/>
          <w:rtl/>
        </w:rPr>
        <w:t xml:space="preserve"> فعل على منع الرجل حقّ المرأة، فهذا ما أفتى بعض الفقهاء بعدم جوازه، لكنّ هذا لا يعني سقوط الأمر بالمعروف والنهي عن المنكر.</w:t>
      </w:r>
    </w:p>
    <w:p w14:paraId="3B56942B" w14:textId="77777777" w:rsidR="000A4159" w:rsidRPr="00822CE9" w:rsidRDefault="00E556E4" w:rsidP="005377C2">
      <w:pPr>
        <w:spacing w:line="214" w:lineRule="auto"/>
        <w:rPr>
          <w:rtl/>
        </w:rPr>
      </w:pPr>
      <w:r w:rsidRPr="008F1C8D">
        <w:rPr>
          <w:rFonts w:hint="cs"/>
          <w:b/>
          <w:bCs/>
          <w:rtl/>
        </w:rPr>
        <w:t xml:space="preserve">لكن </w:t>
      </w:r>
      <w:r w:rsidR="000A4159" w:rsidRPr="008F1C8D">
        <w:rPr>
          <w:rFonts w:hint="cs"/>
          <w:b/>
          <w:bCs/>
          <w:rtl/>
        </w:rPr>
        <w:t>تبقى مشكلة الترد</w:t>
      </w:r>
      <w:r w:rsidRPr="008F1C8D">
        <w:rPr>
          <w:rFonts w:hint="cs"/>
          <w:b/>
          <w:bCs/>
          <w:rtl/>
        </w:rPr>
        <w:t>ّ</w:t>
      </w:r>
      <w:r w:rsidR="000A4159" w:rsidRPr="008F1C8D">
        <w:rPr>
          <w:rFonts w:hint="cs"/>
          <w:b/>
          <w:bCs/>
          <w:rtl/>
        </w:rPr>
        <w:t>د في الجملة الأخيرة</w:t>
      </w:r>
      <w:r w:rsidRPr="008F1C8D">
        <w:rPr>
          <w:rFonts w:hint="cs"/>
          <w:b/>
          <w:bCs/>
          <w:rtl/>
        </w:rPr>
        <w:t>:</w:t>
      </w:r>
      <w:r w:rsidR="000A4159" w:rsidRPr="008F1C8D">
        <w:rPr>
          <w:rFonts w:hint="cs"/>
          <w:b/>
          <w:bCs/>
          <w:rtl/>
        </w:rPr>
        <w:t xml:space="preserve"> هل صدرت من الرسول أ</w:t>
      </w:r>
      <w:r w:rsidRPr="008F1C8D">
        <w:rPr>
          <w:rFonts w:hint="cs"/>
          <w:b/>
          <w:bCs/>
          <w:rtl/>
        </w:rPr>
        <w:t xml:space="preserve">و </w:t>
      </w:r>
      <w:r w:rsidR="000A4159" w:rsidRPr="008F1C8D">
        <w:rPr>
          <w:rFonts w:hint="cs"/>
          <w:b/>
          <w:bCs/>
          <w:rtl/>
        </w:rPr>
        <w:t>لا؟</w:t>
      </w:r>
      <w:r w:rsidR="000A4159" w:rsidRPr="00822CE9">
        <w:rPr>
          <w:rFonts w:hint="cs"/>
          <w:rtl/>
        </w:rPr>
        <w:t xml:space="preserve"> ومع تردّد الأمر لا نستطيع الجزم بالصدور، والروايتان تتحدّثان عن واقعة واحدة، ومعه لا نجزم بصدور هذه الجملة عن الرسول.</w:t>
      </w:r>
      <w:r w:rsidR="005377C2">
        <w:rPr>
          <w:rFonts w:hint="cs"/>
          <w:rtl/>
        </w:rPr>
        <w:t xml:space="preserve"> هذا وفي السند إرسال من طرف علقمة التابعيّ حسب نقلين، فيما هو متصلٌ حسب نقلٍ ثالث، الأمر الذي قد يوجب الريب.</w:t>
      </w:r>
    </w:p>
    <w:p w14:paraId="037F195B" w14:textId="77777777" w:rsidR="000A4159" w:rsidRPr="00822CE9" w:rsidRDefault="000A4159" w:rsidP="00E556E4">
      <w:pPr>
        <w:spacing w:line="214" w:lineRule="auto"/>
        <w:rPr>
          <w:rtl/>
        </w:rPr>
      </w:pPr>
      <w:r w:rsidRPr="00E556E4">
        <w:rPr>
          <w:rFonts w:hint="cs"/>
          <w:b/>
          <w:bCs/>
          <w:rtl/>
        </w:rPr>
        <w:t>الرواية الرابعة: خبر ابن عباس</w:t>
      </w:r>
      <w:r w:rsidR="00E556E4">
        <w:rPr>
          <w:rFonts w:hint="cs"/>
          <w:rtl/>
        </w:rPr>
        <w:t>،</w:t>
      </w:r>
      <w:r w:rsidRPr="00822CE9">
        <w:rPr>
          <w:rFonts w:hint="cs"/>
          <w:rtl/>
        </w:rPr>
        <w:t xml:space="preserve"> عن رسول الله</w:t>
      </w:r>
      <w:r w:rsidR="00E556E4">
        <w:rPr>
          <w:rFonts w:hint="cs"/>
          <w:rtl/>
        </w:rPr>
        <w:t>‘،</w:t>
      </w:r>
      <w:r w:rsidRPr="00822CE9">
        <w:rPr>
          <w:rFonts w:hint="cs"/>
          <w:rtl/>
        </w:rPr>
        <w:t xml:space="preserve"> قال: «من كره من أميره شيئاً فليصبر عليه؛ فإن</w:t>
      </w:r>
      <w:r w:rsidR="00E556E4">
        <w:rPr>
          <w:rFonts w:hint="cs"/>
          <w:rtl/>
        </w:rPr>
        <w:t>ّ</w:t>
      </w:r>
      <w:r w:rsidRPr="00822CE9">
        <w:rPr>
          <w:rFonts w:hint="cs"/>
          <w:rtl/>
        </w:rPr>
        <w:t>ه ليس أحد</w:t>
      </w:r>
      <w:r w:rsidR="00E556E4">
        <w:rPr>
          <w:rFonts w:hint="cs"/>
          <w:rtl/>
        </w:rPr>
        <w:t>ٌ</w:t>
      </w:r>
      <w:r w:rsidRPr="00822CE9">
        <w:rPr>
          <w:rFonts w:hint="cs"/>
          <w:rtl/>
        </w:rPr>
        <w:t xml:space="preserve"> من الناس خرج من السلطان شبراً فمات عليه إلا مات ميتةً جاهلي</w:t>
      </w:r>
      <w:r w:rsidR="00E556E4">
        <w:rPr>
          <w:rFonts w:hint="cs"/>
          <w:rtl/>
        </w:rPr>
        <w:t>ّ</w:t>
      </w:r>
      <w:r w:rsidRPr="00822CE9">
        <w:rPr>
          <w:rFonts w:hint="cs"/>
          <w:rtl/>
        </w:rPr>
        <w:t>ة</w:t>
      </w:r>
      <w:r w:rsidR="00E556E4">
        <w:rPr>
          <w:rFonts w:hint="eastAsia"/>
          <w:rtl/>
        </w:rPr>
        <w:t>»</w:t>
      </w:r>
      <w:r w:rsidRPr="00822CE9">
        <w:rPr>
          <w:rFonts w:hint="cs"/>
          <w:rtl/>
        </w:rPr>
        <w:t xml:space="preserve">، وفي </w:t>
      </w:r>
      <w:r w:rsidRPr="00822CE9">
        <w:rPr>
          <w:rFonts w:hint="cs"/>
          <w:rtl/>
        </w:rPr>
        <w:lastRenderedPageBreak/>
        <w:t xml:space="preserve">ذيل </w:t>
      </w:r>
      <w:r w:rsidR="00E556E4">
        <w:rPr>
          <w:rFonts w:hint="cs"/>
          <w:rtl/>
        </w:rPr>
        <w:t>نقلٍ آ</w:t>
      </w:r>
      <w:r w:rsidRPr="00822CE9">
        <w:rPr>
          <w:rFonts w:hint="cs"/>
          <w:rtl/>
        </w:rPr>
        <w:t>خر حديث</w:t>
      </w:r>
      <w:r w:rsidR="00E556E4">
        <w:rPr>
          <w:rFonts w:hint="cs"/>
          <w:rtl/>
        </w:rPr>
        <w:t>ٌ</w:t>
      </w:r>
      <w:r w:rsidRPr="00822CE9">
        <w:rPr>
          <w:rFonts w:hint="cs"/>
          <w:rtl/>
        </w:rPr>
        <w:t xml:space="preserve"> عن مفارقة الجماعة</w:t>
      </w:r>
      <w:r w:rsidR="00E556E4">
        <w:rPr>
          <w:rFonts w:hint="cs"/>
          <w:rtl/>
        </w:rPr>
        <w:t>،</w:t>
      </w:r>
      <w:r w:rsidRPr="00822CE9">
        <w:rPr>
          <w:rFonts w:hint="cs"/>
          <w:rtl/>
        </w:rPr>
        <w:t xml:space="preserve"> وليس الخروج من السلطان شبراً</w:t>
      </w:r>
      <w:r w:rsidRPr="000A4159">
        <w:rPr>
          <w:rFonts w:cs="Taher"/>
          <w:vertAlign w:val="superscript"/>
          <w:rtl/>
        </w:rPr>
        <w:t>(</w:t>
      </w:r>
      <w:r w:rsidRPr="000A4159">
        <w:rPr>
          <w:rStyle w:val="FootnoteReference"/>
          <w:rFonts w:cs="Taher"/>
          <w:rtl/>
        </w:rPr>
        <w:footnoteReference w:id="326"/>
      </w:r>
      <w:r w:rsidRPr="000A4159">
        <w:rPr>
          <w:rFonts w:cs="Taher"/>
          <w:vertAlign w:val="superscript"/>
          <w:rtl/>
        </w:rPr>
        <w:t>)</w:t>
      </w:r>
      <w:r w:rsidRPr="00822CE9">
        <w:rPr>
          <w:rtl/>
        </w:rPr>
        <w:t>.</w:t>
      </w:r>
      <w:r w:rsidR="00E556E4">
        <w:rPr>
          <w:rFonts w:hint="cs"/>
          <w:rtl/>
        </w:rPr>
        <w:t xml:space="preserve"> </w:t>
      </w:r>
      <w:r w:rsidRPr="00822CE9">
        <w:rPr>
          <w:rFonts w:hint="cs"/>
          <w:rtl/>
        </w:rPr>
        <w:t>وقد ذكر النووي أن</w:t>
      </w:r>
      <w:r w:rsidR="00E556E4">
        <w:rPr>
          <w:rFonts w:hint="cs"/>
          <w:rtl/>
        </w:rPr>
        <w:t>ّ</w:t>
      </w:r>
      <w:r w:rsidRPr="00822CE9">
        <w:rPr>
          <w:rFonts w:hint="cs"/>
          <w:rtl/>
        </w:rPr>
        <w:t>ه حديث متفق</w:t>
      </w:r>
      <w:r w:rsidR="00E556E4">
        <w:rPr>
          <w:rFonts w:hint="cs"/>
          <w:rtl/>
        </w:rPr>
        <w:t>ٌ</w:t>
      </w:r>
      <w:r w:rsidRPr="00822CE9">
        <w:rPr>
          <w:rFonts w:hint="cs"/>
          <w:rtl/>
        </w:rPr>
        <w:t xml:space="preserve"> عليه</w:t>
      </w:r>
      <w:r w:rsidRPr="000A4159">
        <w:rPr>
          <w:rFonts w:cs="Taher"/>
          <w:vertAlign w:val="superscript"/>
          <w:rtl/>
        </w:rPr>
        <w:t>(</w:t>
      </w:r>
      <w:r w:rsidRPr="000A4159">
        <w:rPr>
          <w:rStyle w:val="FootnoteReference"/>
          <w:rFonts w:cs="Taher"/>
          <w:rtl/>
        </w:rPr>
        <w:footnoteReference w:id="327"/>
      </w:r>
      <w:r w:rsidRPr="000A4159">
        <w:rPr>
          <w:rFonts w:cs="Taher"/>
          <w:vertAlign w:val="superscript"/>
          <w:rtl/>
        </w:rPr>
        <w:t>)</w:t>
      </w:r>
      <w:r w:rsidRPr="00822CE9">
        <w:rPr>
          <w:rtl/>
        </w:rPr>
        <w:t>.</w:t>
      </w:r>
    </w:p>
    <w:p w14:paraId="3DFC6278" w14:textId="77777777" w:rsidR="000A4159" w:rsidRPr="00822CE9" w:rsidRDefault="000A4159" w:rsidP="005D35B4">
      <w:pPr>
        <w:rPr>
          <w:rtl/>
        </w:rPr>
      </w:pPr>
      <w:r w:rsidRPr="00822CE9">
        <w:rPr>
          <w:rFonts w:hint="cs"/>
          <w:rtl/>
        </w:rPr>
        <w:t>والرواية قد يمار</w:t>
      </w:r>
      <w:r w:rsidR="00E556E4">
        <w:rPr>
          <w:rFonts w:hint="cs"/>
          <w:rtl/>
        </w:rPr>
        <w:t>َ</w:t>
      </w:r>
      <w:r w:rsidRPr="00822CE9">
        <w:rPr>
          <w:rFonts w:hint="cs"/>
          <w:rtl/>
        </w:rPr>
        <w:t>س نقد</w:t>
      </w:r>
      <w:r w:rsidR="00E556E4">
        <w:rPr>
          <w:rFonts w:hint="cs"/>
          <w:rtl/>
        </w:rPr>
        <w:t>ٌ</w:t>
      </w:r>
      <w:r w:rsidRPr="00822CE9">
        <w:rPr>
          <w:rFonts w:hint="cs"/>
          <w:rtl/>
        </w:rPr>
        <w:t xml:space="preserve"> متن</w:t>
      </w:r>
      <w:r w:rsidR="00E556E4">
        <w:rPr>
          <w:rFonts w:hint="cs"/>
          <w:rtl/>
        </w:rPr>
        <w:t>يٌّ</w:t>
      </w:r>
      <w:r w:rsidRPr="00822CE9">
        <w:rPr>
          <w:rFonts w:hint="cs"/>
          <w:rtl/>
        </w:rPr>
        <w:t xml:space="preserve"> عليها في تعبير «السلطان»</w:t>
      </w:r>
      <w:r w:rsidR="00E556E4">
        <w:rPr>
          <w:rFonts w:hint="cs"/>
          <w:rtl/>
        </w:rPr>
        <w:t>،</w:t>
      </w:r>
      <w:r w:rsidRPr="00822CE9">
        <w:rPr>
          <w:rFonts w:hint="cs"/>
          <w:rtl/>
        </w:rPr>
        <w:t xml:space="preserve"> فهل كان رائجاً استخدامه في أدبي</w:t>
      </w:r>
      <w:r w:rsidR="00E556E4">
        <w:rPr>
          <w:rFonts w:hint="cs"/>
          <w:rtl/>
        </w:rPr>
        <w:t>ّ</w:t>
      </w:r>
      <w:r w:rsidRPr="00822CE9">
        <w:rPr>
          <w:rFonts w:hint="cs"/>
          <w:rtl/>
        </w:rPr>
        <w:t>ات الفترة النبوي</w:t>
      </w:r>
      <w:r w:rsidR="00E556E4">
        <w:rPr>
          <w:rFonts w:hint="cs"/>
          <w:rtl/>
        </w:rPr>
        <w:t>ّ</w:t>
      </w:r>
      <w:r w:rsidRPr="00822CE9">
        <w:rPr>
          <w:rFonts w:hint="cs"/>
          <w:rtl/>
        </w:rPr>
        <w:t>ة؟!</w:t>
      </w:r>
    </w:p>
    <w:p w14:paraId="165A6818" w14:textId="77777777" w:rsidR="000A4159" w:rsidRPr="00822CE9" w:rsidRDefault="000A4159" w:rsidP="005D35B4">
      <w:pPr>
        <w:pStyle w:val="normal870"/>
        <w:rPr>
          <w:rtl/>
        </w:rPr>
      </w:pPr>
      <w:r w:rsidRPr="00E556E4">
        <w:rPr>
          <w:rFonts w:hint="cs"/>
          <w:b/>
          <w:bCs/>
          <w:rtl/>
        </w:rPr>
        <w:t>الرواية الخامسة: خبر عوف بن مالك</w:t>
      </w:r>
      <w:r w:rsidR="00E556E4">
        <w:rPr>
          <w:rFonts w:hint="cs"/>
          <w:rtl/>
        </w:rPr>
        <w:t>،</w:t>
      </w:r>
      <w:r w:rsidRPr="00822CE9">
        <w:rPr>
          <w:rFonts w:hint="cs"/>
          <w:rtl/>
        </w:rPr>
        <w:t xml:space="preserve"> عن رسول الله</w:t>
      </w:r>
      <w:r w:rsidR="00E556E4">
        <w:rPr>
          <w:rFonts w:hint="cs"/>
          <w:rtl/>
        </w:rPr>
        <w:t>‘،</w:t>
      </w:r>
      <w:r w:rsidRPr="00822CE9">
        <w:rPr>
          <w:rFonts w:hint="cs"/>
          <w:rtl/>
        </w:rPr>
        <w:t xml:space="preserve"> قال: «خيار أئم</w:t>
      </w:r>
      <w:r w:rsidR="00E556E4">
        <w:rPr>
          <w:rFonts w:hint="cs"/>
          <w:rtl/>
        </w:rPr>
        <w:t>ّتكم الذين تحبّونهم ويح</w:t>
      </w:r>
      <w:r w:rsidRPr="00822CE9">
        <w:rPr>
          <w:rFonts w:hint="cs"/>
          <w:rtl/>
        </w:rPr>
        <w:t>ب</w:t>
      </w:r>
      <w:r w:rsidR="00E556E4">
        <w:rPr>
          <w:rFonts w:hint="cs"/>
          <w:rtl/>
        </w:rPr>
        <w:t>ّ</w:t>
      </w:r>
      <w:r w:rsidRPr="00822CE9">
        <w:rPr>
          <w:rFonts w:hint="cs"/>
          <w:rtl/>
        </w:rPr>
        <w:t>ونكم</w:t>
      </w:r>
      <w:r w:rsidR="00E556E4">
        <w:rPr>
          <w:rFonts w:hint="cs"/>
          <w:rtl/>
        </w:rPr>
        <w:t>،</w:t>
      </w:r>
      <w:r w:rsidRPr="00822CE9">
        <w:rPr>
          <w:rFonts w:hint="cs"/>
          <w:rtl/>
        </w:rPr>
        <w:t xml:space="preserve"> ويصلّون عليكم وتصلّون عليهم، وشرار أئم</w:t>
      </w:r>
      <w:r w:rsidR="00E556E4">
        <w:rPr>
          <w:rFonts w:hint="cs"/>
          <w:rtl/>
        </w:rPr>
        <w:t>ّ</w:t>
      </w:r>
      <w:r w:rsidRPr="00822CE9">
        <w:rPr>
          <w:rFonts w:hint="cs"/>
          <w:rtl/>
        </w:rPr>
        <w:t>تكم الذين تبغضونهم ويبغضوكم وتلعنونهم ويلعنونكم»</w:t>
      </w:r>
      <w:r w:rsidR="00E556E4">
        <w:rPr>
          <w:rFonts w:hint="cs"/>
          <w:rtl/>
        </w:rPr>
        <w:t>.</w:t>
      </w:r>
      <w:r w:rsidRPr="00822CE9">
        <w:rPr>
          <w:rFonts w:hint="cs"/>
          <w:rtl/>
        </w:rPr>
        <w:t xml:space="preserve"> قيل: يا رسول الله</w:t>
      </w:r>
      <w:r w:rsidR="00E556E4">
        <w:rPr>
          <w:rFonts w:hint="cs"/>
          <w:rtl/>
        </w:rPr>
        <w:t>،</w:t>
      </w:r>
      <w:r w:rsidRPr="00822CE9">
        <w:rPr>
          <w:rFonts w:hint="cs"/>
          <w:rtl/>
        </w:rPr>
        <w:t xml:space="preserve"> أفلا ننابذهم </w:t>
      </w:r>
      <w:r w:rsidR="00B42105">
        <w:rPr>
          <w:rFonts w:hint="cs"/>
          <w:rtl/>
        </w:rPr>
        <w:t>(</w:t>
      </w:r>
      <w:r w:rsidRPr="00822CE9">
        <w:rPr>
          <w:rFonts w:hint="cs"/>
          <w:rtl/>
        </w:rPr>
        <w:t>بالسيف</w:t>
      </w:r>
      <w:r w:rsidR="00B42105">
        <w:rPr>
          <w:rFonts w:hint="cs"/>
          <w:rtl/>
        </w:rPr>
        <w:t>)</w:t>
      </w:r>
      <w:r w:rsidRPr="00822CE9">
        <w:rPr>
          <w:rFonts w:hint="cs"/>
          <w:rtl/>
        </w:rPr>
        <w:t>؟ فقال: «لا، ما أقاموا فيكم الصلاة، وإذا رأيتم من ولاتكم شيئاً تكرهونه فاكرهوا عمله ولا تنزعوا يداً من طاعة»</w:t>
      </w:r>
      <w:r w:rsidRPr="000A4159">
        <w:rPr>
          <w:rFonts w:cs="Taher"/>
          <w:vertAlign w:val="superscript"/>
          <w:rtl/>
        </w:rPr>
        <w:t>(</w:t>
      </w:r>
      <w:r w:rsidRPr="000A4159">
        <w:rPr>
          <w:rStyle w:val="FootnoteReference"/>
          <w:rFonts w:cs="Taher"/>
          <w:rtl/>
        </w:rPr>
        <w:footnoteReference w:id="328"/>
      </w:r>
      <w:r w:rsidRPr="000A4159">
        <w:rPr>
          <w:rFonts w:cs="Taher"/>
          <w:vertAlign w:val="superscript"/>
          <w:rtl/>
        </w:rPr>
        <w:t>)</w:t>
      </w:r>
      <w:r w:rsidRPr="00822CE9">
        <w:rPr>
          <w:rtl/>
        </w:rPr>
        <w:t>.</w:t>
      </w:r>
    </w:p>
    <w:p w14:paraId="255813AC" w14:textId="77777777" w:rsidR="00E556E4" w:rsidRDefault="000A4159" w:rsidP="005D35B4">
      <w:pPr>
        <w:pStyle w:val="normal84"/>
        <w:rPr>
          <w:rtl/>
        </w:rPr>
      </w:pPr>
      <w:r w:rsidRPr="00822CE9">
        <w:rPr>
          <w:rFonts w:hint="cs"/>
          <w:rtl/>
        </w:rPr>
        <w:t>وإقامة الصلاة إم</w:t>
      </w:r>
      <w:r w:rsidR="00E556E4">
        <w:rPr>
          <w:rFonts w:hint="cs"/>
          <w:rtl/>
        </w:rPr>
        <w:t>ّ</w:t>
      </w:r>
      <w:r w:rsidRPr="00822CE9">
        <w:rPr>
          <w:rFonts w:hint="cs"/>
          <w:rtl/>
        </w:rPr>
        <w:t>ا يراد منها هنا المعنى الحقيقي للكلمة، أو تكون كنايةً عن دوام الإسلام</w:t>
      </w:r>
      <w:r w:rsidR="00C6647B">
        <w:rPr>
          <w:rFonts w:hint="cs"/>
          <w:rtl/>
        </w:rPr>
        <w:t xml:space="preserve"> في شعائره</w:t>
      </w:r>
      <w:r w:rsidRPr="00822CE9">
        <w:rPr>
          <w:rFonts w:hint="cs"/>
          <w:rtl/>
        </w:rPr>
        <w:t xml:space="preserve">، بحيث لا يخرج الحاكم عن </w:t>
      </w:r>
      <w:r w:rsidR="00C6647B">
        <w:rPr>
          <w:rFonts w:hint="cs"/>
          <w:rtl/>
        </w:rPr>
        <w:t xml:space="preserve">شعائر </w:t>
      </w:r>
      <w:r w:rsidRPr="00822CE9">
        <w:rPr>
          <w:rFonts w:hint="cs"/>
          <w:rtl/>
        </w:rPr>
        <w:t>الدين الإسلامي، فتشابه تلك الرواية التي استثنت الكفر، أو تكون إشارة إلى إقامة أحكام الله فيهم</w:t>
      </w:r>
      <w:r w:rsidR="00E556E4">
        <w:rPr>
          <w:rFonts w:hint="cs"/>
          <w:rtl/>
        </w:rPr>
        <w:t>.</w:t>
      </w:r>
    </w:p>
    <w:p w14:paraId="3EF774BE" w14:textId="77777777" w:rsidR="000A4159" w:rsidRPr="00822CE9" w:rsidRDefault="000A4159" w:rsidP="00E556E4">
      <w:pPr>
        <w:spacing w:line="214" w:lineRule="auto"/>
        <w:rPr>
          <w:rtl/>
        </w:rPr>
      </w:pPr>
      <w:r w:rsidRPr="008F1C8D">
        <w:rPr>
          <w:rFonts w:hint="cs"/>
          <w:b/>
          <w:bCs/>
          <w:rtl/>
        </w:rPr>
        <w:t>وهذه الرواية تعاني من ضعف</w:t>
      </w:r>
      <w:r w:rsidR="00E556E4" w:rsidRPr="008F1C8D">
        <w:rPr>
          <w:rFonts w:hint="cs"/>
          <w:b/>
          <w:bCs/>
          <w:rtl/>
        </w:rPr>
        <w:t>ٍ</w:t>
      </w:r>
      <w:r w:rsidRPr="008F1C8D">
        <w:rPr>
          <w:rFonts w:hint="cs"/>
          <w:b/>
          <w:bCs/>
          <w:rtl/>
        </w:rPr>
        <w:t xml:space="preserve"> سندي</w:t>
      </w:r>
      <w:r w:rsidR="00E556E4" w:rsidRPr="008F1C8D">
        <w:rPr>
          <w:rFonts w:hint="cs"/>
          <w:b/>
          <w:bCs/>
          <w:rtl/>
        </w:rPr>
        <w:t>ّ</w:t>
      </w:r>
      <w:r w:rsidRPr="008F1C8D">
        <w:rPr>
          <w:rFonts w:hint="cs"/>
          <w:b/>
          <w:bCs/>
          <w:rtl/>
        </w:rPr>
        <w:t>؛</w:t>
      </w:r>
      <w:r w:rsidRPr="00822CE9">
        <w:rPr>
          <w:rFonts w:hint="cs"/>
          <w:rtl/>
        </w:rPr>
        <w:t xml:space="preserve"> فقد ورد فيها مسلم بن قرظة الأشجعي، الذي لم نجد توثيقاً له، سوى توثيق الذهبي (748هـ)، وهو متأخ</w:t>
      </w:r>
      <w:r w:rsidR="00E556E4">
        <w:rPr>
          <w:rFonts w:hint="cs"/>
          <w:rtl/>
        </w:rPr>
        <w:t>ّ</w:t>
      </w:r>
      <w:r w:rsidRPr="00822CE9">
        <w:rPr>
          <w:rFonts w:hint="cs"/>
          <w:rtl/>
        </w:rPr>
        <w:t>ر</w:t>
      </w:r>
      <w:r w:rsidRPr="000A4159">
        <w:rPr>
          <w:rFonts w:cs="Taher"/>
          <w:vertAlign w:val="superscript"/>
          <w:rtl/>
        </w:rPr>
        <w:t>(</w:t>
      </w:r>
      <w:r w:rsidRPr="000A4159">
        <w:rPr>
          <w:rStyle w:val="FootnoteReference"/>
          <w:rFonts w:cs="Taher"/>
          <w:rtl/>
        </w:rPr>
        <w:footnoteReference w:id="329"/>
      </w:r>
      <w:r w:rsidRPr="000A4159">
        <w:rPr>
          <w:rFonts w:cs="Taher"/>
          <w:vertAlign w:val="superscript"/>
          <w:rtl/>
        </w:rPr>
        <w:t>)</w:t>
      </w:r>
      <w:r w:rsidRPr="00822CE9">
        <w:rPr>
          <w:rtl/>
        </w:rPr>
        <w:t xml:space="preserve">، </w:t>
      </w:r>
      <w:r w:rsidRPr="00822CE9">
        <w:rPr>
          <w:rFonts w:hint="cs"/>
          <w:rtl/>
        </w:rPr>
        <w:t xml:space="preserve">نعم يفهم توثيقه </w:t>
      </w:r>
      <w:r w:rsidR="00215739">
        <w:rPr>
          <w:rFonts w:hint="cs"/>
          <w:rtl/>
        </w:rPr>
        <w:t xml:space="preserve">بدرجةٍ ما </w:t>
      </w:r>
      <w:r w:rsidRPr="00822CE9">
        <w:rPr>
          <w:rFonts w:hint="cs"/>
          <w:rtl/>
        </w:rPr>
        <w:t>من ابن حبان.</w:t>
      </w:r>
      <w:r w:rsidR="00E556E4">
        <w:rPr>
          <w:rFonts w:hint="cs"/>
          <w:rtl/>
        </w:rPr>
        <w:t xml:space="preserve"> </w:t>
      </w:r>
      <w:r w:rsidRPr="00822CE9">
        <w:rPr>
          <w:rFonts w:hint="cs"/>
          <w:rtl/>
        </w:rPr>
        <w:t>والرجل حسب الظاهر من رجال الشام وجماعة بني أمي</w:t>
      </w:r>
      <w:r w:rsidR="00E556E4">
        <w:rPr>
          <w:rFonts w:hint="cs"/>
          <w:rtl/>
        </w:rPr>
        <w:t>ّ</w:t>
      </w:r>
      <w:r w:rsidRPr="00822CE9">
        <w:rPr>
          <w:rFonts w:hint="cs"/>
          <w:rtl/>
        </w:rPr>
        <w:t>ة.</w:t>
      </w:r>
    </w:p>
    <w:p w14:paraId="36466CE6" w14:textId="77777777" w:rsidR="000A4159" w:rsidRPr="00822CE9" w:rsidRDefault="000A4159" w:rsidP="005D35B4">
      <w:pPr>
        <w:pStyle w:val="normal84"/>
        <w:rPr>
          <w:rtl/>
        </w:rPr>
      </w:pPr>
      <w:r w:rsidRPr="00E556E4">
        <w:rPr>
          <w:rFonts w:hint="cs"/>
          <w:b/>
          <w:bCs/>
          <w:rtl/>
        </w:rPr>
        <w:t>الرواية السادسة: خبر أم سلمة</w:t>
      </w:r>
      <w:r w:rsidR="00E556E4">
        <w:rPr>
          <w:rFonts w:hint="cs"/>
          <w:rtl/>
        </w:rPr>
        <w:t>،</w:t>
      </w:r>
      <w:r w:rsidRPr="00822CE9">
        <w:rPr>
          <w:rFonts w:hint="cs"/>
          <w:rtl/>
        </w:rPr>
        <w:t xml:space="preserve"> أن</w:t>
      </w:r>
      <w:r w:rsidR="00E556E4">
        <w:rPr>
          <w:rFonts w:hint="cs"/>
          <w:rtl/>
        </w:rPr>
        <w:t>ّ</w:t>
      </w:r>
      <w:r w:rsidRPr="00822CE9">
        <w:rPr>
          <w:rFonts w:hint="cs"/>
          <w:rtl/>
        </w:rPr>
        <w:t xml:space="preserve"> رسول الله</w:t>
      </w:r>
      <w:r w:rsidR="00E556E4">
        <w:rPr>
          <w:rFonts w:hint="cs"/>
          <w:rtl/>
        </w:rPr>
        <w:t>‘</w:t>
      </w:r>
      <w:r w:rsidRPr="00822CE9">
        <w:rPr>
          <w:rFonts w:hint="cs"/>
          <w:rtl/>
        </w:rPr>
        <w:t>، قال: «ستكون أمراء فتعرفون وتنكرون، فمن عرف برئ ومن أ</w:t>
      </w:r>
      <w:r w:rsidR="00E556E4">
        <w:rPr>
          <w:rFonts w:hint="cs"/>
          <w:rtl/>
        </w:rPr>
        <w:t>ن</w:t>
      </w:r>
      <w:r w:rsidRPr="00822CE9">
        <w:rPr>
          <w:rFonts w:hint="cs"/>
          <w:rtl/>
        </w:rPr>
        <w:t xml:space="preserve">كر سلم، ولكن من رضي وتابع» قالوا: أفلا نقاتلهم؟ قال: </w:t>
      </w:r>
      <w:r w:rsidR="00E556E4">
        <w:rPr>
          <w:rFonts w:hint="eastAsia"/>
          <w:rtl/>
        </w:rPr>
        <w:t>«</w:t>
      </w:r>
      <w:r w:rsidRPr="00822CE9">
        <w:rPr>
          <w:rFonts w:hint="cs"/>
          <w:rtl/>
        </w:rPr>
        <w:t>لا، ما صلّوا»</w:t>
      </w:r>
      <w:r w:rsidRPr="000A4159">
        <w:rPr>
          <w:rFonts w:cs="Taher"/>
          <w:vertAlign w:val="superscript"/>
          <w:rtl/>
        </w:rPr>
        <w:t>(</w:t>
      </w:r>
      <w:r w:rsidRPr="000A4159">
        <w:rPr>
          <w:rStyle w:val="FootnoteReference"/>
          <w:rFonts w:cs="Taher"/>
          <w:rtl/>
        </w:rPr>
        <w:footnoteReference w:id="330"/>
      </w:r>
      <w:r w:rsidRPr="000A4159">
        <w:rPr>
          <w:rFonts w:cs="Taher"/>
          <w:vertAlign w:val="superscript"/>
          <w:rtl/>
        </w:rPr>
        <w:t>)</w:t>
      </w:r>
      <w:r w:rsidRPr="00822CE9">
        <w:rPr>
          <w:rtl/>
        </w:rPr>
        <w:t>.</w:t>
      </w:r>
    </w:p>
    <w:p w14:paraId="46CC7F28" w14:textId="77777777" w:rsidR="000A4159" w:rsidRDefault="000A4159" w:rsidP="005D35B4">
      <w:pPr>
        <w:pStyle w:val="normal84"/>
        <w:rPr>
          <w:rtl/>
        </w:rPr>
      </w:pPr>
      <w:r w:rsidRPr="00822CE9">
        <w:rPr>
          <w:rFonts w:hint="cs"/>
          <w:rtl/>
        </w:rPr>
        <w:t>وقد شرح النووي لنا الحد</w:t>
      </w:r>
      <w:r w:rsidR="00A42AC0">
        <w:rPr>
          <w:rFonts w:hint="cs"/>
          <w:rtl/>
        </w:rPr>
        <w:t>ي</w:t>
      </w:r>
      <w:r w:rsidRPr="00822CE9">
        <w:rPr>
          <w:rFonts w:hint="cs"/>
          <w:rtl/>
        </w:rPr>
        <w:t>ث</w:t>
      </w:r>
      <w:r w:rsidR="00A42AC0">
        <w:rPr>
          <w:rFonts w:hint="cs"/>
          <w:rtl/>
        </w:rPr>
        <w:t>َ</w:t>
      </w:r>
      <w:r w:rsidRPr="00822CE9">
        <w:rPr>
          <w:rFonts w:hint="cs"/>
          <w:rtl/>
        </w:rPr>
        <w:t xml:space="preserve"> بأن</w:t>
      </w:r>
      <w:r w:rsidR="00A42AC0">
        <w:rPr>
          <w:rFonts w:hint="cs"/>
          <w:rtl/>
        </w:rPr>
        <w:t>ّ</w:t>
      </w:r>
      <w:r w:rsidRPr="00822CE9">
        <w:rPr>
          <w:rFonts w:hint="cs"/>
          <w:rtl/>
        </w:rPr>
        <w:t xml:space="preserve"> معنى «من عرف برئ» أي من عرف </w:t>
      </w:r>
      <w:r w:rsidR="00A42AC0">
        <w:rPr>
          <w:rFonts w:hint="cs"/>
          <w:rtl/>
        </w:rPr>
        <w:t xml:space="preserve">المنكر صارت له </w:t>
      </w:r>
      <w:r w:rsidR="00A42AC0">
        <w:rPr>
          <w:rFonts w:hint="cs"/>
          <w:rtl/>
        </w:rPr>
        <w:lastRenderedPageBreak/>
        <w:t>طريق للبراءة من إ</w:t>
      </w:r>
      <w:r w:rsidRPr="00822CE9">
        <w:rPr>
          <w:rFonts w:hint="cs"/>
          <w:rtl/>
        </w:rPr>
        <w:t>ثم</w:t>
      </w:r>
      <w:r w:rsidR="00A42AC0">
        <w:rPr>
          <w:rFonts w:hint="cs"/>
          <w:rtl/>
        </w:rPr>
        <w:t>ه</w:t>
      </w:r>
      <w:r w:rsidRPr="00822CE9">
        <w:rPr>
          <w:rFonts w:hint="cs"/>
          <w:rtl/>
        </w:rPr>
        <w:t xml:space="preserve"> وعقوبته بالتغيير باليد واللسان</w:t>
      </w:r>
      <w:r w:rsidR="00A42AC0">
        <w:rPr>
          <w:rFonts w:hint="cs"/>
          <w:rtl/>
        </w:rPr>
        <w:t>،</w:t>
      </w:r>
      <w:r w:rsidRPr="00822CE9">
        <w:rPr>
          <w:rFonts w:hint="cs"/>
          <w:rtl/>
        </w:rPr>
        <w:t xml:space="preserve"> وإلا فليكره في قلبه، وفي رواية «من كره برئ»، كما أن</w:t>
      </w:r>
      <w:r w:rsidR="00A42AC0">
        <w:rPr>
          <w:rFonts w:hint="cs"/>
          <w:rtl/>
        </w:rPr>
        <w:t>ّ</w:t>
      </w:r>
      <w:r w:rsidRPr="00822CE9">
        <w:rPr>
          <w:rFonts w:hint="cs"/>
          <w:rtl/>
        </w:rPr>
        <w:t xml:space="preserve"> جمل</w:t>
      </w:r>
      <w:r w:rsidR="00A42AC0">
        <w:rPr>
          <w:rFonts w:hint="cs"/>
          <w:rtl/>
        </w:rPr>
        <w:t>ة «ولكن من رضي وتابع» معناها الإ</w:t>
      </w:r>
      <w:r w:rsidRPr="00822CE9">
        <w:rPr>
          <w:rFonts w:hint="cs"/>
          <w:rtl/>
        </w:rPr>
        <w:t>ثم عليه، إذ عليه الكره في قلبه</w:t>
      </w:r>
      <w:r w:rsidRPr="000A4159">
        <w:rPr>
          <w:rFonts w:cs="Taher"/>
          <w:vertAlign w:val="superscript"/>
          <w:rtl/>
        </w:rPr>
        <w:t>(</w:t>
      </w:r>
      <w:r w:rsidRPr="000A4159">
        <w:rPr>
          <w:rStyle w:val="FootnoteReference"/>
          <w:rFonts w:cs="Taher"/>
          <w:rtl/>
        </w:rPr>
        <w:footnoteReference w:id="331"/>
      </w:r>
      <w:r w:rsidRPr="000A4159">
        <w:rPr>
          <w:rFonts w:cs="Taher"/>
          <w:vertAlign w:val="superscript"/>
          <w:rtl/>
        </w:rPr>
        <w:t>)</w:t>
      </w:r>
      <w:r w:rsidRPr="00822CE9">
        <w:rPr>
          <w:rtl/>
        </w:rPr>
        <w:t>.</w:t>
      </w:r>
    </w:p>
    <w:p w14:paraId="2E3705F0" w14:textId="77777777" w:rsidR="004D0E6B" w:rsidRPr="00822CE9" w:rsidRDefault="004D0E6B" w:rsidP="004D0E6B">
      <w:pPr>
        <w:spacing w:line="214" w:lineRule="auto"/>
        <w:rPr>
          <w:rtl/>
        </w:rPr>
      </w:pPr>
      <w:r>
        <w:rPr>
          <w:rFonts w:hint="cs"/>
          <w:rtl/>
        </w:rPr>
        <w:t xml:space="preserve">وجاء الخبر بصيغةٍ مختلفة على الشكل الآتي: </w:t>
      </w:r>
      <w:r>
        <w:rPr>
          <w:rFonts w:hint="eastAsia"/>
          <w:rtl/>
        </w:rPr>
        <w:t>«</w:t>
      </w:r>
      <w:r w:rsidRPr="004D0E6B">
        <w:rPr>
          <w:rtl/>
        </w:rPr>
        <w:t>إن</w:t>
      </w:r>
      <w:r>
        <w:rPr>
          <w:rFonts w:hint="cs"/>
          <w:rtl/>
        </w:rPr>
        <w:t>ّ</w:t>
      </w:r>
      <w:r w:rsidRPr="004D0E6B">
        <w:rPr>
          <w:rtl/>
        </w:rPr>
        <w:t>ه ي</w:t>
      </w:r>
      <w:r>
        <w:rPr>
          <w:rFonts w:hint="cs"/>
          <w:rtl/>
        </w:rPr>
        <w:t>ُ</w:t>
      </w:r>
      <w:r>
        <w:rPr>
          <w:rtl/>
        </w:rPr>
        <w:t xml:space="preserve">ستعمل عليكم </w:t>
      </w:r>
      <w:r>
        <w:rPr>
          <w:rFonts w:hint="cs"/>
          <w:rtl/>
        </w:rPr>
        <w:t>أ</w:t>
      </w:r>
      <w:r w:rsidRPr="004D0E6B">
        <w:rPr>
          <w:rtl/>
        </w:rPr>
        <w:t>مراء</w:t>
      </w:r>
      <w:r>
        <w:rPr>
          <w:rFonts w:hint="cs"/>
          <w:rtl/>
        </w:rPr>
        <w:t xml:space="preserve"> </w:t>
      </w:r>
      <w:r w:rsidRPr="004D0E6B">
        <w:rPr>
          <w:rtl/>
        </w:rPr>
        <w:t>فتعرفون وتنكرون</w:t>
      </w:r>
      <w:r>
        <w:rPr>
          <w:rFonts w:hint="cs"/>
          <w:rtl/>
        </w:rPr>
        <w:t>،</w:t>
      </w:r>
      <w:r w:rsidRPr="004D0E6B">
        <w:rPr>
          <w:rtl/>
        </w:rPr>
        <w:t xml:space="preserve"> فمن كره فقد برئ</w:t>
      </w:r>
      <w:r>
        <w:rPr>
          <w:rFonts w:hint="cs"/>
          <w:rtl/>
        </w:rPr>
        <w:t>،</w:t>
      </w:r>
      <w:r>
        <w:rPr>
          <w:rtl/>
        </w:rPr>
        <w:t xml:space="preserve"> ومن </w:t>
      </w:r>
      <w:r>
        <w:rPr>
          <w:rFonts w:hint="cs"/>
          <w:rtl/>
        </w:rPr>
        <w:t>أ</w:t>
      </w:r>
      <w:r w:rsidRPr="004D0E6B">
        <w:rPr>
          <w:rtl/>
        </w:rPr>
        <w:t>نكر فقد سلم</w:t>
      </w:r>
      <w:r>
        <w:rPr>
          <w:rFonts w:hint="cs"/>
          <w:rtl/>
        </w:rPr>
        <w:t>،</w:t>
      </w:r>
      <w:r w:rsidRPr="004D0E6B">
        <w:rPr>
          <w:rtl/>
        </w:rPr>
        <w:t xml:space="preserve"> ولكن من</w:t>
      </w:r>
      <w:r>
        <w:rPr>
          <w:rFonts w:hint="cs"/>
          <w:rtl/>
        </w:rPr>
        <w:t xml:space="preserve"> </w:t>
      </w:r>
      <w:r w:rsidRPr="004D0E6B">
        <w:rPr>
          <w:rtl/>
        </w:rPr>
        <w:t>رضى وتابع</w:t>
      </w:r>
      <w:r>
        <w:rPr>
          <w:rFonts w:hint="cs"/>
          <w:rtl/>
        </w:rPr>
        <w:t>»،</w:t>
      </w:r>
      <w:r w:rsidRPr="004D0E6B">
        <w:rPr>
          <w:rtl/>
        </w:rPr>
        <w:t xml:space="preserve"> قالوا</w:t>
      </w:r>
      <w:r>
        <w:rPr>
          <w:rFonts w:hint="cs"/>
          <w:rtl/>
        </w:rPr>
        <w:t>:</w:t>
      </w:r>
      <w:r w:rsidRPr="004D0E6B">
        <w:rPr>
          <w:rtl/>
        </w:rPr>
        <w:t xml:space="preserve"> يا رسول الله</w:t>
      </w:r>
      <w:r>
        <w:rPr>
          <w:rFonts w:hint="cs"/>
          <w:rtl/>
        </w:rPr>
        <w:t>، أ</w:t>
      </w:r>
      <w:r w:rsidRPr="004D0E6B">
        <w:rPr>
          <w:rtl/>
        </w:rPr>
        <w:t>لا نقاتلهم</w:t>
      </w:r>
      <w:r>
        <w:rPr>
          <w:rFonts w:hint="cs"/>
          <w:rtl/>
        </w:rPr>
        <w:t>؟</w:t>
      </w:r>
      <w:r w:rsidRPr="004D0E6B">
        <w:rPr>
          <w:rtl/>
        </w:rPr>
        <w:t xml:space="preserve"> قال</w:t>
      </w:r>
      <w:r>
        <w:rPr>
          <w:rFonts w:hint="cs"/>
          <w:rtl/>
        </w:rPr>
        <w:t>:</w:t>
      </w:r>
      <w:r w:rsidRPr="004D0E6B">
        <w:rPr>
          <w:rtl/>
        </w:rPr>
        <w:t xml:space="preserve"> </w:t>
      </w:r>
      <w:r>
        <w:rPr>
          <w:rFonts w:hint="cs"/>
          <w:rtl/>
        </w:rPr>
        <w:t>«</w:t>
      </w:r>
      <w:r w:rsidRPr="004D0E6B">
        <w:rPr>
          <w:rtl/>
        </w:rPr>
        <w:t>لا</w:t>
      </w:r>
      <w:r>
        <w:rPr>
          <w:rFonts w:hint="cs"/>
          <w:rtl/>
        </w:rPr>
        <w:t>،</w:t>
      </w:r>
      <w:r w:rsidRPr="004D0E6B">
        <w:rPr>
          <w:rtl/>
        </w:rPr>
        <w:t xml:space="preserve"> ما صل</w:t>
      </w:r>
      <w:r>
        <w:rPr>
          <w:rFonts w:hint="cs"/>
          <w:rtl/>
        </w:rPr>
        <w:t>ّ</w:t>
      </w:r>
      <w:r w:rsidRPr="004D0E6B">
        <w:rPr>
          <w:rtl/>
        </w:rPr>
        <w:t>وا</w:t>
      </w:r>
      <w:r>
        <w:rPr>
          <w:rFonts w:hint="cs"/>
          <w:rtl/>
        </w:rPr>
        <w:t>»</w:t>
      </w:r>
      <w:r w:rsidRPr="000A4159">
        <w:rPr>
          <w:rFonts w:cs="Taher"/>
          <w:vertAlign w:val="superscript"/>
          <w:rtl/>
        </w:rPr>
        <w:t>(</w:t>
      </w:r>
      <w:r w:rsidRPr="000A4159">
        <w:rPr>
          <w:rStyle w:val="FootnoteReference"/>
          <w:rFonts w:cs="Taher"/>
          <w:rtl/>
        </w:rPr>
        <w:footnoteReference w:id="332"/>
      </w:r>
      <w:r w:rsidRPr="000A4159">
        <w:rPr>
          <w:rFonts w:cs="Taher"/>
          <w:vertAlign w:val="superscript"/>
          <w:rtl/>
        </w:rPr>
        <w:t>)</w:t>
      </w:r>
      <w:r>
        <w:rPr>
          <w:rFonts w:hint="cs"/>
          <w:rtl/>
        </w:rPr>
        <w:t>.</w:t>
      </w:r>
    </w:p>
    <w:p w14:paraId="0FEB8AF4" w14:textId="77777777" w:rsidR="000A4159" w:rsidRPr="00822CE9" w:rsidRDefault="000A4159" w:rsidP="005D35B4">
      <w:pPr>
        <w:pStyle w:val="normal870"/>
        <w:rPr>
          <w:rtl/>
        </w:rPr>
      </w:pPr>
      <w:r w:rsidRPr="00822CE9">
        <w:rPr>
          <w:rFonts w:hint="cs"/>
          <w:rtl/>
        </w:rPr>
        <w:t>وهذه الرواية تختلف عن سابقاتها من حيث إن</w:t>
      </w:r>
      <w:r w:rsidR="00A42AC0">
        <w:rPr>
          <w:rFonts w:hint="cs"/>
          <w:rtl/>
        </w:rPr>
        <w:t>ّ</w:t>
      </w:r>
      <w:r w:rsidRPr="00822CE9">
        <w:rPr>
          <w:rFonts w:hint="cs"/>
          <w:rtl/>
        </w:rPr>
        <w:t>ها تحث</w:t>
      </w:r>
      <w:r w:rsidR="00A42AC0">
        <w:rPr>
          <w:rFonts w:hint="cs"/>
          <w:rtl/>
        </w:rPr>
        <w:t>ّ</w:t>
      </w:r>
      <w:r w:rsidRPr="00822CE9">
        <w:rPr>
          <w:rFonts w:hint="cs"/>
          <w:rtl/>
        </w:rPr>
        <w:t xml:space="preserve"> على الإنكار والتغيير وعدم الرضا و.. لكن ذيلها صريح في النهي عن قتال الأمراء إلا إذا تركوا الصلاة، إم</w:t>
      </w:r>
      <w:r w:rsidR="00A42AC0">
        <w:rPr>
          <w:rFonts w:hint="cs"/>
          <w:rtl/>
        </w:rPr>
        <w:t>ّ</w:t>
      </w:r>
      <w:r w:rsidRPr="00822CE9">
        <w:rPr>
          <w:rFonts w:hint="cs"/>
          <w:rtl/>
        </w:rPr>
        <w:t>ا وقوفاً على ترك الصلاة، أو كناية عن التخلّي عن الإسلام.</w:t>
      </w:r>
    </w:p>
    <w:p w14:paraId="5A3E600C" w14:textId="77777777" w:rsidR="000A4159" w:rsidRPr="00822CE9" w:rsidRDefault="000A4159" w:rsidP="005D35B4">
      <w:pPr>
        <w:pStyle w:val="normal84"/>
        <w:rPr>
          <w:rtl/>
        </w:rPr>
      </w:pPr>
      <w:r w:rsidRPr="00822CE9">
        <w:rPr>
          <w:rFonts w:hint="cs"/>
          <w:rtl/>
        </w:rPr>
        <w:t>وفي سند الرواية ضبّة بن محصن، ولم يوثقوه</w:t>
      </w:r>
      <w:r w:rsidRPr="000A4159">
        <w:rPr>
          <w:rFonts w:cs="Taher"/>
          <w:vertAlign w:val="superscript"/>
          <w:rtl/>
        </w:rPr>
        <w:t>(</w:t>
      </w:r>
      <w:r w:rsidRPr="000A4159">
        <w:rPr>
          <w:rStyle w:val="FootnoteReference"/>
          <w:rFonts w:cs="Taher"/>
          <w:rtl/>
        </w:rPr>
        <w:footnoteReference w:id="333"/>
      </w:r>
      <w:r w:rsidRPr="000A4159">
        <w:rPr>
          <w:rFonts w:cs="Taher"/>
          <w:vertAlign w:val="superscript"/>
          <w:rtl/>
        </w:rPr>
        <w:t>)</w:t>
      </w:r>
      <w:r w:rsidRPr="00822CE9">
        <w:rPr>
          <w:rtl/>
        </w:rPr>
        <w:t xml:space="preserve">، </w:t>
      </w:r>
      <w:r w:rsidRPr="00822CE9">
        <w:rPr>
          <w:rFonts w:hint="cs"/>
          <w:rtl/>
        </w:rPr>
        <w:t>ولعلّه وثقه ابن حب</w:t>
      </w:r>
      <w:r w:rsidR="00B42105">
        <w:rPr>
          <w:rFonts w:hint="cs"/>
          <w:rtl/>
        </w:rPr>
        <w:t>ّ</w:t>
      </w:r>
      <w:r w:rsidRPr="00822CE9">
        <w:rPr>
          <w:rFonts w:hint="cs"/>
          <w:rtl/>
        </w:rPr>
        <w:t>ان</w:t>
      </w:r>
      <w:r w:rsidRPr="000A4159">
        <w:rPr>
          <w:rFonts w:cs="Taher"/>
          <w:vertAlign w:val="superscript"/>
          <w:rtl/>
        </w:rPr>
        <w:t>(</w:t>
      </w:r>
      <w:r w:rsidRPr="000A4159">
        <w:rPr>
          <w:rStyle w:val="FootnoteReference"/>
          <w:rFonts w:cs="Taher"/>
          <w:rtl/>
        </w:rPr>
        <w:footnoteReference w:id="334"/>
      </w:r>
      <w:r w:rsidRPr="000A4159">
        <w:rPr>
          <w:rFonts w:cs="Taher"/>
          <w:vertAlign w:val="superscript"/>
          <w:rtl/>
        </w:rPr>
        <w:t>)</w:t>
      </w:r>
      <w:r w:rsidRPr="00822CE9">
        <w:rPr>
          <w:rtl/>
        </w:rPr>
        <w:t xml:space="preserve">، </w:t>
      </w:r>
      <w:r w:rsidRPr="00822CE9">
        <w:rPr>
          <w:rFonts w:hint="cs"/>
          <w:rtl/>
        </w:rPr>
        <w:t>ووثقه الذهبي من المتأخ</w:t>
      </w:r>
      <w:r w:rsidR="00A42AC0">
        <w:rPr>
          <w:rFonts w:hint="cs"/>
          <w:rtl/>
        </w:rPr>
        <w:t>ّ</w:t>
      </w:r>
      <w:r w:rsidRPr="00822CE9">
        <w:rPr>
          <w:rFonts w:hint="cs"/>
          <w:rtl/>
        </w:rPr>
        <w:t>رين</w:t>
      </w:r>
      <w:r w:rsidRPr="000A4159">
        <w:rPr>
          <w:rFonts w:cs="Taher"/>
          <w:vertAlign w:val="superscript"/>
          <w:rtl/>
        </w:rPr>
        <w:t>(</w:t>
      </w:r>
      <w:r w:rsidRPr="000A4159">
        <w:rPr>
          <w:rStyle w:val="FootnoteReference"/>
          <w:rFonts w:cs="Taher"/>
          <w:rtl/>
        </w:rPr>
        <w:footnoteReference w:id="335"/>
      </w:r>
      <w:r w:rsidRPr="000A4159">
        <w:rPr>
          <w:rFonts w:cs="Taher"/>
          <w:vertAlign w:val="superscript"/>
          <w:rtl/>
        </w:rPr>
        <w:t>)</w:t>
      </w:r>
      <w:r w:rsidRPr="00822CE9">
        <w:rPr>
          <w:rtl/>
        </w:rPr>
        <w:t>.</w:t>
      </w:r>
    </w:p>
    <w:p w14:paraId="25F7890C" w14:textId="77777777" w:rsidR="000A4159" w:rsidRPr="00822CE9" w:rsidRDefault="000A4159" w:rsidP="005D35B4">
      <w:pPr>
        <w:pStyle w:val="normal84"/>
        <w:rPr>
          <w:rtl/>
        </w:rPr>
      </w:pPr>
      <w:r w:rsidRPr="00A42AC0">
        <w:rPr>
          <w:rFonts w:hint="cs"/>
          <w:b/>
          <w:bCs/>
          <w:rtl/>
        </w:rPr>
        <w:t>الرواية السابعة: خبر نافع</w:t>
      </w:r>
      <w:r w:rsidR="00A42AC0">
        <w:rPr>
          <w:rFonts w:hint="cs"/>
          <w:rtl/>
        </w:rPr>
        <w:t>،</w:t>
      </w:r>
      <w:r w:rsidRPr="00822CE9">
        <w:rPr>
          <w:rFonts w:hint="cs"/>
          <w:rtl/>
        </w:rPr>
        <w:t xml:space="preserve"> أن</w:t>
      </w:r>
      <w:r w:rsidR="000779E5">
        <w:rPr>
          <w:rFonts w:hint="cs"/>
          <w:rtl/>
        </w:rPr>
        <w:t>ّ</w:t>
      </w:r>
      <w:r w:rsidRPr="00822CE9">
        <w:rPr>
          <w:rFonts w:hint="cs"/>
          <w:rtl/>
        </w:rPr>
        <w:t xml:space="preserve"> عبد الله بن عمر جاء بعد وقعة الحرّة</w:t>
      </w:r>
      <w:r w:rsidR="00C6647B" w:rsidRPr="000A4159">
        <w:rPr>
          <w:rFonts w:cs="Taher"/>
          <w:vertAlign w:val="superscript"/>
          <w:rtl/>
        </w:rPr>
        <w:t>(</w:t>
      </w:r>
      <w:r w:rsidR="00C6647B" w:rsidRPr="000A4159">
        <w:rPr>
          <w:rStyle w:val="FootnoteReference"/>
          <w:rFonts w:cs="Taher"/>
          <w:rtl/>
        </w:rPr>
        <w:footnoteReference w:id="336"/>
      </w:r>
      <w:r w:rsidR="00C6647B" w:rsidRPr="000A4159">
        <w:rPr>
          <w:rFonts w:cs="Taher"/>
          <w:vertAlign w:val="superscript"/>
          <w:rtl/>
        </w:rPr>
        <w:t>)</w:t>
      </w:r>
      <w:r w:rsidRPr="00822CE9">
        <w:rPr>
          <w:rFonts w:hint="cs"/>
          <w:rtl/>
        </w:rPr>
        <w:t xml:space="preserve"> زمن يزيد بن معاوية إلى عبد الله بن مطيع</w:t>
      </w:r>
      <w:r w:rsidR="00C6647B" w:rsidRPr="000A4159">
        <w:rPr>
          <w:rFonts w:cs="Taher"/>
          <w:vertAlign w:val="superscript"/>
          <w:rtl/>
        </w:rPr>
        <w:t>(</w:t>
      </w:r>
      <w:r w:rsidR="00C6647B" w:rsidRPr="000A4159">
        <w:rPr>
          <w:rStyle w:val="FootnoteReference"/>
          <w:rFonts w:cs="Taher"/>
          <w:rtl/>
        </w:rPr>
        <w:footnoteReference w:id="337"/>
      </w:r>
      <w:r w:rsidR="00C6647B" w:rsidRPr="000A4159">
        <w:rPr>
          <w:rFonts w:cs="Taher"/>
          <w:vertAlign w:val="superscript"/>
          <w:rtl/>
        </w:rPr>
        <w:t>)</w:t>
      </w:r>
      <w:r w:rsidRPr="00822CE9">
        <w:rPr>
          <w:rFonts w:hint="cs"/>
          <w:rtl/>
        </w:rPr>
        <w:t>، فقال الأخير: اطرحوا لأبي عبد الرحمن وسادة، فقال: إني لم آتك لأجلس، أتيتك لأحد</w:t>
      </w:r>
      <w:r w:rsidR="000779E5">
        <w:rPr>
          <w:rFonts w:hint="cs"/>
          <w:rtl/>
        </w:rPr>
        <w:t>ّث</w:t>
      </w:r>
      <w:r w:rsidRPr="00822CE9">
        <w:rPr>
          <w:rFonts w:hint="cs"/>
          <w:rtl/>
        </w:rPr>
        <w:t>ك حديثاً سمعت رسول الله</w:t>
      </w:r>
      <w:r w:rsidR="000779E5">
        <w:rPr>
          <w:rFonts w:hint="cs"/>
          <w:rtl/>
        </w:rPr>
        <w:t>‘ ي</w:t>
      </w:r>
      <w:r w:rsidRPr="00822CE9">
        <w:rPr>
          <w:rFonts w:hint="cs"/>
          <w:rtl/>
        </w:rPr>
        <w:t>قوله</w:t>
      </w:r>
      <w:r w:rsidR="008F1C8D">
        <w:rPr>
          <w:rFonts w:hint="cs"/>
          <w:rtl/>
        </w:rPr>
        <w:t>.</w:t>
      </w:r>
      <w:r w:rsidRPr="00822CE9">
        <w:rPr>
          <w:rFonts w:hint="cs"/>
          <w:rtl/>
        </w:rPr>
        <w:t xml:space="preserve"> سمعت رسول الله يقول: «من خلع يداً من طاعة لقي الله يوم القيامة لا حجّة له، ومن مات وليس في عنقه بيعة مات ميتةً جاهلي</w:t>
      </w:r>
      <w:r w:rsidR="000779E5">
        <w:rPr>
          <w:rFonts w:hint="cs"/>
          <w:rtl/>
        </w:rPr>
        <w:t>ّ</w:t>
      </w:r>
      <w:r w:rsidRPr="00822CE9">
        <w:rPr>
          <w:rFonts w:hint="cs"/>
          <w:rtl/>
        </w:rPr>
        <w:t>ة»</w:t>
      </w:r>
      <w:r w:rsidRPr="000A4159">
        <w:rPr>
          <w:rFonts w:cs="Taher"/>
          <w:vertAlign w:val="superscript"/>
          <w:rtl/>
        </w:rPr>
        <w:t>(</w:t>
      </w:r>
      <w:r w:rsidRPr="000A4159">
        <w:rPr>
          <w:rStyle w:val="FootnoteReference"/>
          <w:rFonts w:cs="Taher"/>
          <w:rtl/>
        </w:rPr>
        <w:footnoteReference w:id="338"/>
      </w:r>
      <w:r w:rsidRPr="000A4159">
        <w:rPr>
          <w:rFonts w:cs="Taher"/>
          <w:vertAlign w:val="superscript"/>
          <w:rtl/>
        </w:rPr>
        <w:t>)</w:t>
      </w:r>
      <w:r w:rsidRPr="00822CE9">
        <w:rPr>
          <w:rtl/>
        </w:rPr>
        <w:t>.</w:t>
      </w:r>
    </w:p>
    <w:p w14:paraId="24515F49" w14:textId="77777777" w:rsidR="000A4159" w:rsidRPr="00822CE9" w:rsidRDefault="000A4159" w:rsidP="00A079D6">
      <w:pPr>
        <w:spacing w:line="214" w:lineRule="auto"/>
        <w:rPr>
          <w:rtl/>
        </w:rPr>
      </w:pPr>
      <w:r w:rsidRPr="008F1C8D">
        <w:rPr>
          <w:rFonts w:hint="cs"/>
          <w:b/>
          <w:bCs/>
          <w:rtl/>
        </w:rPr>
        <w:lastRenderedPageBreak/>
        <w:t>وهذه الرواية است</w:t>
      </w:r>
      <w:r w:rsidR="000779E5" w:rsidRPr="008F1C8D">
        <w:rPr>
          <w:rFonts w:hint="cs"/>
          <w:b/>
          <w:bCs/>
          <w:rtl/>
        </w:rPr>
        <w:t>ُ</w:t>
      </w:r>
      <w:r w:rsidRPr="008F1C8D">
        <w:rPr>
          <w:rFonts w:hint="cs"/>
          <w:b/>
          <w:bCs/>
          <w:rtl/>
        </w:rPr>
        <w:t>فيد منها أن</w:t>
      </w:r>
      <w:r w:rsidR="000779E5" w:rsidRPr="008F1C8D">
        <w:rPr>
          <w:rFonts w:hint="cs"/>
          <w:b/>
          <w:bCs/>
          <w:rtl/>
        </w:rPr>
        <w:t>ّ</w:t>
      </w:r>
      <w:r w:rsidR="00E94340" w:rsidRPr="008F1C8D">
        <w:rPr>
          <w:rFonts w:hint="cs"/>
          <w:b/>
          <w:bCs/>
          <w:rtl/>
        </w:rPr>
        <w:t xml:space="preserve"> ا</w:t>
      </w:r>
      <w:r w:rsidRPr="008F1C8D">
        <w:rPr>
          <w:rFonts w:hint="cs"/>
          <w:b/>
          <w:bCs/>
          <w:rtl/>
        </w:rPr>
        <w:t>بن عمر كان ضدّ الثورة</w:t>
      </w:r>
      <w:r w:rsidR="00E94340" w:rsidRPr="008F1C8D">
        <w:rPr>
          <w:rFonts w:hint="cs"/>
          <w:b/>
          <w:bCs/>
          <w:rtl/>
        </w:rPr>
        <w:t xml:space="preserve"> على الأمويّين</w:t>
      </w:r>
      <w:r w:rsidRPr="008F1C8D">
        <w:rPr>
          <w:rFonts w:hint="cs"/>
          <w:b/>
          <w:bCs/>
          <w:rtl/>
        </w:rPr>
        <w:t>،</w:t>
      </w:r>
      <w:r w:rsidRPr="00822CE9">
        <w:rPr>
          <w:rFonts w:hint="cs"/>
          <w:rtl/>
        </w:rPr>
        <w:t xml:space="preserve"> خلافاً لابن مطيع الذي ثار على يزيد آنذاك.</w:t>
      </w:r>
    </w:p>
    <w:p w14:paraId="60C149C3" w14:textId="77777777" w:rsidR="000A4159" w:rsidRPr="00822CE9" w:rsidRDefault="000A4159" w:rsidP="00441F24">
      <w:pPr>
        <w:spacing w:line="214" w:lineRule="auto"/>
        <w:rPr>
          <w:rtl/>
        </w:rPr>
      </w:pPr>
      <w:r w:rsidRPr="000779E5">
        <w:rPr>
          <w:rFonts w:hint="cs"/>
          <w:b/>
          <w:bCs/>
          <w:rtl/>
        </w:rPr>
        <w:t>لكن بقطع النظر عن موقف ابن عمر</w:t>
      </w:r>
      <w:r w:rsidR="000779E5" w:rsidRPr="000779E5">
        <w:rPr>
          <w:rFonts w:hint="cs"/>
          <w:b/>
          <w:bCs/>
          <w:rtl/>
        </w:rPr>
        <w:t>،</w:t>
      </w:r>
      <w:r w:rsidRPr="000779E5">
        <w:rPr>
          <w:rFonts w:hint="cs"/>
          <w:b/>
          <w:bCs/>
          <w:rtl/>
        </w:rPr>
        <w:t xml:space="preserve"> فإنّ هذه الرواية لا </w:t>
      </w:r>
      <w:r w:rsidR="00441F24">
        <w:rPr>
          <w:rFonts w:hint="cs"/>
          <w:b/>
          <w:bCs/>
          <w:rtl/>
        </w:rPr>
        <w:t xml:space="preserve">إطلاق فيها </w:t>
      </w:r>
      <w:r w:rsidRPr="000779E5">
        <w:rPr>
          <w:rFonts w:hint="cs"/>
          <w:b/>
          <w:bCs/>
          <w:rtl/>
        </w:rPr>
        <w:t>حتى لو طب</w:t>
      </w:r>
      <w:r w:rsidR="000779E5" w:rsidRPr="000779E5">
        <w:rPr>
          <w:rFonts w:hint="cs"/>
          <w:b/>
          <w:bCs/>
          <w:rtl/>
        </w:rPr>
        <w:t>ّ</w:t>
      </w:r>
      <w:r w:rsidRPr="000779E5">
        <w:rPr>
          <w:rFonts w:hint="cs"/>
          <w:b/>
          <w:bCs/>
          <w:rtl/>
        </w:rPr>
        <w:t>قها ابن عمر على ذاك المورد؛</w:t>
      </w:r>
      <w:r w:rsidRPr="00822CE9">
        <w:rPr>
          <w:rFonts w:hint="cs"/>
          <w:rtl/>
        </w:rPr>
        <w:t xml:space="preserve"> لأنها تدلّ على النهي عن ترك الخضوع </w:t>
      </w:r>
      <w:r w:rsidR="000779E5">
        <w:rPr>
          <w:rFonts w:hint="cs"/>
          <w:rtl/>
        </w:rPr>
        <w:t>ل</w:t>
      </w:r>
      <w:r w:rsidRPr="00822CE9">
        <w:rPr>
          <w:rFonts w:hint="cs"/>
          <w:rtl/>
        </w:rPr>
        <w:t xml:space="preserve">بيعة </w:t>
      </w:r>
      <w:r w:rsidR="000779E5">
        <w:rPr>
          <w:rFonts w:hint="cs"/>
          <w:rtl/>
        </w:rPr>
        <w:t>ا</w:t>
      </w:r>
      <w:r w:rsidRPr="00822CE9">
        <w:rPr>
          <w:rFonts w:hint="cs"/>
          <w:rtl/>
        </w:rPr>
        <w:t xml:space="preserve">لحاكم أو </w:t>
      </w:r>
      <w:r w:rsidR="000779E5">
        <w:rPr>
          <w:rFonts w:hint="cs"/>
          <w:rtl/>
        </w:rPr>
        <w:t>ال</w:t>
      </w:r>
      <w:r w:rsidRPr="00822CE9">
        <w:rPr>
          <w:rFonts w:hint="cs"/>
          <w:rtl/>
        </w:rPr>
        <w:t>أمير، وتعبير «مات ميتة</w:t>
      </w:r>
      <w:r w:rsidR="000779E5">
        <w:rPr>
          <w:rFonts w:hint="cs"/>
          <w:rtl/>
        </w:rPr>
        <w:t>ً</w:t>
      </w:r>
      <w:r w:rsidRPr="00822CE9">
        <w:rPr>
          <w:rFonts w:hint="cs"/>
          <w:rtl/>
        </w:rPr>
        <w:t xml:space="preserve"> جاهلية» لا يعني ـ بالضرورة ـ أن</w:t>
      </w:r>
      <w:r w:rsidR="000779E5">
        <w:rPr>
          <w:rFonts w:hint="cs"/>
          <w:rtl/>
        </w:rPr>
        <w:t>ّ</w:t>
      </w:r>
      <w:r w:rsidRPr="00822CE9">
        <w:rPr>
          <w:rFonts w:hint="cs"/>
          <w:rtl/>
        </w:rPr>
        <w:t>ه مات كافراً، بل هي إشارة إلى أن</w:t>
      </w:r>
      <w:r w:rsidR="000779E5">
        <w:rPr>
          <w:rFonts w:hint="cs"/>
          <w:rtl/>
        </w:rPr>
        <w:t>ّ</w:t>
      </w:r>
      <w:r w:rsidRPr="00822CE9">
        <w:rPr>
          <w:rFonts w:hint="cs"/>
          <w:rtl/>
        </w:rPr>
        <w:t xml:space="preserve"> العرب في الجاهلي</w:t>
      </w:r>
      <w:r w:rsidR="000779E5">
        <w:rPr>
          <w:rFonts w:hint="cs"/>
          <w:rtl/>
        </w:rPr>
        <w:t>ّ</w:t>
      </w:r>
      <w:r w:rsidRPr="00822CE9">
        <w:rPr>
          <w:rFonts w:hint="cs"/>
          <w:rtl/>
        </w:rPr>
        <w:t>ة لم يكن لهم قائد وزعيم</w:t>
      </w:r>
      <w:r w:rsidR="000779E5">
        <w:rPr>
          <w:rFonts w:hint="cs"/>
          <w:rtl/>
        </w:rPr>
        <w:t>،</w:t>
      </w:r>
      <w:r w:rsidRPr="00822CE9">
        <w:rPr>
          <w:rFonts w:hint="cs"/>
          <w:rtl/>
        </w:rPr>
        <w:t xml:space="preserve"> فالرواية تنهى عن ترك اتخاذ الحاكم والخروج من يد البيعة؛ فهي تأمر بالبيعة للحاكم وعدم العودة لعصر الجاهلي</w:t>
      </w:r>
      <w:r w:rsidR="000779E5">
        <w:rPr>
          <w:rFonts w:hint="cs"/>
          <w:rtl/>
        </w:rPr>
        <w:t>ّ</w:t>
      </w:r>
      <w:r w:rsidRPr="00822CE9">
        <w:rPr>
          <w:rFonts w:hint="cs"/>
          <w:rtl/>
        </w:rPr>
        <w:t>ة الفوضوي، لكن</w:t>
      </w:r>
      <w:r w:rsidR="000779E5">
        <w:rPr>
          <w:rFonts w:hint="cs"/>
          <w:rtl/>
        </w:rPr>
        <w:t>ّ</w:t>
      </w:r>
      <w:r w:rsidRPr="00822CE9">
        <w:rPr>
          <w:rFonts w:hint="cs"/>
          <w:rtl/>
        </w:rPr>
        <w:t>ها لا تحدّد من هو الحاكم؟ فلو فرضنا أن</w:t>
      </w:r>
      <w:r w:rsidR="000779E5">
        <w:rPr>
          <w:rFonts w:hint="cs"/>
          <w:rtl/>
        </w:rPr>
        <w:t>ّ</w:t>
      </w:r>
      <w:r w:rsidRPr="00822CE9">
        <w:rPr>
          <w:rFonts w:hint="cs"/>
          <w:rtl/>
        </w:rPr>
        <w:t xml:space="preserve"> الشيعي يرى </w:t>
      </w:r>
      <w:r w:rsidR="000779E5">
        <w:rPr>
          <w:rFonts w:hint="cs"/>
          <w:rtl/>
        </w:rPr>
        <w:t xml:space="preserve">جعفر </w:t>
      </w:r>
      <w:r w:rsidRPr="00822CE9">
        <w:rPr>
          <w:rFonts w:hint="cs"/>
          <w:rtl/>
        </w:rPr>
        <w:t>الصادق حاكماً حقيقي</w:t>
      </w:r>
      <w:r w:rsidR="000779E5">
        <w:rPr>
          <w:rFonts w:hint="cs"/>
          <w:rtl/>
        </w:rPr>
        <w:t>ّ</w:t>
      </w:r>
      <w:r w:rsidRPr="00822CE9">
        <w:rPr>
          <w:rFonts w:hint="cs"/>
          <w:rtl/>
        </w:rPr>
        <w:t>اً للأمّة وبايعه</w:t>
      </w:r>
      <w:r w:rsidR="000779E5">
        <w:rPr>
          <w:rFonts w:hint="cs"/>
          <w:rtl/>
        </w:rPr>
        <w:t>،</w:t>
      </w:r>
      <w:r w:rsidRPr="00822CE9">
        <w:rPr>
          <w:rFonts w:hint="cs"/>
          <w:rtl/>
        </w:rPr>
        <w:t xml:space="preserve"> لا يكون قد لقي الله بلا بيعة، بقطع النظر عن صوابي</w:t>
      </w:r>
      <w:r w:rsidR="000779E5">
        <w:rPr>
          <w:rFonts w:hint="cs"/>
          <w:rtl/>
        </w:rPr>
        <w:t>ّة</w:t>
      </w:r>
      <w:r w:rsidRPr="00822CE9">
        <w:rPr>
          <w:rFonts w:hint="cs"/>
          <w:rtl/>
        </w:rPr>
        <w:t xml:space="preserve"> هذه البيعة أو تلك.</w:t>
      </w:r>
    </w:p>
    <w:p w14:paraId="72379A4C" w14:textId="77777777" w:rsidR="000A4159" w:rsidRPr="00822CE9" w:rsidRDefault="000A4159" w:rsidP="00441F24">
      <w:pPr>
        <w:spacing w:line="214" w:lineRule="auto"/>
        <w:rPr>
          <w:rtl/>
        </w:rPr>
      </w:pPr>
      <w:r w:rsidRPr="000779E5">
        <w:rPr>
          <w:rFonts w:hint="cs"/>
          <w:b/>
          <w:bCs/>
          <w:rtl/>
        </w:rPr>
        <w:t>وبعبارة مختصرة:</w:t>
      </w:r>
      <w:r w:rsidRPr="00822CE9">
        <w:rPr>
          <w:rFonts w:hint="cs"/>
          <w:rtl/>
        </w:rPr>
        <w:t xml:space="preserve"> الرواية وكثير غيرها مما شاب</w:t>
      </w:r>
      <w:r w:rsidR="000779E5">
        <w:rPr>
          <w:rFonts w:hint="cs"/>
          <w:rtl/>
        </w:rPr>
        <w:t>ه</w:t>
      </w:r>
      <w:r w:rsidRPr="00822CE9">
        <w:rPr>
          <w:rFonts w:hint="cs"/>
          <w:rtl/>
        </w:rPr>
        <w:t>ها لا تدلّ على أزيد من رفض الفوض</w:t>
      </w:r>
      <w:r w:rsidR="000779E5">
        <w:rPr>
          <w:rFonts w:hint="cs"/>
          <w:rtl/>
        </w:rPr>
        <w:t>ى</w:t>
      </w:r>
      <w:r w:rsidRPr="00822CE9">
        <w:rPr>
          <w:rFonts w:hint="cs"/>
          <w:rtl/>
        </w:rPr>
        <w:t xml:space="preserve"> وعدم اتخاذ حاكم للأم</w:t>
      </w:r>
      <w:r w:rsidR="000779E5">
        <w:rPr>
          <w:rFonts w:hint="cs"/>
          <w:rtl/>
        </w:rPr>
        <w:t>ّ</w:t>
      </w:r>
      <w:r w:rsidRPr="00822CE9">
        <w:rPr>
          <w:rFonts w:hint="cs"/>
          <w:rtl/>
        </w:rPr>
        <w:t>ة، لكن</w:t>
      </w:r>
      <w:r w:rsidR="000779E5">
        <w:rPr>
          <w:rFonts w:hint="cs"/>
          <w:rtl/>
        </w:rPr>
        <w:t>ّ</w:t>
      </w:r>
      <w:r w:rsidRPr="00822CE9">
        <w:rPr>
          <w:rFonts w:hint="cs"/>
          <w:rtl/>
        </w:rPr>
        <w:t>ها لا تعيّن مورد البيعة والرجل المباي</w:t>
      </w:r>
      <w:r w:rsidR="000779E5">
        <w:rPr>
          <w:rFonts w:hint="cs"/>
          <w:rtl/>
        </w:rPr>
        <w:t>َ</w:t>
      </w:r>
      <w:r w:rsidRPr="00822CE9">
        <w:rPr>
          <w:rFonts w:hint="cs"/>
          <w:rtl/>
        </w:rPr>
        <w:t xml:space="preserve">ع، فهي أشبه بتحديد لزوم الانتماء السياسي </w:t>
      </w:r>
      <w:r w:rsidR="00441F24">
        <w:rPr>
          <w:rFonts w:hint="cs"/>
          <w:rtl/>
        </w:rPr>
        <w:t xml:space="preserve">للمسلم مقابل العزلة واللاإنتماء. كما أنّ الرواية لا تتحدّث عن الصور والحالات الطارئة، وماذا لو خرق الحاكم نفسه مقتضى البيعة؟ وماذا لو ظلم وقتل وسفك الدماء البريئة؟ </w:t>
      </w:r>
      <w:r w:rsidR="00441F24" w:rsidRPr="008F1C8D">
        <w:rPr>
          <w:rFonts w:hint="cs"/>
          <w:b/>
          <w:bCs/>
          <w:rtl/>
        </w:rPr>
        <w:t>فتمسّ</w:t>
      </w:r>
      <w:r w:rsidR="008F1C8D">
        <w:rPr>
          <w:rFonts w:hint="cs"/>
          <w:b/>
          <w:bCs/>
          <w:rtl/>
        </w:rPr>
        <w:t>ُ</w:t>
      </w:r>
      <w:r w:rsidR="00441F24" w:rsidRPr="008F1C8D">
        <w:rPr>
          <w:rFonts w:hint="cs"/>
          <w:b/>
          <w:bCs/>
          <w:rtl/>
        </w:rPr>
        <w:t>ك</w:t>
      </w:r>
      <w:r w:rsidR="008F1C8D">
        <w:rPr>
          <w:rFonts w:hint="cs"/>
          <w:b/>
          <w:bCs/>
          <w:rtl/>
        </w:rPr>
        <w:t>ُ</w:t>
      </w:r>
      <w:r w:rsidR="00441F24" w:rsidRPr="008F1C8D">
        <w:rPr>
          <w:rFonts w:hint="cs"/>
          <w:b/>
          <w:bCs/>
          <w:rtl/>
        </w:rPr>
        <w:t xml:space="preserve"> ابن عمر بالإطلاق هنا غير مفهوم.</w:t>
      </w:r>
    </w:p>
    <w:p w14:paraId="5A275B5B" w14:textId="77777777" w:rsidR="000A4159" w:rsidRPr="00822CE9" w:rsidRDefault="000A4159" w:rsidP="000779E5">
      <w:pPr>
        <w:spacing w:line="214" w:lineRule="auto"/>
        <w:rPr>
          <w:rtl/>
        </w:rPr>
      </w:pPr>
      <w:r w:rsidRPr="000779E5">
        <w:rPr>
          <w:rFonts w:hint="cs"/>
          <w:b/>
          <w:bCs/>
          <w:rtl/>
        </w:rPr>
        <w:t>الرواية الثامنة: خبر أبي هريرة</w:t>
      </w:r>
      <w:r w:rsidR="000779E5">
        <w:rPr>
          <w:rFonts w:hint="cs"/>
          <w:rtl/>
        </w:rPr>
        <w:t>،</w:t>
      </w:r>
      <w:r w:rsidRPr="00822CE9">
        <w:rPr>
          <w:rFonts w:hint="cs"/>
          <w:rtl/>
        </w:rPr>
        <w:t xml:space="preserve"> عن النبي</w:t>
      </w:r>
      <w:r w:rsidR="000779E5">
        <w:rPr>
          <w:rFonts w:hint="cs"/>
          <w:rtl/>
        </w:rPr>
        <w:t>ّ‘</w:t>
      </w:r>
      <w:r w:rsidRPr="00822CE9">
        <w:rPr>
          <w:rFonts w:hint="cs"/>
          <w:rtl/>
        </w:rPr>
        <w:t>: «.. من يطع الأمير فقد أطاعني</w:t>
      </w:r>
      <w:r w:rsidR="000779E5">
        <w:rPr>
          <w:rFonts w:hint="cs"/>
          <w:rtl/>
        </w:rPr>
        <w:t>،</w:t>
      </w:r>
      <w:r w:rsidRPr="00822CE9">
        <w:rPr>
          <w:rFonts w:hint="cs"/>
          <w:rtl/>
        </w:rPr>
        <w:t xml:space="preserve"> ومن يعص</w:t>
      </w:r>
      <w:r w:rsidR="000779E5">
        <w:rPr>
          <w:rFonts w:hint="cs"/>
          <w:rtl/>
        </w:rPr>
        <w:t>ي</w:t>
      </w:r>
      <w:r w:rsidRPr="00822CE9">
        <w:rPr>
          <w:rFonts w:hint="cs"/>
          <w:rtl/>
        </w:rPr>
        <w:t xml:space="preserve"> الأمير فقد عصاني»، وهذه الرواية وما يشبهها وردت بأسانيد مختلفة إلى أبي هريرة تارةً فيها هذا المقطع وأخرى بدونه، وتارةً فيها تعبير «أميري» وأخرى «الأمير»</w:t>
      </w:r>
      <w:r w:rsidRPr="000A4159">
        <w:rPr>
          <w:rFonts w:cs="Taher"/>
          <w:vertAlign w:val="superscript"/>
          <w:rtl/>
        </w:rPr>
        <w:t>(</w:t>
      </w:r>
      <w:r w:rsidRPr="000A4159">
        <w:rPr>
          <w:rStyle w:val="FootnoteReference"/>
          <w:rFonts w:cs="Taher"/>
          <w:rtl/>
        </w:rPr>
        <w:footnoteReference w:id="339"/>
      </w:r>
      <w:r w:rsidRPr="000A4159">
        <w:rPr>
          <w:rFonts w:cs="Taher"/>
          <w:vertAlign w:val="superscript"/>
          <w:rtl/>
        </w:rPr>
        <w:t>)</w:t>
      </w:r>
      <w:r w:rsidRPr="00822CE9">
        <w:rPr>
          <w:rtl/>
        </w:rPr>
        <w:t>.</w:t>
      </w:r>
    </w:p>
    <w:p w14:paraId="32E894BE" w14:textId="77777777" w:rsidR="000A4159" w:rsidRDefault="000A4159" w:rsidP="000779E5">
      <w:pPr>
        <w:spacing w:line="214" w:lineRule="auto"/>
        <w:rPr>
          <w:rtl/>
        </w:rPr>
      </w:pPr>
      <w:r w:rsidRPr="000779E5">
        <w:rPr>
          <w:rFonts w:hint="cs"/>
          <w:b/>
          <w:bCs/>
          <w:rtl/>
        </w:rPr>
        <w:t>أ ـ</w:t>
      </w:r>
      <w:r w:rsidRPr="00822CE9">
        <w:rPr>
          <w:rFonts w:hint="cs"/>
          <w:rtl/>
        </w:rPr>
        <w:t xml:space="preserve"> وهذه الرواية ـ بقطع النظر عن سندها، لا أقلّ من جهة أبي هريرة نفسه المخت</w:t>
      </w:r>
      <w:r w:rsidR="000779E5">
        <w:rPr>
          <w:rFonts w:hint="cs"/>
          <w:rtl/>
        </w:rPr>
        <w:t>َ</w:t>
      </w:r>
      <w:r w:rsidRPr="00822CE9">
        <w:rPr>
          <w:rFonts w:hint="cs"/>
          <w:rtl/>
        </w:rPr>
        <w:t>ل</w:t>
      </w:r>
      <w:r w:rsidR="000779E5">
        <w:rPr>
          <w:rFonts w:hint="cs"/>
          <w:rtl/>
        </w:rPr>
        <w:t>َ</w:t>
      </w:r>
      <w:r w:rsidRPr="00822CE9">
        <w:rPr>
          <w:rFonts w:hint="cs"/>
          <w:rtl/>
        </w:rPr>
        <w:t>ف فيه بين المسلمين ـ لا ي</w:t>
      </w:r>
      <w:r w:rsidR="000779E5">
        <w:rPr>
          <w:rFonts w:hint="cs"/>
          <w:rtl/>
        </w:rPr>
        <w:t>ُ</w:t>
      </w:r>
      <w:r w:rsidRPr="00822CE9">
        <w:rPr>
          <w:rFonts w:hint="cs"/>
          <w:rtl/>
        </w:rPr>
        <w:t>ستدلّ بها هنا؛ لأن</w:t>
      </w:r>
      <w:r w:rsidR="000779E5">
        <w:rPr>
          <w:rFonts w:hint="cs"/>
          <w:rtl/>
        </w:rPr>
        <w:t>ّ</w:t>
      </w:r>
      <w:r w:rsidRPr="00822CE9">
        <w:rPr>
          <w:rFonts w:hint="cs"/>
          <w:rtl/>
        </w:rPr>
        <w:t>ها تقرّر مبدأ إطاعة الحاك</w:t>
      </w:r>
      <w:r w:rsidR="000779E5">
        <w:rPr>
          <w:rFonts w:hint="cs"/>
          <w:rtl/>
        </w:rPr>
        <w:t>م،</w:t>
      </w:r>
      <w:r w:rsidRPr="00822CE9">
        <w:rPr>
          <w:rFonts w:hint="cs"/>
          <w:rtl/>
        </w:rPr>
        <w:t xml:space="preserve"> وليست في مقام البيان من حيث التفاصيل والعوارض، فهي كقوله: أطيعوا الحاكم، أم</w:t>
      </w:r>
      <w:r w:rsidR="000779E5">
        <w:rPr>
          <w:rFonts w:hint="cs"/>
          <w:rtl/>
        </w:rPr>
        <w:t>ّ</w:t>
      </w:r>
      <w:r w:rsidRPr="00822CE9">
        <w:rPr>
          <w:rFonts w:hint="cs"/>
          <w:rtl/>
        </w:rPr>
        <w:t>ا من هو الحاكم؟ وهل يجب طاعة من سقط عن شرعي</w:t>
      </w:r>
      <w:r w:rsidR="000779E5">
        <w:rPr>
          <w:rFonts w:hint="cs"/>
          <w:rtl/>
        </w:rPr>
        <w:t>ّ</w:t>
      </w:r>
      <w:r w:rsidRPr="00822CE9">
        <w:rPr>
          <w:rFonts w:hint="cs"/>
          <w:rtl/>
        </w:rPr>
        <w:t>ة الحكومة أو صار ظالماً منحرفاً أو..؟ فهذا كلّه مسكوت</w:t>
      </w:r>
      <w:r w:rsidR="000779E5">
        <w:rPr>
          <w:rFonts w:hint="cs"/>
          <w:rtl/>
        </w:rPr>
        <w:t>ٌ</w:t>
      </w:r>
      <w:r w:rsidRPr="00822CE9">
        <w:rPr>
          <w:rFonts w:hint="cs"/>
          <w:rtl/>
        </w:rPr>
        <w:t xml:space="preserve"> عنه، فلا إطلاق فيها </w:t>
      </w:r>
      <w:r w:rsidRPr="00822CE9">
        <w:rPr>
          <w:rFonts w:hint="cs"/>
          <w:rtl/>
        </w:rPr>
        <w:lastRenderedPageBreak/>
        <w:t>من هذه النواحي ليتمسّك بها هنا</w:t>
      </w:r>
      <w:r w:rsidR="000779E5">
        <w:rPr>
          <w:rFonts w:hint="cs"/>
          <w:rtl/>
        </w:rPr>
        <w:t xml:space="preserve">، وبخاصّة مع تعبير: </w:t>
      </w:r>
      <w:r w:rsidR="000779E5">
        <w:rPr>
          <w:rFonts w:hint="eastAsia"/>
          <w:rtl/>
        </w:rPr>
        <w:t>«أميري</w:t>
      </w:r>
      <w:r w:rsidR="000779E5">
        <w:rPr>
          <w:rFonts w:hint="cs"/>
          <w:rtl/>
        </w:rPr>
        <w:t>»</w:t>
      </w:r>
      <w:r w:rsidRPr="00822CE9">
        <w:rPr>
          <w:rFonts w:hint="cs"/>
          <w:rtl/>
        </w:rPr>
        <w:t>.</w:t>
      </w:r>
    </w:p>
    <w:p w14:paraId="1F9EF8F8" w14:textId="77777777" w:rsidR="00441F24" w:rsidRPr="00822CE9" w:rsidRDefault="00441F24" w:rsidP="008F1C8D">
      <w:pPr>
        <w:spacing w:line="214" w:lineRule="auto"/>
        <w:rPr>
          <w:rtl/>
        </w:rPr>
      </w:pPr>
      <w:r>
        <w:rPr>
          <w:rFonts w:hint="cs"/>
          <w:rtl/>
        </w:rPr>
        <w:t>ومعنى ذلك أيضاً أنّ الخارج على الحاكم لا يرى شرعيّة حكمه، فهو لا يعتبره أميراً شرعيّا</w:t>
      </w:r>
      <w:r w:rsidR="008F1C8D">
        <w:rPr>
          <w:rFonts w:hint="cs"/>
          <w:rtl/>
        </w:rPr>
        <w:t xml:space="preserve">ً، </w:t>
      </w:r>
      <w:r>
        <w:rPr>
          <w:rFonts w:hint="cs"/>
          <w:rtl/>
        </w:rPr>
        <w:t>في حين أنّ منظور الكثير من هذه النصوص هو الحاكم الشرعي، فتطبيق هذه النصوص في حقّ الخارج على الحاكم مع افتراض أنّه لا يراه حاكماً شرعيّاً نوعٌ من التمسّك بالعام في الشبهة المصداقيّة للعام نفسه.</w:t>
      </w:r>
    </w:p>
    <w:p w14:paraId="30C2018F" w14:textId="77777777" w:rsidR="000A4159" w:rsidRPr="00822CE9" w:rsidRDefault="000A4159" w:rsidP="00E94340">
      <w:pPr>
        <w:spacing w:line="214" w:lineRule="auto"/>
        <w:rPr>
          <w:rtl/>
        </w:rPr>
      </w:pPr>
      <w:r w:rsidRPr="000779E5">
        <w:rPr>
          <w:rFonts w:hint="cs"/>
          <w:b/>
          <w:bCs/>
          <w:rtl/>
        </w:rPr>
        <w:t>ب ـ</w:t>
      </w:r>
      <w:r w:rsidRPr="00822CE9">
        <w:rPr>
          <w:rFonts w:hint="cs"/>
          <w:rtl/>
        </w:rPr>
        <w:t xml:space="preserve"> يضاف إلى ذلك أنّه في بعض الأسانيد لا يوجد هذا المقطع في الرواية، فيحصل لنا تردّد في القضيّة، هل أ</w:t>
      </w:r>
      <w:r w:rsidR="000779E5">
        <w:rPr>
          <w:rFonts w:hint="cs"/>
          <w:rtl/>
        </w:rPr>
        <w:t>ُق</w:t>
      </w:r>
      <w:r w:rsidRPr="00822CE9">
        <w:rPr>
          <w:rFonts w:hint="cs"/>
          <w:rtl/>
        </w:rPr>
        <w:t>حم هذا النص</w:t>
      </w:r>
      <w:r w:rsidR="000779E5">
        <w:rPr>
          <w:rFonts w:hint="cs"/>
          <w:rtl/>
        </w:rPr>
        <w:t>ّ</w:t>
      </w:r>
      <w:r w:rsidRPr="00822CE9">
        <w:rPr>
          <w:rFonts w:hint="cs"/>
          <w:rtl/>
        </w:rPr>
        <w:t xml:space="preserve"> وزيد</w:t>
      </w:r>
      <w:r w:rsidR="000779E5">
        <w:rPr>
          <w:rFonts w:hint="cs"/>
          <w:rtl/>
        </w:rPr>
        <w:t>َ</w:t>
      </w:r>
      <w:r w:rsidRPr="00822CE9">
        <w:rPr>
          <w:rFonts w:hint="cs"/>
          <w:rtl/>
        </w:rPr>
        <w:t xml:space="preserve"> أ</w:t>
      </w:r>
      <w:r w:rsidR="000779E5">
        <w:rPr>
          <w:rFonts w:hint="cs"/>
          <w:rtl/>
        </w:rPr>
        <w:t>و أُ</w:t>
      </w:r>
      <w:r w:rsidRPr="00822CE9">
        <w:rPr>
          <w:rFonts w:hint="cs"/>
          <w:rtl/>
        </w:rPr>
        <w:t>نق</w:t>
      </w:r>
      <w:r w:rsidR="00E94340">
        <w:rPr>
          <w:rFonts w:hint="cs"/>
          <w:rtl/>
        </w:rPr>
        <w:t>ص</w:t>
      </w:r>
      <w:r w:rsidRPr="00822CE9">
        <w:rPr>
          <w:rFonts w:hint="cs"/>
          <w:rtl/>
        </w:rPr>
        <w:t xml:space="preserve"> من قبل بعضهم</w:t>
      </w:r>
      <w:r w:rsidR="000779E5">
        <w:rPr>
          <w:rFonts w:hint="cs"/>
          <w:rtl/>
        </w:rPr>
        <w:t>،</w:t>
      </w:r>
      <w:r w:rsidRPr="00822CE9">
        <w:rPr>
          <w:rFonts w:hint="cs"/>
          <w:rtl/>
        </w:rPr>
        <w:t xml:space="preserve"> سواء عن عمد أ</w:t>
      </w:r>
      <w:r w:rsidR="000779E5">
        <w:rPr>
          <w:rFonts w:hint="cs"/>
          <w:rtl/>
        </w:rPr>
        <w:t>م</w:t>
      </w:r>
      <w:r w:rsidRPr="00822CE9">
        <w:rPr>
          <w:rFonts w:hint="cs"/>
          <w:rtl/>
        </w:rPr>
        <w:t xml:space="preserve"> </w:t>
      </w:r>
      <w:r w:rsidR="000779E5">
        <w:rPr>
          <w:rFonts w:hint="cs"/>
          <w:rtl/>
        </w:rPr>
        <w:t xml:space="preserve">عن </w:t>
      </w:r>
      <w:r w:rsidRPr="00822CE9">
        <w:rPr>
          <w:rFonts w:hint="cs"/>
          <w:rtl/>
        </w:rPr>
        <w:t>سهو؟</w:t>
      </w:r>
    </w:p>
    <w:p w14:paraId="1DC29F05" w14:textId="77777777" w:rsidR="000A4159" w:rsidRPr="00822CE9" w:rsidRDefault="000A4159" w:rsidP="000779E5">
      <w:pPr>
        <w:spacing w:line="214" w:lineRule="auto"/>
        <w:rPr>
          <w:rtl/>
        </w:rPr>
      </w:pPr>
      <w:r w:rsidRPr="000779E5">
        <w:rPr>
          <w:rFonts w:hint="cs"/>
          <w:b/>
          <w:bCs/>
          <w:rtl/>
        </w:rPr>
        <w:t>ج ـ</w:t>
      </w:r>
      <w:r w:rsidRPr="00822CE9">
        <w:rPr>
          <w:rFonts w:hint="cs"/>
          <w:rtl/>
        </w:rPr>
        <w:t xml:space="preserve"> كما أن</w:t>
      </w:r>
      <w:r w:rsidR="000779E5">
        <w:rPr>
          <w:rFonts w:hint="cs"/>
          <w:rtl/>
        </w:rPr>
        <w:t>ّ</w:t>
      </w:r>
      <w:r w:rsidRPr="00822CE9">
        <w:rPr>
          <w:rFonts w:hint="cs"/>
          <w:rtl/>
        </w:rPr>
        <w:t xml:space="preserve"> الرواية تارةً وردت بعنوان «أميري» وأخرى «الأمير»؛ ونحن نحتمل ـ بناءً عليه ـ احتمالاً قوي</w:t>
      </w:r>
      <w:r w:rsidR="000779E5">
        <w:rPr>
          <w:rFonts w:hint="cs"/>
          <w:rtl/>
        </w:rPr>
        <w:t>ّ</w:t>
      </w:r>
      <w:r w:rsidRPr="00822CE9">
        <w:rPr>
          <w:rFonts w:hint="cs"/>
          <w:rtl/>
        </w:rPr>
        <w:t>اً أنّ المراد بالأمير هنا أمراء السرايا الذين كان يرسلهم رسول الله</w:t>
      </w:r>
      <w:r w:rsidR="000779E5">
        <w:rPr>
          <w:rFonts w:hint="cs"/>
          <w:rtl/>
        </w:rPr>
        <w:t>‘</w:t>
      </w:r>
      <w:r w:rsidRPr="00822CE9">
        <w:rPr>
          <w:rFonts w:hint="cs"/>
          <w:rtl/>
        </w:rPr>
        <w:t>، أي المبعوثون من قبله على فرق الجيش والقتال، فلا يحرز أن</w:t>
      </w:r>
      <w:r w:rsidR="000779E5">
        <w:rPr>
          <w:rFonts w:hint="cs"/>
          <w:rtl/>
        </w:rPr>
        <w:t>ّ</w:t>
      </w:r>
      <w:r w:rsidRPr="00822CE9">
        <w:rPr>
          <w:rFonts w:hint="cs"/>
          <w:rtl/>
        </w:rPr>
        <w:t xml:space="preserve"> لها نظراً إلى مفهوم الإمارة بالمعنى الواسع، </w:t>
      </w:r>
      <w:r w:rsidR="000779E5">
        <w:rPr>
          <w:rFonts w:hint="cs"/>
          <w:rtl/>
        </w:rPr>
        <w:t xml:space="preserve">لا </w:t>
      </w:r>
      <w:r w:rsidRPr="00822CE9">
        <w:rPr>
          <w:rFonts w:hint="cs"/>
          <w:rtl/>
        </w:rPr>
        <w:t>سيما مع عدم كون الأمراء اللاحقين منصوصاً عليهم من النبي</w:t>
      </w:r>
      <w:r w:rsidR="000779E5">
        <w:rPr>
          <w:rFonts w:hint="cs"/>
          <w:rtl/>
        </w:rPr>
        <w:t>ّ‘</w:t>
      </w:r>
      <w:r w:rsidRPr="00822CE9">
        <w:rPr>
          <w:rFonts w:hint="cs"/>
          <w:rtl/>
        </w:rPr>
        <w:t xml:space="preserve"> كأمراء السرايا.</w:t>
      </w:r>
    </w:p>
    <w:p w14:paraId="4E5B5503" w14:textId="77777777" w:rsidR="00FC235E" w:rsidRPr="008F1C8D" w:rsidRDefault="000A4159" w:rsidP="00FC235E">
      <w:pPr>
        <w:spacing w:line="214" w:lineRule="auto"/>
        <w:rPr>
          <w:b/>
          <w:bCs/>
          <w:rtl/>
        </w:rPr>
      </w:pPr>
      <w:r w:rsidRPr="008F1C8D">
        <w:rPr>
          <w:rFonts w:hint="cs"/>
          <w:b/>
          <w:bCs/>
          <w:rtl/>
        </w:rPr>
        <w:t>وعليه، فالاستناد إلى مثل هذه الأحاديث مشكل</w:t>
      </w:r>
      <w:r w:rsidR="000779E5" w:rsidRPr="008F1C8D">
        <w:rPr>
          <w:rFonts w:hint="cs"/>
          <w:b/>
          <w:bCs/>
          <w:rtl/>
        </w:rPr>
        <w:t>ٌ</w:t>
      </w:r>
      <w:r w:rsidRPr="008F1C8D">
        <w:rPr>
          <w:rFonts w:hint="cs"/>
          <w:b/>
          <w:bCs/>
          <w:rtl/>
        </w:rPr>
        <w:t xml:space="preserve"> هنا.</w:t>
      </w:r>
      <w:r w:rsidR="00FC235E" w:rsidRPr="008F1C8D">
        <w:rPr>
          <w:rFonts w:hint="cs"/>
          <w:b/>
          <w:bCs/>
          <w:rtl/>
        </w:rPr>
        <w:t xml:space="preserve"> ومثلها النصوص التي تستخدم عبارة </w:t>
      </w:r>
      <w:r w:rsidR="00FC235E" w:rsidRPr="008F1C8D">
        <w:rPr>
          <w:rFonts w:cs="Cambria" w:hint="cs"/>
          <w:b/>
          <w:bCs/>
          <w:rtl/>
        </w:rPr>
        <w:t>"</w:t>
      </w:r>
      <w:r w:rsidR="00FC235E" w:rsidRPr="008F1C8D">
        <w:rPr>
          <w:rFonts w:hint="cs"/>
          <w:b/>
          <w:bCs/>
          <w:rtl/>
        </w:rPr>
        <w:t>سلطان الله</w:t>
      </w:r>
      <w:r w:rsidR="00FC235E" w:rsidRPr="008F1C8D">
        <w:rPr>
          <w:rFonts w:cs="Cambria" w:hint="cs"/>
          <w:b/>
          <w:bCs/>
          <w:rtl/>
        </w:rPr>
        <w:t>"</w:t>
      </w:r>
      <w:r w:rsidR="00FC235E" w:rsidRPr="008F1C8D">
        <w:rPr>
          <w:rFonts w:hint="cs"/>
          <w:b/>
          <w:bCs/>
          <w:rtl/>
        </w:rPr>
        <w:t xml:space="preserve"> فإنّها أظهر في كونه من الله سبحانه ومرضيّاً عنه، لا مطلق السلطان، فراجع حتى لا نطيل.</w:t>
      </w:r>
    </w:p>
    <w:p w14:paraId="20D937E6" w14:textId="77777777" w:rsidR="000A4159" w:rsidRPr="00822CE9" w:rsidRDefault="000A4159" w:rsidP="005D35B4">
      <w:pPr>
        <w:pStyle w:val="normal870"/>
        <w:rPr>
          <w:rtl/>
        </w:rPr>
      </w:pPr>
      <w:r w:rsidRPr="000779E5">
        <w:rPr>
          <w:rFonts w:hint="cs"/>
          <w:b/>
          <w:bCs/>
          <w:rtl/>
        </w:rPr>
        <w:t>الرواية التاسعة: خبر أبي هريرة</w:t>
      </w:r>
      <w:r w:rsidR="000779E5">
        <w:rPr>
          <w:rFonts w:hint="cs"/>
          <w:rtl/>
        </w:rPr>
        <w:t>،</w:t>
      </w:r>
      <w:r w:rsidRPr="00822CE9">
        <w:rPr>
          <w:rFonts w:hint="cs"/>
          <w:rtl/>
        </w:rPr>
        <w:t xml:space="preserve"> قال: </w:t>
      </w:r>
      <w:r w:rsidR="000779E5">
        <w:rPr>
          <w:rFonts w:hint="eastAsia"/>
          <w:rtl/>
        </w:rPr>
        <w:t>«</w:t>
      </w:r>
      <w:r w:rsidRPr="00822CE9">
        <w:rPr>
          <w:rFonts w:hint="cs"/>
          <w:rtl/>
        </w:rPr>
        <w:t>إن</w:t>
      </w:r>
      <w:r w:rsidR="000779E5">
        <w:rPr>
          <w:rFonts w:hint="cs"/>
          <w:rtl/>
        </w:rPr>
        <w:t>ّ</w:t>
      </w:r>
      <w:r w:rsidRPr="00822CE9">
        <w:rPr>
          <w:rFonts w:hint="cs"/>
          <w:rtl/>
        </w:rPr>
        <w:t xml:space="preserve"> خليلي أوصاني أن أسمع وأطيع وإن كان عبداً م</w:t>
      </w:r>
      <w:r w:rsidR="00E94340">
        <w:rPr>
          <w:rFonts w:hint="cs"/>
          <w:rtl/>
        </w:rPr>
        <w:t>ُ</w:t>
      </w:r>
      <w:r w:rsidRPr="00822CE9">
        <w:rPr>
          <w:rFonts w:hint="cs"/>
          <w:rtl/>
        </w:rPr>
        <w:t>ج</w:t>
      </w:r>
      <w:r w:rsidR="00E94340">
        <w:rPr>
          <w:rFonts w:hint="cs"/>
          <w:rtl/>
        </w:rPr>
        <w:t>َ</w:t>
      </w:r>
      <w:r w:rsidRPr="00822CE9">
        <w:rPr>
          <w:rFonts w:hint="cs"/>
          <w:rtl/>
        </w:rPr>
        <w:t>د</w:t>
      </w:r>
      <w:r w:rsidR="00E94340">
        <w:rPr>
          <w:rFonts w:hint="cs"/>
          <w:rtl/>
        </w:rPr>
        <w:t>َّ</w:t>
      </w:r>
      <w:r w:rsidRPr="00822CE9">
        <w:rPr>
          <w:rFonts w:hint="cs"/>
          <w:rtl/>
        </w:rPr>
        <w:t>ع الأطراف</w:t>
      </w:r>
      <w:r w:rsidR="00E94340" w:rsidRPr="000A4159">
        <w:rPr>
          <w:rFonts w:cs="Taher"/>
          <w:vertAlign w:val="superscript"/>
          <w:rtl/>
        </w:rPr>
        <w:t>(</w:t>
      </w:r>
      <w:r w:rsidR="00E94340" w:rsidRPr="000A4159">
        <w:rPr>
          <w:rStyle w:val="FootnoteReference"/>
          <w:rFonts w:cs="Taher"/>
          <w:rtl/>
        </w:rPr>
        <w:footnoteReference w:id="340"/>
      </w:r>
      <w:r w:rsidR="00E94340" w:rsidRPr="000A4159">
        <w:rPr>
          <w:rFonts w:cs="Taher"/>
          <w:vertAlign w:val="superscript"/>
          <w:rtl/>
        </w:rPr>
        <w:t>)</w:t>
      </w:r>
      <w:r w:rsidRPr="00822CE9">
        <w:rPr>
          <w:rFonts w:hint="cs"/>
          <w:rtl/>
        </w:rPr>
        <w:t>»، ومثله عنه قال: قال رسول الله</w:t>
      </w:r>
      <w:r w:rsidR="000779E5">
        <w:rPr>
          <w:rFonts w:hint="cs"/>
          <w:rtl/>
        </w:rPr>
        <w:t>‘</w:t>
      </w:r>
      <w:r w:rsidRPr="00822CE9">
        <w:rPr>
          <w:rFonts w:hint="cs"/>
          <w:rtl/>
        </w:rPr>
        <w:t>: «عليك السمع والطاعة في ع</w:t>
      </w:r>
      <w:r w:rsidR="000779E5">
        <w:rPr>
          <w:rFonts w:hint="cs"/>
          <w:rtl/>
        </w:rPr>
        <w:t>ُ</w:t>
      </w:r>
      <w:r w:rsidRPr="00822CE9">
        <w:rPr>
          <w:rFonts w:hint="cs"/>
          <w:rtl/>
        </w:rPr>
        <w:t>سرك وي</w:t>
      </w:r>
      <w:r w:rsidR="000779E5">
        <w:rPr>
          <w:rFonts w:hint="cs"/>
          <w:rtl/>
        </w:rPr>
        <w:t>ُ</w:t>
      </w:r>
      <w:r w:rsidRPr="00822CE9">
        <w:rPr>
          <w:rFonts w:hint="cs"/>
          <w:rtl/>
        </w:rPr>
        <w:t>سرك ومنشطك ومكرهك وأثرة</w:t>
      </w:r>
      <w:r w:rsidR="000779E5">
        <w:rPr>
          <w:rFonts w:hint="cs"/>
          <w:rtl/>
        </w:rPr>
        <w:t>ٍ</w:t>
      </w:r>
      <w:r w:rsidRPr="00822CE9">
        <w:rPr>
          <w:rFonts w:hint="cs"/>
          <w:rtl/>
        </w:rPr>
        <w:t xml:space="preserve"> عليك»، ومثلها أخبار عن يحيى بن الحصين، وشعبة، وابن عمر</w:t>
      </w:r>
      <w:r w:rsidR="000779E5" w:rsidRPr="000A4159">
        <w:rPr>
          <w:rFonts w:cs="Taher"/>
          <w:vertAlign w:val="superscript"/>
          <w:rtl/>
        </w:rPr>
        <w:t>(</w:t>
      </w:r>
      <w:r w:rsidR="000779E5" w:rsidRPr="000A4159">
        <w:rPr>
          <w:rStyle w:val="FootnoteReference"/>
          <w:rFonts w:cs="Taher"/>
          <w:rtl/>
        </w:rPr>
        <w:footnoteReference w:id="341"/>
      </w:r>
      <w:r w:rsidR="000779E5" w:rsidRPr="000A4159">
        <w:rPr>
          <w:rFonts w:cs="Taher"/>
          <w:vertAlign w:val="superscript"/>
          <w:rtl/>
        </w:rPr>
        <w:t>)</w:t>
      </w:r>
      <w:r w:rsidRPr="00822CE9">
        <w:rPr>
          <w:rFonts w:hint="cs"/>
          <w:rtl/>
        </w:rPr>
        <w:t>.</w:t>
      </w:r>
    </w:p>
    <w:p w14:paraId="484223EF" w14:textId="77777777" w:rsidR="000A4159" w:rsidRDefault="000A4159" w:rsidP="005D35B4">
      <w:pPr>
        <w:pStyle w:val="normal84"/>
        <w:rPr>
          <w:rtl/>
        </w:rPr>
      </w:pPr>
      <w:r w:rsidRPr="000779E5">
        <w:rPr>
          <w:rFonts w:hint="cs"/>
          <w:b/>
          <w:bCs/>
          <w:rtl/>
        </w:rPr>
        <w:t>وهذه الرواية وأمثالها ـ مهما كانت أسانيدها ـ لا تفيد هنا أيضاً؛</w:t>
      </w:r>
      <w:r w:rsidRPr="00822CE9">
        <w:rPr>
          <w:rFonts w:hint="cs"/>
          <w:rtl/>
        </w:rPr>
        <w:t xml:space="preserve"> لأن</w:t>
      </w:r>
      <w:r w:rsidR="000779E5">
        <w:rPr>
          <w:rFonts w:hint="cs"/>
          <w:rtl/>
        </w:rPr>
        <w:t>ّ</w:t>
      </w:r>
      <w:r w:rsidRPr="00822CE9">
        <w:rPr>
          <w:rFonts w:hint="cs"/>
          <w:rtl/>
        </w:rPr>
        <w:t>ها بصدد الحديث عن أصل طاعة الحك</w:t>
      </w:r>
      <w:r w:rsidR="000779E5">
        <w:rPr>
          <w:rFonts w:hint="cs"/>
          <w:rtl/>
        </w:rPr>
        <w:t>ّ</w:t>
      </w:r>
      <w:r w:rsidRPr="00822CE9">
        <w:rPr>
          <w:rFonts w:hint="cs"/>
          <w:rtl/>
        </w:rPr>
        <w:t>ام، ولا تتصد</w:t>
      </w:r>
      <w:r w:rsidR="000779E5">
        <w:rPr>
          <w:rFonts w:hint="cs"/>
          <w:rtl/>
        </w:rPr>
        <w:t>ّ</w:t>
      </w:r>
      <w:r w:rsidRPr="00822CE9">
        <w:rPr>
          <w:rFonts w:hint="cs"/>
          <w:rtl/>
        </w:rPr>
        <w:t xml:space="preserve">ى للتفاصيل والطوارئ، </w:t>
      </w:r>
      <w:r w:rsidR="000779E5">
        <w:rPr>
          <w:rFonts w:hint="cs"/>
          <w:rtl/>
        </w:rPr>
        <w:t xml:space="preserve">ولا </w:t>
      </w:r>
      <w:r w:rsidRPr="00822CE9">
        <w:rPr>
          <w:rFonts w:hint="cs"/>
          <w:rtl/>
        </w:rPr>
        <w:t>سيما أن</w:t>
      </w:r>
      <w:r w:rsidR="000779E5">
        <w:rPr>
          <w:rFonts w:hint="cs"/>
          <w:rtl/>
        </w:rPr>
        <w:t>ّ</w:t>
      </w:r>
      <w:r w:rsidRPr="00822CE9">
        <w:rPr>
          <w:rFonts w:hint="cs"/>
          <w:rtl/>
        </w:rPr>
        <w:t xml:space="preserve"> بعضها قي</w:t>
      </w:r>
      <w:r w:rsidR="000779E5">
        <w:rPr>
          <w:rFonts w:hint="cs"/>
          <w:rtl/>
        </w:rPr>
        <w:t>ّ</w:t>
      </w:r>
      <w:r w:rsidRPr="00822CE9">
        <w:rPr>
          <w:rFonts w:hint="cs"/>
          <w:rtl/>
        </w:rPr>
        <w:t>د الطاعة بأن لا تكون في معصية، وبعضها قي</w:t>
      </w:r>
      <w:r w:rsidR="000779E5">
        <w:rPr>
          <w:rFonts w:hint="cs"/>
          <w:rtl/>
        </w:rPr>
        <w:t>ّد</w:t>
      </w:r>
      <w:r w:rsidRPr="00822CE9">
        <w:rPr>
          <w:rFonts w:hint="cs"/>
          <w:rtl/>
        </w:rPr>
        <w:t>ها بما دام الحاكم يعمل بكتاب الله، فبعض ألسنة هذه الروايات ضدّ من يريد الاستدلال بها هنا، فهي مستند</w:t>
      </w:r>
      <w:r w:rsidR="000779E5">
        <w:rPr>
          <w:rFonts w:hint="cs"/>
          <w:rtl/>
        </w:rPr>
        <w:t>ٌ</w:t>
      </w:r>
      <w:r w:rsidRPr="00822CE9">
        <w:rPr>
          <w:rFonts w:hint="cs"/>
          <w:rtl/>
        </w:rPr>
        <w:t xml:space="preserve"> غير قوي هنا </w:t>
      </w:r>
      <w:r w:rsidR="000779E5">
        <w:rPr>
          <w:rFonts w:hint="cs"/>
          <w:rtl/>
        </w:rPr>
        <w:t>إطلاقاً.</w:t>
      </w:r>
    </w:p>
    <w:p w14:paraId="2C695633" w14:textId="77777777" w:rsidR="00441F24" w:rsidRPr="00822CE9" w:rsidRDefault="00441F24" w:rsidP="00441F24">
      <w:pPr>
        <w:spacing w:line="214" w:lineRule="auto"/>
        <w:rPr>
          <w:rtl/>
        </w:rPr>
      </w:pPr>
      <w:r w:rsidRPr="008F1C8D">
        <w:rPr>
          <w:rFonts w:hint="cs"/>
          <w:b/>
          <w:bCs/>
          <w:rtl/>
        </w:rPr>
        <w:t xml:space="preserve">وأمّا تعبير المنشط والمكره والعسر واليسر وأمثالها فلا علاقة لها بموضوعنا، بل هي تريد أن </w:t>
      </w:r>
      <w:r w:rsidRPr="008F1C8D">
        <w:rPr>
          <w:rFonts w:hint="cs"/>
          <w:b/>
          <w:bCs/>
          <w:rtl/>
        </w:rPr>
        <w:lastRenderedPageBreak/>
        <w:t>تطالب المسلمين بالطاعة للحاكم، سواء كانوا متحمّسين لها أم لا،</w:t>
      </w:r>
      <w:r>
        <w:rPr>
          <w:rFonts w:hint="cs"/>
          <w:rtl/>
        </w:rPr>
        <w:t xml:space="preserve"> وسواء كانت الظروف ظروف يُسر أم ظروف عُسر، فهي تندّد بمن يطيع الحاكم عندما تكون في الطاعة راحةٌ له أو مصلحة، أمّا عندما تكلّفه الطاعة وتفرض عليه تحدّيات فهو يتخلّى عنها ويتباطأ، وأين هذا من موضوعنا هنا؟!</w:t>
      </w:r>
    </w:p>
    <w:p w14:paraId="601CBC37" w14:textId="77777777" w:rsidR="000A4159" w:rsidRPr="00822CE9" w:rsidRDefault="000A4159" w:rsidP="000779E5">
      <w:pPr>
        <w:spacing w:line="214" w:lineRule="auto"/>
        <w:rPr>
          <w:rtl/>
        </w:rPr>
      </w:pPr>
      <w:r w:rsidRPr="000779E5">
        <w:rPr>
          <w:rFonts w:hint="cs"/>
          <w:b/>
          <w:bCs/>
          <w:rtl/>
        </w:rPr>
        <w:t>الرواية العاشرة: خبر أبي هريرة أيضاً</w:t>
      </w:r>
      <w:r w:rsidR="000779E5">
        <w:rPr>
          <w:rFonts w:hint="cs"/>
          <w:b/>
          <w:bCs/>
          <w:rtl/>
        </w:rPr>
        <w:t>،</w:t>
      </w:r>
      <w:r w:rsidRPr="000779E5">
        <w:rPr>
          <w:rFonts w:hint="cs"/>
          <w:b/>
          <w:bCs/>
          <w:rtl/>
        </w:rPr>
        <w:t xml:space="preserve"> </w:t>
      </w:r>
      <w:r w:rsidRPr="00822CE9">
        <w:rPr>
          <w:rFonts w:hint="cs"/>
          <w:rtl/>
        </w:rPr>
        <w:t>عن النبي</w:t>
      </w:r>
      <w:r w:rsidR="000779E5">
        <w:rPr>
          <w:rFonts w:hint="cs"/>
          <w:rtl/>
        </w:rPr>
        <w:t>ّ‘</w:t>
      </w:r>
      <w:r w:rsidRPr="00822CE9">
        <w:rPr>
          <w:rFonts w:hint="cs"/>
          <w:rtl/>
        </w:rPr>
        <w:t>: «إن</w:t>
      </w:r>
      <w:r w:rsidR="000779E5">
        <w:rPr>
          <w:rFonts w:hint="cs"/>
          <w:rtl/>
        </w:rPr>
        <w:t>ّ</w:t>
      </w:r>
      <w:r w:rsidRPr="00822CE9">
        <w:rPr>
          <w:rFonts w:hint="cs"/>
          <w:rtl/>
        </w:rPr>
        <w:t>ما الإمام ج</w:t>
      </w:r>
      <w:r w:rsidR="000779E5">
        <w:rPr>
          <w:rFonts w:hint="cs"/>
          <w:rtl/>
        </w:rPr>
        <w:t>ُ</w:t>
      </w:r>
      <w:r w:rsidRPr="00822CE9">
        <w:rPr>
          <w:rFonts w:hint="cs"/>
          <w:rtl/>
        </w:rPr>
        <w:t>ن</w:t>
      </w:r>
      <w:r w:rsidR="000779E5">
        <w:rPr>
          <w:rFonts w:hint="cs"/>
          <w:rtl/>
        </w:rPr>
        <w:t>ّ</w:t>
      </w:r>
      <w:r w:rsidRPr="00822CE9">
        <w:rPr>
          <w:rFonts w:hint="cs"/>
          <w:rtl/>
        </w:rPr>
        <w:t>ة</w:t>
      </w:r>
      <w:r w:rsidR="00277979">
        <w:rPr>
          <w:rFonts w:hint="cs"/>
          <w:rtl/>
        </w:rPr>
        <w:t>ٌ</w:t>
      </w:r>
      <w:r w:rsidRPr="00822CE9">
        <w:rPr>
          <w:rFonts w:hint="cs"/>
          <w:rtl/>
        </w:rPr>
        <w:t xml:space="preserve"> ي</w:t>
      </w:r>
      <w:r w:rsidR="00277979">
        <w:rPr>
          <w:rFonts w:hint="cs"/>
          <w:rtl/>
        </w:rPr>
        <w:t>ُ</w:t>
      </w:r>
      <w:r w:rsidRPr="00822CE9">
        <w:rPr>
          <w:rFonts w:hint="cs"/>
          <w:rtl/>
        </w:rPr>
        <w:t>ق</w:t>
      </w:r>
      <w:r w:rsidR="00277979">
        <w:rPr>
          <w:rFonts w:hint="cs"/>
          <w:rtl/>
        </w:rPr>
        <w:t>َ</w:t>
      </w:r>
      <w:r w:rsidRPr="00822CE9">
        <w:rPr>
          <w:rFonts w:hint="cs"/>
          <w:rtl/>
        </w:rPr>
        <w:t>ات</w:t>
      </w:r>
      <w:r w:rsidR="000779E5">
        <w:rPr>
          <w:rFonts w:hint="cs"/>
          <w:rtl/>
        </w:rPr>
        <w:t>َ</w:t>
      </w:r>
      <w:r w:rsidRPr="00822CE9">
        <w:rPr>
          <w:rFonts w:hint="cs"/>
          <w:rtl/>
        </w:rPr>
        <w:t>ل م</w:t>
      </w:r>
      <w:r w:rsidR="00277979">
        <w:rPr>
          <w:rFonts w:hint="cs"/>
          <w:rtl/>
        </w:rPr>
        <w:t>ِ</w:t>
      </w:r>
      <w:r w:rsidRPr="00822CE9">
        <w:rPr>
          <w:rFonts w:hint="cs"/>
          <w:rtl/>
        </w:rPr>
        <w:t>ن ورائه وي</w:t>
      </w:r>
      <w:r w:rsidR="000779E5">
        <w:rPr>
          <w:rFonts w:hint="cs"/>
          <w:rtl/>
        </w:rPr>
        <w:t>ُ</w:t>
      </w:r>
      <w:r w:rsidRPr="00822CE9">
        <w:rPr>
          <w:rFonts w:hint="cs"/>
          <w:rtl/>
        </w:rPr>
        <w:t>ت</w:t>
      </w:r>
      <w:r w:rsidR="00277979">
        <w:rPr>
          <w:rFonts w:hint="cs"/>
          <w:rtl/>
        </w:rPr>
        <w:t>ّ</w:t>
      </w:r>
      <w:r w:rsidRPr="00822CE9">
        <w:rPr>
          <w:rFonts w:hint="cs"/>
          <w:rtl/>
        </w:rPr>
        <w:t>ق</w:t>
      </w:r>
      <w:r w:rsidR="00277979">
        <w:rPr>
          <w:rFonts w:hint="cs"/>
          <w:rtl/>
        </w:rPr>
        <w:t>َ</w:t>
      </w:r>
      <w:r w:rsidRPr="00822CE9">
        <w:rPr>
          <w:rFonts w:hint="cs"/>
          <w:rtl/>
        </w:rPr>
        <w:t>ى به</w:t>
      </w:r>
      <w:r w:rsidR="000779E5">
        <w:rPr>
          <w:rFonts w:hint="cs"/>
          <w:rtl/>
        </w:rPr>
        <w:t>،</w:t>
      </w:r>
      <w:r w:rsidRPr="00822CE9">
        <w:rPr>
          <w:rFonts w:hint="cs"/>
          <w:rtl/>
        </w:rPr>
        <w:t xml:space="preserve"> فإن أمر بتقوى الله عز</w:t>
      </w:r>
      <w:r w:rsidR="000779E5">
        <w:rPr>
          <w:rFonts w:hint="cs"/>
          <w:rtl/>
        </w:rPr>
        <w:t>ّ</w:t>
      </w:r>
      <w:r w:rsidRPr="00822CE9">
        <w:rPr>
          <w:rFonts w:hint="cs"/>
          <w:rtl/>
        </w:rPr>
        <w:t xml:space="preserve"> وجل وعدل كان له بذلك أجر، وإن يأمر بغيره كان عليه منه»</w:t>
      </w:r>
      <w:r w:rsidRPr="000A4159">
        <w:rPr>
          <w:rFonts w:cs="Taher"/>
          <w:vertAlign w:val="superscript"/>
          <w:rtl/>
        </w:rPr>
        <w:t>(</w:t>
      </w:r>
      <w:r w:rsidRPr="000A4159">
        <w:rPr>
          <w:rStyle w:val="FootnoteReference"/>
          <w:rFonts w:cs="Taher"/>
          <w:rtl/>
        </w:rPr>
        <w:footnoteReference w:id="342"/>
      </w:r>
      <w:r w:rsidRPr="000A4159">
        <w:rPr>
          <w:rFonts w:cs="Taher"/>
          <w:vertAlign w:val="superscript"/>
          <w:rtl/>
        </w:rPr>
        <w:t>)</w:t>
      </w:r>
      <w:r w:rsidRPr="00822CE9">
        <w:rPr>
          <w:rtl/>
        </w:rPr>
        <w:t>.</w:t>
      </w:r>
    </w:p>
    <w:p w14:paraId="496D7414" w14:textId="77777777" w:rsidR="000A4159" w:rsidRPr="00822CE9" w:rsidRDefault="000A4159" w:rsidP="0084368D">
      <w:pPr>
        <w:spacing w:line="214" w:lineRule="auto"/>
        <w:rPr>
          <w:rtl/>
        </w:rPr>
      </w:pPr>
      <w:r w:rsidRPr="00822CE9">
        <w:rPr>
          <w:rFonts w:hint="cs"/>
          <w:rtl/>
        </w:rPr>
        <w:t>وظاهر الرواية أن</w:t>
      </w:r>
      <w:r w:rsidR="000779E5">
        <w:rPr>
          <w:rFonts w:hint="cs"/>
          <w:rtl/>
        </w:rPr>
        <w:t>ّ</w:t>
      </w:r>
      <w:r w:rsidRPr="00822CE9">
        <w:rPr>
          <w:rFonts w:hint="cs"/>
          <w:rtl/>
        </w:rPr>
        <w:t xml:space="preserve"> الإمام ج</w:t>
      </w:r>
      <w:r w:rsidR="000779E5">
        <w:rPr>
          <w:rFonts w:hint="cs"/>
          <w:rtl/>
        </w:rPr>
        <w:t>ُ</w:t>
      </w:r>
      <w:r w:rsidRPr="00822CE9">
        <w:rPr>
          <w:rFonts w:hint="cs"/>
          <w:rtl/>
        </w:rPr>
        <w:t>نة يق</w:t>
      </w:r>
      <w:r w:rsidR="000779E5">
        <w:rPr>
          <w:rFonts w:hint="cs"/>
          <w:rtl/>
        </w:rPr>
        <w:t>ا</w:t>
      </w:r>
      <w:r w:rsidRPr="00822CE9">
        <w:rPr>
          <w:rFonts w:hint="cs"/>
          <w:rtl/>
        </w:rPr>
        <w:t xml:space="preserve">تل معه حتى لو أمر بغير التقوى </w:t>
      </w:r>
      <w:r w:rsidR="00A923DF">
        <w:rPr>
          <w:rFonts w:hint="cs"/>
          <w:rtl/>
        </w:rPr>
        <w:t>حيث ي</w:t>
      </w:r>
      <w:r w:rsidRPr="00822CE9">
        <w:rPr>
          <w:rFonts w:hint="cs"/>
          <w:rtl/>
        </w:rPr>
        <w:t>تحم</w:t>
      </w:r>
      <w:r w:rsidR="00277979">
        <w:rPr>
          <w:rFonts w:hint="cs"/>
          <w:rtl/>
        </w:rPr>
        <w:t>ّل</w:t>
      </w:r>
      <w:r w:rsidRPr="00822CE9">
        <w:rPr>
          <w:rFonts w:hint="cs"/>
          <w:rtl/>
        </w:rPr>
        <w:t xml:space="preserve"> هو بنفس</w:t>
      </w:r>
      <w:r w:rsidR="0084368D">
        <w:rPr>
          <w:rFonts w:hint="cs"/>
          <w:rtl/>
        </w:rPr>
        <w:t>ه الوزر، فعدم تعرّضها لرفضه والإ</w:t>
      </w:r>
      <w:r w:rsidRPr="00822CE9">
        <w:rPr>
          <w:rFonts w:hint="cs"/>
          <w:rtl/>
        </w:rPr>
        <w:t>نكار عل</w:t>
      </w:r>
      <w:r w:rsidR="0084368D">
        <w:rPr>
          <w:rFonts w:hint="cs"/>
          <w:rtl/>
        </w:rPr>
        <w:t>يه</w:t>
      </w:r>
      <w:r w:rsidRPr="00822CE9">
        <w:rPr>
          <w:rFonts w:hint="cs"/>
          <w:rtl/>
        </w:rPr>
        <w:t xml:space="preserve"> والإبقاء على و</w:t>
      </w:r>
      <w:r w:rsidR="0084368D">
        <w:rPr>
          <w:rFonts w:hint="cs"/>
          <w:rtl/>
        </w:rPr>
        <w:t>صفه</w:t>
      </w:r>
      <w:r w:rsidRPr="00822CE9">
        <w:rPr>
          <w:rFonts w:hint="cs"/>
          <w:rtl/>
        </w:rPr>
        <w:t xml:space="preserve"> بالج</w:t>
      </w:r>
      <w:r w:rsidR="0084368D">
        <w:rPr>
          <w:rFonts w:hint="cs"/>
          <w:rtl/>
        </w:rPr>
        <w:t>ُ</w:t>
      </w:r>
      <w:r w:rsidRPr="00822CE9">
        <w:rPr>
          <w:rFonts w:hint="cs"/>
          <w:rtl/>
        </w:rPr>
        <w:t>ن</w:t>
      </w:r>
      <w:r w:rsidR="0084368D">
        <w:rPr>
          <w:rFonts w:hint="cs"/>
          <w:rtl/>
        </w:rPr>
        <w:t>ّ</w:t>
      </w:r>
      <w:r w:rsidRPr="00822CE9">
        <w:rPr>
          <w:rFonts w:hint="cs"/>
          <w:rtl/>
        </w:rPr>
        <w:t>ة و.. دليل</w:t>
      </w:r>
      <w:r w:rsidR="0084368D">
        <w:rPr>
          <w:rFonts w:hint="cs"/>
          <w:rtl/>
        </w:rPr>
        <w:t>ٌ</w:t>
      </w:r>
      <w:r w:rsidRPr="00822CE9">
        <w:rPr>
          <w:rFonts w:hint="cs"/>
          <w:rtl/>
        </w:rPr>
        <w:t xml:space="preserve"> على لزوم البقاء على بيعته وحرمة التخلّف عنه.</w:t>
      </w:r>
    </w:p>
    <w:p w14:paraId="070B04E7" w14:textId="77777777" w:rsidR="000A4159" w:rsidRDefault="000A4159" w:rsidP="00A079D6">
      <w:pPr>
        <w:spacing w:line="214" w:lineRule="auto"/>
        <w:rPr>
          <w:rtl/>
        </w:rPr>
      </w:pPr>
      <w:r w:rsidRPr="00822CE9">
        <w:rPr>
          <w:rFonts w:hint="cs"/>
          <w:rtl/>
        </w:rPr>
        <w:t>والمشكلة في الرواية من حيث ورود مثل أبي هريرة في سندها، وهو رجل الشام الذي لا وثوق بروايته في هذه الأمور حتى لو كان ثقةً في نفسه، فضلاً عن الخلاف فيه حتى بين أهل السنّة.</w:t>
      </w:r>
    </w:p>
    <w:p w14:paraId="4CC7B908" w14:textId="77777777" w:rsidR="005A2E22" w:rsidRPr="00822CE9" w:rsidRDefault="005A2E22" w:rsidP="005A2E22">
      <w:pPr>
        <w:spacing w:line="214" w:lineRule="auto"/>
        <w:rPr>
          <w:rtl/>
        </w:rPr>
      </w:pPr>
      <w:r>
        <w:rPr>
          <w:rFonts w:hint="cs"/>
          <w:rtl/>
        </w:rPr>
        <w:t>يُضاف إلى ذلك أنّ ذيل الرواية إن قُصدَ منه أنّه يجب علينا طاعة الحاكم حتى لو أمر بمعصية ويتحمّل هو الوزر، فهذا خلاف النصوص الدالّة على أنّه لا طاعة لمخلوق في معصية الخالق.</w:t>
      </w:r>
    </w:p>
    <w:p w14:paraId="25123AB4" w14:textId="77777777" w:rsidR="008F1C8D" w:rsidRDefault="000A4159" w:rsidP="008F1C8D">
      <w:pPr>
        <w:spacing w:line="214" w:lineRule="auto"/>
        <w:rPr>
          <w:rtl/>
        </w:rPr>
      </w:pPr>
      <w:r w:rsidRPr="0084368D">
        <w:rPr>
          <w:rFonts w:hint="cs"/>
          <w:b/>
          <w:bCs/>
          <w:rtl/>
        </w:rPr>
        <w:t>الرواية الحادية عشرة: خبر عبد الله بن عمرو بن العاص</w:t>
      </w:r>
      <w:r w:rsidR="0084368D">
        <w:rPr>
          <w:rFonts w:hint="cs"/>
          <w:rtl/>
        </w:rPr>
        <w:t>،</w:t>
      </w:r>
      <w:r w:rsidRPr="00822CE9">
        <w:rPr>
          <w:rFonts w:hint="cs"/>
          <w:rtl/>
        </w:rPr>
        <w:t xml:space="preserve"> في حديث</w:t>
      </w:r>
      <w:r w:rsidR="0084368D">
        <w:rPr>
          <w:rFonts w:hint="cs"/>
          <w:rtl/>
        </w:rPr>
        <w:t>،</w:t>
      </w:r>
      <w:r w:rsidRPr="00822CE9">
        <w:rPr>
          <w:rFonts w:hint="cs"/>
          <w:rtl/>
        </w:rPr>
        <w:t xml:space="preserve"> قال: كن</w:t>
      </w:r>
      <w:r w:rsidR="0084368D">
        <w:rPr>
          <w:rFonts w:hint="cs"/>
          <w:rtl/>
        </w:rPr>
        <w:t>ّ</w:t>
      </w:r>
      <w:r w:rsidRPr="00822CE9">
        <w:rPr>
          <w:rFonts w:hint="cs"/>
          <w:rtl/>
        </w:rPr>
        <w:t>ا مع رسول الله</w:t>
      </w:r>
      <w:r w:rsidR="0084368D">
        <w:rPr>
          <w:rFonts w:hint="cs"/>
          <w:rtl/>
        </w:rPr>
        <w:t>‘</w:t>
      </w:r>
      <w:r w:rsidRPr="00822CE9">
        <w:rPr>
          <w:rFonts w:hint="cs"/>
          <w:rtl/>
        </w:rPr>
        <w:t xml:space="preserve">.. </w:t>
      </w:r>
      <w:r w:rsidR="0084368D">
        <w:rPr>
          <w:rFonts w:hint="cs"/>
          <w:rtl/>
        </w:rPr>
        <w:t xml:space="preserve">قال: </w:t>
      </w:r>
      <w:r w:rsidRPr="00822CE9">
        <w:rPr>
          <w:rFonts w:hint="cs"/>
          <w:rtl/>
        </w:rPr>
        <w:t>«.. ومن بايع إماماً فأعطاه صفقة يده وثمرة قلبه فلي</w:t>
      </w:r>
      <w:r w:rsidR="0084368D">
        <w:rPr>
          <w:rFonts w:hint="cs"/>
          <w:rtl/>
        </w:rPr>
        <w:t>ُ</w:t>
      </w:r>
      <w:r w:rsidRPr="00822CE9">
        <w:rPr>
          <w:rFonts w:hint="cs"/>
          <w:rtl/>
        </w:rPr>
        <w:t>طعه إن استطاع، فإن جاء آخ</w:t>
      </w:r>
      <w:r w:rsidR="0084368D">
        <w:rPr>
          <w:rFonts w:hint="cs"/>
          <w:rtl/>
        </w:rPr>
        <w:t>َ</w:t>
      </w:r>
      <w:r w:rsidRPr="00822CE9">
        <w:rPr>
          <w:rFonts w:hint="cs"/>
          <w:rtl/>
        </w:rPr>
        <w:t>ر ينازعه فاضربوا عنق الآخر» فدنوت (أي عبد الرحمن بن عبد ربّ الكعبة) منه، فقلت له: أنشدك الله، أنت سمعت هذا من رسول</w:t>
      </w:r>
      <w:r w:rsidR="0084368D">
        <w:rPr>
          <w:rFonts w:hint="cs"/>
          <w:rtl/>
        </w:rPr>
        <w:t xml:space="preserve"> </w:t>
      </w:r>
      <w:r w:rsidRPr="00822CE9">
        <w:rPr>
          <w:rFonts w:hint="cs"/>
          <w:rtl/>
        </w:rPr>
        <w:t>الله؟ فأهوى إلى أذنيه وقلبه بيديه، وقال: سمعته أذناي ووعاه قلبي..</w:t>
      </w:r>
      <w:r w:rsidRPr="000A4159">
        <w:rPr>
          <w:rFonts w:cs="Taher"/>
          <w:vertAlign w:val="superscript"/>
          <w:rtl/>
        </w:rPr>
        <w:t>(</w:t>
      </w:r>
      <w:r w:rsidRPr="000A4159">
        <w:rPr>
          <w:rStyle w:val="FootnoteReference"/>
          <w:rFonts w:cs="Taher"/>
          <w:rtl/>
        </w:rPr>
        <w:footnoteReference w:id="343"/>
      </w:r>
      <w:r w:rsidRPr="000A4159">
        <w:rPr>
          <w:rFonts w:cs="Taher"/>
          <w:vertAlign w:val="superscript"/>
          <w:rtl/>
        </w:rPr>
        <w:t>)</w:t>
      </w:r>
      <w:r w:rsidR="0084368D">
        <w:rPr>
          <w:rFonts w:hint="cs"/>
          <w:rtl/>
        </w:rPr>
        <w:t>.</w:t>
      </w:r>
    </w:p>
    <w:p w14:paraId="4762DA37" w14:textId="77777777" w:rsidR="000A4159" w:rsidRPr="00822CE9" w:rsidRDefault="000A4159" w:rsidP="008F1C8D">
      <w:pPr>
        <w:spacing w:line="214" w:lineRule="auto"/>
        <w:rPr>
          <w:rtl/>
        </w:rPr>
      </w:pPr>
      <w:r w:rsidRPr="00822CE9">
        <w:rPr>
          <w:rFonts w:hint="cs"/>
          <w:rtl/>
        </w:rPr>
        <w:t>وفي خبر</w:t>
      </w:r>
      <w:r w:rsidR="0084368D">
        <w:rPr>
          <w:rFonts w:hint="cs"/>
          <w:rtl/>
        </w:rPr>
        <w:t>ٍ</w:t>
      </w:r>
      <w:r w:rsidRPr="00822CE9">
        <w:rPr>
          <w:rFonts w:hint="cs"/>
          <w:rtl/>
        </w:rPr>
        <w:t xml:space="preserve"> آخر أورده السيد علي خان المدني في «الدرجات الرفيعة» أن</w:t>
      </w:r>
      <w:r w:rsidR="0084368D">
        <w:rPr>
          <w:rFonts w:hint="cs"/>
          <w:rtl/>
        </w:rPr>
        <w:t>ّ</w:t>
      </w:r>
      <w:r w:rsidRPr="00822CE9">
        <w:rPr>
          <w:rFonts w:hint="cs"/>
          <w:rtl/>
        </w:rPr>
        <w:t xml:space="preserve"> عبد الله قال لوالده عمرو بن العاص: لولا أن</w:t>
      </w:r>
      <w:r w:rsidR="0084368D">
        <w:rPr>
          <w:rFonts w:hint="cs"/>
          <w:rtl/>
        </w:rPr>
        <w:t>ّ</w:t>
      </w:r>
      <w:r w:rsidRPr="00822CE9">
        <w:rPr>
          <w:rFonts w:hint="cs"/>
          <w:rtl/>
        </w:rPr>
        <w:t xml:space="preserve"> رسول الله أمر بطاعتك ما سرت معك هذا المسير، أما سمعت</w:t>
      </w:r>
      <w:r w:rsidR="007E3F08">
        <w:rPr>
          <w:rFonts w:hint="cs"/>
          <w:rtl/>
        </w:rPr>
        <w:t>َ</w:t>
      </w:r>
      <w:r w:rsidRPr="00822CE9">
        <w:rPr>
          <w:rFonts w:hint="cs"/>
          <w:rtl/>
        </w:rPr>
        <w:t xml:space="preserve"> رسول </w:t>
      </w:r>
      <w:r w:rsidRPr="00822CE9">
        <w:rPr>
          <w:rFonts w:hint="cs"/>
          <w:rtl/>
        </w:rPr>
        <w:lastRenderedPageBreak/>
        <w:t>الله يقول لعم</w:t>
      </w:r>
      <w:r w:rsidR="007E3F08">
        <w:rPr>
          <w:rFonts w:hint="cs"/>
          <w:rtl/>
        </w:rPr>
        <w:t>ّ</w:t>
      </w:r>
      <w:r w:rsidRPr="00822CE9">
        <w:rPr>
          <w:rFonts w:hint="cs"/>
          <w:rtl/>
        </w:rPr>
        <w:t>ار: «تقتلك الفئة الباغية»</w:t>
      </w:r>
      <w:r w:rsidRPr="000A4159">
        <w:rPr>
          <w:rFonts w:cs="Taher"/>
          <w:vertAlign w:val="superscript"/>
          <w:rtl/>
        </w:rPr>
        <w:t>(</w:t>
      </w:r>
      <w:r w:rsidRPr="000A4159">
        <w:rPr>
          <w:rStyle w:val="FootnoteReference"/>
          <w:rFonts w:cs="Taher"/>
          <w:rtl/>
        </w:rPr>
        <w:footnoteReference w:id="344"/>
      </w:r>
      <w:r w:rsidRPr="000A4159">
        <w:rPr>
          <w:rFonts w:cs="Taher"/>
          <w:vertAlign w:val="superscript"/>
          <w:rtl/>
        </w:rPr>
        <w:t>)</w:t>
      </w:r>
      <w:r w:rsidRPr="00822CE9">
        <w:rPr>
          <w:rtl/>
        </w:rPr>
        <w:t>.</w:t>
      </w:r>
    </w:p>
    <w:p w14:paraId="365A4D1E" w14:textId="77777777" w:rsidR="000A4159" w:rsidRPr="00822CE9" w:rsidRDefault="000A4159" w:rsidP="00277979">
      <w:pPr>
        <w:spacing w:line="214" w:lineRule="auto"/>
        <w:rPr>
          <w:rtl/>
        </w:rPr>
      </w:pPr>
      <w:r w:rsidRPr="00822CE9">
        <w:rPr>
          <w:rFonts w:hint="cs"/>
          <w:rtl/>
        </w:rPr>
        <w:t>والرواية واضحة في دلالتها على لزوم الطاعة والحكم بضرب عنق كل</w:t>
      </w:r>
      <w:r w:rsidR="007E3F08">
        <w:rPr>
          <w:rFonts w:hint="cs"/>
          <w:rtl/>
        </w:rPr>
        <w:t>ّ</w:t>
      </w:r>
      <w:r w:rsidRPr="00822CE9">
        <w:rPr>
          <w:rFonts w:hint="cs"/>
          <w:rtl/>
        </w:rPr>
        <w:t xml:space="preserve"> خارج عن الإمام المباي</w:t>
      </w:r>
      <w:r w:rsidR="007E3F08">
        <w:rPr>
          <w:rFonts w:hint="cs"/>
          <w:rtl/>
        </w:rPr>
        <w:t>َع، تؤيّد</w:t>
      </w:r>
      <w:r w:rsidRPr="00822CE9">
        <w:rPr>
          <w:rFonts w:hint="cs"/>
          <w:rtl/>
        </w:rPr>
        <w:t>ها الرواية الثانية عن الرجل نفسه، نعم كون الرجل في أجواء بني أمي</w:t>
      </w:r>
      <w:r w:rsidR="007E3F08">
        <w:rPr>
          <w:rFonts w:hint="cs"/>
          <w:rtl/>
        </w:rPr>
        <w:t>ّ</w:t>
      </w:r>
      <w:r w:rsidRPr="00822CE9">
        <w:rPr>
          <w:rFonts w:hint="cs"/>
          <w:rtl/>
        </w:rPr>
        <w:t>ة يثير الغرابة، طبقاً لرواية الدرجات الرفيعة؛ إذ كيف صار ابن العاص واجب الطاعة مع أن</w:t>
      </w:r>
      <w:r w:rsidR="007E3F08">
        <w:rPr>
          <w:rFonts w:hint="cs"/>
          <w:rtl/>
        </w:rPr>
        <w:t>ّ</w:t>
      </w:r>
      <w:r w:rsidRPr="00822CE9">
        <w:rPr>
          <w:rFonts w:hint="cs"/>
          <w:rtl/>
        </w:rPr>
        <w:t xml:space="preserve"> معاوية إمام</w:t>
      </w:r>
      <w:r w:rsidR="00277979">
        <w:rPr>
          <w:rFonts w:hint="cs"/>
          <w:rtl/>
        </w:rPr>
        <w:t>َ</w:t>
      </w:r>
      <w:r w:rsidRPr="00822CE9">
        <w:rPr>
          <w:rFonts w:hint="cs"/>
          <w:rtl/>
        </w:rPr>
        <w:t>ه لم يبايعه أحد، بل المباي</w:t>
      </w:r>
      <w:r w:rsidR="007E3F08">
        <w:rPr>
          <w:rFonts w:hint="cs"/>
          <w:rtl/>
        </w:rPr>
        <w:t>َ</w:t>
      </w:r>
      <w:r w:rsidRPr="00822CE9">
        <w:rPr>
          <w:rFonts w:hint="cs"/>
          <w:rtl/>
        </w:rPr>
        <w:t>ع من جانب المهاجرين والأنصار هو عليّ</w:t>
      </w:r>
      <w:r w:rsidR="009A1626" w:rsidRPr="00822CE9">
        <w:rPr>
          <w:rFonts w:hint="cs"/>
          <w:rtl/>
        </w:rPr>
        <w:t>×</w:t>
      </w:r>
      <w:r w:rsidRPr="00822CE9">
        <w:rPr>
          <w:rFonts w:hint="cs"/>
          <w:rtl/>
        </w:rPr>
        <w:t xml:space="preserve">، ومع نقله نصّ الفئة الباغية في أكثر من رواية ألا يكون معاوية هو الخارج عن البيعة فيلزم ضرب عنقه </w:t>
      </w:r>
      <w:r w:rsidR="007E3F08">
        <w:rPr>
          <w:rFonts w:hint="cs"/>
          <w:rtl/>
        </w:rPr>
        <w:t xml:space="preserve">دون </w:t>
      </w:r>
      <w:r w:rsidRPr="00822CE9">
        <w:rPr>
          <w:rFonts w:hint="cs"/>
          <w:rtl/>
        </w:rPr>
        <w:t>الخروج مع ابن العاص</w:t>
      </w:r>
      <w:r w:rsidR="00277979">
        <w:rPr>
          <w:rFonts w:hint="cs"/>
          <w:rtl/>
        </w:rPr>
        <w:t>!</w:t>
      </w:r>
      <w:r w:rsidRPr="00822CE9">
        <w:rPr>
          <w:rFonts w:hint="cs"/>
          <w:rtl/>
        </w:rPr>
        <w:t xml:space="preserve"> وسيأتي ما يتعلّق ببعض هذه الأمور.</w:t>
      </w:r>
    </w:p>
    <w:p w14:paraId="414D4945" w14:textId="77777777" w:rsidR="000A4159" w:rsidRPr="00822CE9" w:rsidRDefault="000A4159" w:rsidP="007E3F08">
      <w:pPr>
        <w:spacing w:line="214" w:lineRule="auto"/>
        <w:rPr>
          <w:rtl/>
        </w:rPr>
      </w:pPr>
      <w:r w:rsidRPr="006D7775">
        <w:rPr>
          <w:rFonts w:hint="cs"/>
          <w:b/>
          <w:bCs/>
          <w:rtl/>
        </w:rPr>
        <w:t>نعم، يحتمل أن تكون إطاعته لوالده لا من باب كونه إماماً، بل لما ورد في الكشي مسنداً إلى حنظلة بن خويلد العنزي</w:t>
      </w:r>
      <w:r w:rsidRPr="00822CE9">
        <w:rPr>
          <w:rFonts w:hint="cs"/>
          <w:rtl/>
        </w:rPr>
        <w:t xml:space="preserve"> من أن</w:t>
      </w:r>
      <w:r w:rsidR="007E3F08">
        <w:rPr>
          <w:rFonts w:hint="cs"/>
          <w:rtl/>
        </w:rPr>
        <w:t>ّ</w:t>
      </w:r>
      <w:r w:rsidRPr="00822CE9">
        <w:rPr>
          <w:rFonts w:hint="cs"/>
          <w:rtl/>
        </w:rPr>
        <w:t xml:space="preserve"> عبد الله إن</w:t>
      </w:r>
      <w:r w:rsidR="007E3F08">
        <w:rPr>
          <w:rFonts w:hint="cs"/>
          <w:rtl/>
        </w:rPr>
        <w:t>ّ</w:t>
      </w:r>
      <w:r w:rsidRPr="00822CE9">
        <w:rPr>
          <w:rFonts w:hint="cs"/>
          <w:rtl/>
        </w:rPr>
        <w:t>ما ي</w:t>
      </w:r>
      <w:r w:rsidR="007E3F08">
        <w:rPr>
          <w:rFonts w:hint="cs"/>
          <w:rtl/>
        </w:rPr>
        <w:t>ُ</w:t>
      </w:r>
      <w:r w:rsidRPr="00822CE9">
        <w:rPr>
          <w:rFonts w:hint="cs"/>
          <w:rtl/>
        </w:rPr>
        <w:t>جب</w:t>
      </w:r>
      <w:r w:rsidR="00277979">
        <w:rPr>
          <w:rFonts w:hint="cs"/>
          <w:rtl/>
        </w:rPr>
        <w:t>َ</w:t>
      </w:r>
      <w:r w:rsidRPr="00822CE9">
        <w:rPr>
          <w:rFonts w:hint="cs"/>
          <w:rtl/>
        </w:rPr>
        <w:t>ر على إطاعته والده</w:t>
      </w:r>
      <w:r w:rsidR="007E3F08">
        <w:rPr>
          <w:rFonts w:hint="cs"/>
          <w:rtl/>
        </w:rPr>
        <w:t>؛</w:t>
      </w:r>
      <w:r w:rsidRPr="00822CE9">
        <w:rPr>
          <w:rFonts w:hint="cs"/>
          <w:rtl/>
        </w:rPr>
        <w:t xml:space="preserve"> لأن</w:t>
      </w:r>
      <w:r w:rsidR="007E3F08">
        <w:rPr>
          <w:rFonts w:hint="cs"/>
          <w:rtl/>
        </w:rPr>
        <w:t>ّ</w:t>
      </w:r>
      <w:r w:rsidRPr="00822CE9">
        <w:rPr>
          <w:rFonts w:hint="cs"/>
          <w:rtl/>
        </w:rPr>
        <w:t xml:space="preserve"> عمرو بن العاص شكاه مر</w:t>
      </w:r>
      <w:r w:rsidR="007E3F08">
        <w:rPr>
          <w:rFonts w:hint="cs"/>
          <w:rtl/>
        </w:rPr>
        <w:t>ّ</w:t>
      </w:r>
      <w:r w:rsidRPr="00822CE9">
        <w:rPr>
          <w:rFonts w:hint="cs"/>
          <w:rtl/>
        </w:rPr>
        <w:t>ةً إلى النبي</w:t>
      </w:r>
      <w:r w:rsidR="007E3F08">
        <w:rPr>
          <w:rFonts w:hint="cs"/>
          <w:rtl/>
        </w:rPr>
        <w:t xml:space="preserve">ّ‘، </w:t>
      </w:r>
      <w:r w:rsidRPr="00822CE9">
        <w:rPr>
          <w:rFonts w:hint="cs"/>
          <w:rtl/>
        </w:rPr>
        <w:t>فقال له الرسول: «أطع أباك ما دام حي</w:t>
      </w:r>
      <w:r w:rsidR="007E3F08">
        <w:rPr>
          <w:rFonts w:hint="cs"/>
          <w:rtl/>
        </w:rPr>
        <w:t>ّ</w:t>
      </w:r>
      <w:r w:rsidRPr="00822CE9">
        <w:rPr>
          <w:rFonts w:hint="cs"/>
          <w:rtl/>
        </w:rPr>
        <w:t>اً ولا تعصه»</w:t>
      </w:r>
      <w:r w:rsidRPr="000A4159">
        <w:rPr>
          <w:rFonts w:cs="Taher"/>
          <w:vertAlign w:val="superscript"/>
          <w:rtl/>
        </w:rPr>
        <w:t>(</w:t>
      </w:r>
      <w:r w:rsidRPr="000A4159">
        <w:rPr>
          <w:rStyle w:val="FootnoteReference"/>
          <w:rFonts w:cs="Taher"/>
          <w:rtl/>
        </w:rPr>
        <w:footnoteReference w:id="345"/>
      </w:r>
      <w:r w:rsidRPr="000A4159">
        <w:rPr>
          <w:rFonts w:cs="Taher"/>
          <w:vertAlign w:val="superscript"/>
          <w:rtl/>
        </w:rPr>
        <w:t>)</w:t>
      </w:r>
      <w:r w:rsidR="007E3F08">
        <w:rPr>
          <w:rFonts w:hint="cs"/>
          <w:rtl/>
        </w:rPr>
        <w:t xml:space="preserve">. </w:t>
      </w:r>
      <w:r w:rsidRPr="00822CE9">
        <w:rPr>
          <w:rFonts w:hint="cs"/>
          <w:rtl/>
        </w:rPr>
        <w:t>وحتى لو صحّت هذه الرواية عنه ـ وهي ضعيفة بإهمال أسود بن مسعدة الوارد في سندها</w:t>
      </w:r>
      <w:r w:rsidRPr="000A4159">
        <w:rPr>
          <w:rFonts w:cs="Taher"/>
          <w:vertAlign w:val="superscript"/>
          <w:rtl/>
        </w:rPr>
        <w:t>(</w:t>
      </w:r>
      <w:r w:rsidRPr="000A4159">
        <w:rPr>
          <w:rStyle w:val="FootnoteReference"/>
          <w:rFonts w:cs="Taher"/>
          <w:rtl/>
        </w:rPr>
        <w:footnoteReference w:id="346"/>
      </w:r>
      <w:r w:rsidRPr="000A4159">
        <w:rPr>
          <w:rFonts w:cs="Taher"/>
          <w:vertAlign w:val="superscript"/>
          <w:rtl/>
        </w:rPr>
        <w:t>)</w:t>
      </w:r>
      <w:r w:rsidRPr="00822CE9">
        <w:rPr>
          <w:rtl/>
        </w:rPr>
        <w:t xml:space="preserve"> </w:t>
      </w:r>
      <w:r w:rsidRPr="00822CE9">
        <w:rPr>
          <w:rFonts w:hint="cs"/>
          <w:rtl/>
        </w:rPr>
        <w:t>ـ هل يمكن تصوّر أن يفهم صحابي</w:t>
      </w:r>
      <w:r w:rsidR="007E3F08">
        <w:rPr>
          <w:rFonts w:hint="cs"/>
          <w:rtl/>
        </w:rPr>
        <w:t>ٌّ</w:t>
      </w:r>
      <w:r w:rsidRPr="00822CE9">
        <w:rPr>
          <w:rFonts w:hint="cs"/>
          <w:rtl/>
        </w:rPr>
        <w:t xml:space="preserve"> عاشر النبي</w:t>
      </w:r>
      <w:r w:rsidR="007E3F08">
        <w:rPr>
          <w:rFonts w:hint="cs"/>
          <w:rtl/>
        </w:rPr>
        <w:t>ّ</w:t>
      </w:r>
      <w:r w:rsidR="00277979">
        <w:rPr>
          <w:rFonts w:hint="cs"/>
          <w:rtl/>
        </w:rPr>
        <w:t>َ</w:t>
      </w:r>
      <w:r w:rsidR="007E3F08">
        <w:rPr>
          <w:rFonts w:hint="cs"/>
          <w:rtl/>
        </w:rPr>
        <w:t>‘</w:t>
      </w:r>
      <w:r w:rsidRPr="00822CE9">
        <w:rPr>
          <w:rFonts w:hint="cs"/>
          <w:rtl/>
        </w:rPr>
        <w:t xml:space="preserve"> لزوم ات</w:t>
      </w:r>
      <w:r w:rsidR="007E3F08">
        <w:rPr>
          <w:rFonts w:hint="cs"/>
          <w:rtl/>
        </w:rPr>
        <w:t>ّ</w:t>
      </w:r>
      <w:r w:rsidRPr="00822CE9">
        <w:rPr>
          <w:rFonts w:hint="cs"/>
          <w:rtl/>
        </w:rPr>
        <w:t>باع الوالد حتى لو خا</w:t>
      </w:r>
      <w:r w:rsidR="007E3F08">
        <w:rPr>
          <w:rFonts w:hint="cs"/>
          <w:rtl/>
        </w:rPr>
        <w:t>ض</w:t>
      </w:r>
      <w:r w:rsidRPr="00822CE9">
        <w:rPr>
          <w:rFonts w:hint="cs"/>
          <w:rtl/>
        </w:rPr>
        <w:t xml:space="preserve"> فتنةً يعرف هو أن</w:t>
      </w:r>
      <w:r w:rsidR="007E3F08">
        <w:rPr>
          <w:rFonts w:hint="cs"/>
          <w:rtl/>
        </w:rPr>
        <w:t>ّ</w:t>
      </w:r>
      <w:r w:rsidRPr="00822CE9">
        <w:rPr>
          <w:rFonts w:hint="cs"/>
          <w:rtl/>
        </w:rPr>
        <w:t>هم البغاة فيها؟</w:t>
      </w:r>
      <w:r w:rsidR="007E3F08">
        <w:rPr>
          <w:rFonts w:hint="cs"/>
          <w:rtl/>
        </w:rPr>
        <w:t>!</w:t>
      </w:r>
    </w:p>
    <w:p w14:paraId="4D00BFF2" w14:textId="77777777" w:rsidR="000A4159" w:rsidRPr="00822CE9" w:rsidRDefault="000A4159" w:rsidP="005A2E22">
      <w:pPr>
        <w:spacing w:line="214" w:lineRule="auto"/>
        <w:rPr>
          <w:rtl/>
        </w:rPr>
      </w:pPr>
      <w:r w:rsidRPr="006D7775">
        <w:rPr>
          <w:rFonts w:hint="cs"/>
          <w:b/>
          <w:bCs/>
          <w:rtl/>
        </w:rPr>
        <w:t>برأيي إذا صحّت هذه النصوص</w:t>
      </w:r>
      <w:r w:rsidR="007E3F08" w:rsidRPr="006D7775">
        <w:rPr>
          <w:rFonts w:hint="cs"/>
          <w:b/>
          <w:bCs/>
          <w:rtl/>
        </w:rPr>
        <w:t>،</w:t>
      </w:r>
      <w:r w:rsidRPr="006D7775">
        <w:rPr>
          <w:rFonts w:hint="cs"/>
          <w:b/>
          <w:bCs/>
          <w:rtl/>
        </w:rPr>
        <w:t xml:space="preserve"> فهي لا تقبل التفسير</w:t>
      </w:r>
      <w:r w:rsidR="007E3F08" w:rsidRPr="006D7775">
        <w:rPr>
          <w:rFonts w:hint="cs"/>
          <w:b/>
          <w:bCs/>
          <w:rtl/>
        </w:rPr>
        <w:t>،</w:t>
      </w:r>
      <w:r w:rsidRPr="006D7775">
        <w:rPr>
          <w:rFonts w:hint="cs"/>
          <w:b/>
          <w:bCs/>
          <w:rtl/>
        </w:rPr>
        <w:t xml:space="preserve"> إلا أنّ هذا الرجل إم</w:t>
      </w:r>
      <w:r w:rsidR="007E3F08" w:rsidRPr="006D7775">
        <w:rPr>
          <w:rFonts w:hint="cs"/>
          <w:b/>
          <w:bCs/>
          <w:rtl/>
        </w:rPr>
        <w:t>ّ</w:t>
      </w:r>
      <w:r w:rsidRPr="006D7775">
        <w:rPr>
          <w:rFonts w:hint="cs"/>
          <w:b/>
          <w:bCs/>
          <w:rtl/>
        </w:rPr>
        <w:t>ا بسيط جداً وساذج أو أن</w:t>
      </w:r>
      <w:r w:rsidR="007E3F08" w:rsidRPr="006D7775">
        <w:rPr>
          <w:rFonts w:hint="cs"/>
          <w:b/>
          <w:bCs/>
          <w:rtl/>
        </w:rPr>
        <w:t>ّ</w:t>
      </w:r>
      <w:r w:rsidRPr="006D7775">
        <w:rPr>
          <w:rFonts w:hint="cs"/>
          <w:b/>
          <w:bCs/>
          <w:rtl/>
        </w:rPr>
        <w:t>ه يتحا</w:t>
      </w:r>
      <w:r w:rsidR="007E3F08" w:rsidRPr="006D7775">
        <w:rPr>
          <w:rFonts w:hint="cs"/>
          <w:b/>
          <w:bCs/>
          <w:rtl/>
        </w:rPr>
        <w:t>ي</w:t>
      </w:r>
      <w:r w:rsidRPr="006D7775">
        <w:rPr>
          <w:rFonts w:hint="cs"/>
          <w:b/>
          <w:bCs/>
          <w:rtl/>
        </w:rPr>
        <w:t>ل على الرأي العام ليبرّر ميله المعروف لطرف بني أمي</w:t>
      </w:r>
      <w:r w:rsidR="007E3F08" w:rsidRPr="006D7775">
        <w:rPr>
          <w:rFonts w:hint="cs"/>
          <w:b/>
          <w:bCs/>
          <w:rtl/>
        </w:rPr>
        <w:t>ّ</w:t>
      </w:r>
      <w:r w:rsidRPr="006D7775">
        <w:rPr>
          <w:rFonts w:hint="cs"/>
          <w:b/>
          <w:bCs/>
          <w:rtl/>
        </w:rPr>
        <w:t xml:space="preserve">ة، </w:t>
      </w:r>
      <w:r w:rsidR="005A2E22" w:rsidRPr="006D7775">
        <w:rPr>
          <w:rFonts w:hint="cs"/>
          <w:b/>
          <w:bCs/>
          <w:rtl/>
        </w:rPr>
        <w:t>أو أنّه يتحايل على أنصار بني أميّة في مجمل سلوكه،</w:t>
      </w:r>
      <w:r w:rsidR="005A2E22">
        <w:rPr>
          <w:rFonts w:hint="cs"/>
          <w:rtl/>
        </w:rPr>
        <w:t xml:space="preserve"> فيستخدم معهم مثل هذا الأسلوب، خاصّة مع البناء على أنّه نصح الفريق الأموي في أكثر من موضع بعدم الخروج على عليّ بن أبي طالب، </w:t>
      </w:r>
      <w:r w:rsidRPr="00822CE9">
        <w:rPr>
          <w:rFonts w:hint="cs"/>
          <w:rtl/>
        </w:rPr>
        <w:t>والله العالم، وإلا فالنصّ الأو</w:t>
      </w:r>
      <w:r w:rsidR="007E3F08">
        <w:rPr>
          <w:rFonts w:hint="cs"/>
          <w:rtl/>
        </w:rPr>
        <w:t>ّ</w:t>
      </w:r>
      <w:r w:rsidRPr="00822CE9">
        <w:rPr>
          <w:rFonts w:hint="cs"/>
          <w:rtl/>
        </w:rPr>
        <w:t>ل دال</w:t>
      </w:r>
      <w:r w:rsidR="007E3F08">
        <w:rPr>
          <w:rFonts w:hint="cs"/>
          <w:rtl/>
        </w:rPr>
        <w:t>ٌّ</w:t>
      </w:r>
      <w:r w:rsidRPr="00822CE9">
        <w:rPr>
          <w:rFonts w:hint="cs"/>
          <w:rtl/>
        </w:rPr>
        <w:t xml:space="preserve"> بإطلاقه على نظري</w:t>
      </w:r>
      <w:r w:rsidR="007E3F08">
        <w:rPr>
          <w:rFonts w:hint="cs"/>
          <w:rtl/>
        </w:rPr>
        <w:t>ّ</w:t>
      </w:r>
      <w:r w:rsidRPr="00822CE9">
        <w:rPr>
          <w:rFonts w:hint="cs"/>
          <w:rtl/>
        </w:rPr>
        <w:t>ة حرمة الخروج المسلّح.</w:t>
      </w:r>
    </w:p>
    <w:p w14:paraId="30D085A0" w14:textId="77777777" w:rsidR="000A4159" w:rsidRPr="00822CE9" w:rsidRDefault="000A4159" w:rsidP="001D12B3">
      <w:pPr>
        <w:spacing w:line="214" w:lineRule="auto"/>
        <w:rPr>
          <w:rtl/>
        </w:rPr>
      </w:pPr>
      <w:r w:rsidRPr="007E3F08">
        <w:rPr>
          <w:rFonts w:hint="cs"/>
          <w:b/>
          <w:bCs/>
          <w:rtl/>
        </w:rPr>
        <w:t>الرواية الثانية عشرة: خبر الحسن البصري،</w:t>
      </w:r>
      <w:r w:rsidRPr="00822CE9">
        <w:rPr>
          <w:rFonts w:hint="cs"/>
          <w:rtl/>
        </w:rPr>
        <w:t xml:space="preserve"> قال رسول الله</w:t>
      </w:r>
      <w:r w:rsidR="001D12B3">
        <w:rPr>
          <w:rFonts w:hint="cs"/>
          <w:rtl/>
        </w:rPr>
        <w:t>‘</w:t>
      </w:r>
      <w:r w:rsidRPr="00822CE9">
        <w:rPr>
          <w:rFonts w:hint="cs"/>
          <w:rtl/>
        </w:rPr>
        <w:t>: «لا تسبّوا الولاة؛ فإن</w:t>
      </w:r>
      <w:r w:rsidR="001D12B3">
        <w:rPr>
          <w:rFonts w:hint="cs"/>
          <w:rtl/>
        </w:rPr>
        <w:t>ّهم إ</w:t>
      </w:r>
      <w:r w:rsidRPr="00822CE9">
        <w:rPr>
          <w:rFonts w:hint="cs"/>
          <w:rtl/>
        </w:rPr>
        <w:t>ن أحسنوا كان لهم الأجر وعليكم الشكر، وإن أساؤوا فعليهم الوزر وعليكم الصبر، وإن</w:t>
      </w:r>
      <w:r w:rsidR="001D12B3">
        <w:rPr>
          <w:rFonts w:hint="cs"/>
          <w:rtl/>
        </w:rPr>
        <w:t>ّ</w:t>
      </w:r>
      <w:r w:rsidRPr="00822CE9">
        <w:rPr>
          <w:rFonts w:hint="cs"/>
          <w:rtl/>
        </w:rPr>
        <w:t xml:space="preserve">ما هم نقمة ينتقم الله بهم ممّن يشاء، فلا تستقبلوا نقمة الله بالحميّة والغضب، واستقبلوها بالاستكانة </w:t>
      </w:r>
      <w:r w:rsidRPr="00822CE9">
        <w:rPr>
          <w:rFonts w:hint="cs"/>
          <w:rtl/>
        </w:rPr>
        <w:lastRenderedPageBreak/>
        <w:t>والتضرّع»</w:t>
      </w:r>
      <w:r w:rsidRPr="000A4159">
        <w:rPr>
          <w:rFonts w:cs="Taher"/>
          <w:vertAlign w:val="superscript"/>
          <w:rtl/>
        </w:rPr>
        <w:t>(</w:t>
      </w:r>
      <w:r w:rsidRPr="000A4159">
        <w:rPr>
          <w:rStyle w:val="FootnoteReference"/>
          <w:rFonts w:cs="Taher"/>
          <w:rtl/>
        </w:rPr>
        <w:footnoteReference w:id="347"/>
      </w:r>
      <w:r w:rsidRPr="000A4159">
        <w:rPr>
          <w:rFonts w:cs="Taher"/>
          <w:vertAlign w:val="superscript"/>
          <w:rtl/>
        </w:rPr>
        <w:t>)</w:t>
      </w:r>
      <w:r w:rsidRPr="00822CE9">
        <w:rPr>
          <w:rtl/>
        </w:rPr>
        <w:t>.</w:t>
      </w:r>
    </w:p>
    <w:p w14:paraId="4AA31561" w14:textId="77777777" w:rsidR="00FE25B9" w:rsidRDefault="000A4159" w:rsidP="00C87093">
      <w:pPr>
        <w:pStyle w:val="normal930"/>
        <w:rPr>
          <w:rtl/>
        </w:rPr>
      </w:pPr>
      <w:r w:rsidRPr="00822CE9">
        <w:rPr>
          <w:rFonts w:hint="cs"/>
          <w:rtl/>
        </w:rPr>
        <w:t>فالرواية ظاهرة في الحث</w:t>
      </w:r>
      <w:r w:rsidR="001D12B3">
        <w:rPr>
          <w:rFonts w:hint="cs"/>
          <w:rtl/>
        </w:rPr>
        <w:t>ّ</w:t>
      </w:r>
      <w:r w:rsidRPr="00822CE9">
        <w:rPr>
          <w:rFonts w:hint="cs"/>
          <w:rtl/>
        </w:rPr>
        <w:t xml:space="preserve"> على الصبر عند </w:t>
      </w:r>
      <w:r w:rsidR="001D12B3">
        <w:rPr>
          <w:rFonts w:hint="cs"/>
          <w:rtl/>
        </w:rPr>
        <w:t>إ</w:t>
      </w:r>
      <w:r w:rsidRPr="00822CE9">
        <w:rPr>
          <w:rFonts w:hint="cs"/>
          <w:rtl/>
        </w:rPr>
        <w:t>ساءة الحك</w:t>
      </w:r>
      <w:r w:rsidR="001D12B3">
        <w:rPr>
          <w:rFonts w:hint="cs"/>
          <w:rtl/>
        </w:rPr>
        <w:t>ّ</w:t>
      </w:r>
      <w:r w:rsidRPr="00822CE9">
        <w:rPr>
          <w:rFonts w:hint="cs"/>
          <w:rtl/>
        </w:rPr>
        <w:t>ام، وأن</w:t>
      </w:r>
      <w:r w:rsidR="001D12B3">
        <w:rPr>
          <w:rFonts w:hint="cs"/>
          <w:rtl/>
        </w:rPr>
        <w:t>ّ</w:t>
      </w:r>
      <w:r w:rsidRPr="00822CE9">
        <w:rPr>
          <w:rFonts w:hint="cs"/>
          <w:rtl/>
        </w:rPr>
        <w:t>ه لا معنى لسبّهم أبداً</w:t>
      </w:r>
      <w:r w:rsidR="001D12B3">
        <w:rPr>
          <w:rFonts w:hint="cs"/>
          <w:rtl/>
        </w:rPr>
        <w:t>؛</w:t>
      </w:r>
      <w:r w:rsidRPr="00822CE9">
        <w:rPr>
          <w:rFonts w:hint="cs"/>
          <w:rtl/>
        </w:rPr>
        <w:t xml:space="preserve"> فضلاً عن أن يقوم المرء بثورة ضدّهم؛ فإن</w:t>
      </w:r>
      <w:r w:rsidR="001D12B3">
        <w:rPr>
          <w:rFonts w:hint="cs"/>
          <w:rtl/>
        </w:rPr>
        <w:t>ّ</w:t>
      </w:r>
      <w:r w:rsidRPr="00822CE9">
        <w:rPr>
          <w:rFonts w:hint="cs"/>
          <w:rtl/>
        </w:rPr>
        <w:t>ها مواجهة</w:t>
      </w:r>
      <w:r w:rsidR="00277979">
        <w:rPr>
          <w:rFonts w:hint="cs"/>
          <w:rtl/>
        </w:rPr>
        <w:t>ٌ</w:t>
      </w:r>
      <w:r w:rsidRPr="00822CE9">
        <w:rPr>
          <w:rFonts w:hint="cs"/>
          <w:rtl/>
        </w:rPr>
        <w:t xml:space="preserve"> لنقمة الله تعالى.</w:t>
      </w:r>
    </w:p>
    <w:p w14:paraId="6D78044D" w14:textId="77777777" w:rsidR="00FE25B9" w:rsidRPr="00822CE9" w:rsidRDefault="00FE25B9" w:rsidP="00541D72">
      <w:pPr>
        <w:spacing w:line="214" w:lineRule="auto"/>
        <w:rPr>
          <w:rtl/>
        </w:rPr>
      </w:pPr>
      <w:r w:rsidRPr="006D7775">
        <w:rPr>
          <w:rFonts w:hint="cs"/>
          <w:b/>
          <w:bCs/>
          <w:rtl/>
        </w:rPr>
        <w:t>وتبدو معالم التأويل الكلامي والأيديولوجي هنا منسجمةً مع نمط تفكير الحسن البصري (110هـ) ذي النزعة الروحيّة والمعنويّة، بحيث يتحوّل الحاكم الظالم إلى غضب إلهي على الناس،</w:t>
      </w:r>
      <w:r>
        <w:rPr>
          <w:rFonts w:hint="cs"/>
          <w:rtl/>
        </w:rPr>
        <w:t xml:space="preserve"> فكأنّهم </w:t>
      </w:r>
      <w:r w:rsidR="00541D72">
        <w:rPr>
          <w:rFonts w:hint="cs"/>
          <w:rtl/>
        </w:rPr>
        <w:t xml:space="preserve">عصوا الله فغضب عليهم بهذا الحاكم الظالم، </w:t>
      </w:r>
      <w:r>
        <w:rPr>
          <w:rFonts w:hint="cs"/>
          <w:rtl/>
        </w:rPr>
        <w:t>والمفروض أن ي</w:t>
      </w:r>
      <w:r w:rsidR="00541D72">
        <w:rPr>
          <w:rFonts w:hint="cs"/>
          <w:rtl/>
        </w:rPr>
        <w:t xml:space="preserve">تقبّلوا هذا الغضب بروح </w:t>
      </w:r>
      <w:r>
        <w:rPr>
          <w:rFonts w:hint="cs"/>
          <w:rtl/>
        </w:rPr>
        <w:t>الرضا والتسليم والخضوع، لا بروح الغضب والحمية</w:t>
      </w:r>
      <w:r w:rsidR="00541D72">
        <w:rPr>
          <w:rFonts w:hint="cs"/>
          <w:rtl/>
        </w:rPr>
        <w:t xml:space="preserve"> والمواجهة. ومن المعروف ـ تاريخيّاً ـ أنّ الح</w:t>
      </w:r>
      <w:r>
        <w:rPr>
          <w:rFonts w:hint="cs"/>
          <w:rtl/>
        </w:rPr>
        <w:t>سن البصري رفض المشاركة في أي</w:t>
      </w:r>
      <w:r w:rsidR="00541D72">
        <w:rPr>
          <w:rFonts w:hint="cs"/>
          <w:rtl/>
        </w:rPr>
        <w:t>ّ</w:t>
      </w:r>
      <w:r>
        <w:rPr>
          <w:rFonts w:hint="cs"/>
          <w:rtl/>
        </w:rPr>
        <w:t xml:space="preserve"> حركة تخرج على بني أميّ</w:t>
      </w:r>
      <w:r w:rsidR="00541D72">
        <w:rPr>
          <w:rFonts w:hint="cs"/>
          <w:rtl/>
        </w:rPr>
        <w:t>ة</w:t>
      </w:r>
      <w:r>
        <w:rPr>
          <w:rFonts w:hint="cs"/>
          <w:rtl/>
        </w:rPr>
        <w:t>.</w:t>
      </w:r>
    </w:p>
    <w:p w14:paraId="3049E48D" w14:textId="77777777" w:rsidR="000A4159" w:rsidRPr="00822CE9" w:rsidRDefault="000A4159" w:rsidP="00727355">
      <w:pPr>
        <w:pStyle w:val="normal84"/>
        <w:rPr>
          <w:rtl/>
        </w:rPr>
      </w:pPr>
      <w:r w:rsidRPr="006D7775">
        <w:rPr>
          <w:rFonts w:hint="cs"/>
          <w:b/>
          <w:bCs/>
          <w:rtl/>
        </w:rPr>
        <w:t>وقد رو</w:t>
      </w:r>
      <w:r w:rsidR="001D12B3" w:rsidRPr="006D7775">
        <w:rPr>
          <w:rFonts w:hint="cs"/>
          <w:b/>
          <w:bCs/>
          <w:rtl/>
        </w:rPr>
        <w:t xml:space="preserve">ى هذه الرواية </w:t>
      </w:r>
      <w:r w:rsidRPr="006D7775">
        <w:rPr>
          <w:rFonts w:hint="cs"/>
          <w:b/>
          <w:bCs/>
          <w:rtl/>
        </w:rPr>
        <w:t>أبو يوسف</w:t>
      </w:r>
      <w:r w:rsidR="00277979" w:rsidRPr="006D7775">
        <w:rPr>
          <w:rFonts w:hint="cs"/>
          <w:b/>
          <w:bCs/>
          <w:rtl/>
        </w:rPr>
        <w:t xml:space="preserve"> القاضي (182هـ)</w:t>
      </w:r>
      <w:r w:rsidR="00BC511B" w:rsidRPr="006D7775">
        <w:rPr>
          <w:rFonts w:hint="cs"/>
          <w:b/>
          <w:bCs/>
          <w:rtl/>
        </w:rPr>
        <w:t xml:space="preserve"> </w:t>
      </w:r>
      <w:r w:rsidRPr="006D7775">
        <w:rPr>
          <w:rFonts w:hint="cs"/>
          <w:b/>
          <w:bCs/>
          <w:rtl/>
        </w:rPr>
        <w:t xml:space="preserve">في </w:t>
      </w:r>
      <w:r w:rsidR="00277979" w:rsidRPr="006D7775">
        <w:rPr>
          <w:rFonts w:hint="cs"/>
          <w:b/>
          <w:bCs/>
          <w:rtl/>
        </w:rPr>
        <w:t xml:space="preserve">كتاب </w:t>
      </w:r>
      <w:r w:rsidR="00277979" w:rsidRPr="006D7775">
        <w:rPr>
          <w:rFonts w:cs="Cambria" w:hint="cs"/>
          <w:b/>
          <w:bCs/>
          <w:rtl/>
        </w:rPr>
        <w:t>"</w:t>
      </w:r>
      <w:r w:rsidRPr="006D7775">
        <w:rPr>
          <w:rFonts w:hint="cs"/>
          <w:b/>
          <w:bCs/>
          <w:rtl/>
        </w:rPr>
        <w:t>الخراج</w:t>
      </w:r>
      <w:r w:rsidR="00277979" w:rsidRPr="006D7775">
        <w:rPr>
          <w:rFonts w:cs="Cambria" w:hint="cs"/>
          <w:b/>
          <w:bCs/>
          <w:rtl/>
        </w:rPr>
        <w:t>"</w:t>
      </w:r>
      <w:r w:rsidRPr="006D7775">
        <w:rPr>
          <w:rFonts w:hint="cs"/>
          <w:b/>
          <w:bCs/>
          <w:rtl/>
        </w:rPr>
        <w:t>، والظاهر أن</w:t>
      </w:r>
      <w:r w:rsidR="001D12B3" w:rsidRPr="006D7775">
        <w:rPr>
          <w:rFonts w:hint="cs"/>
          <w:b/>
          <w:bCs/>
          <w:rtl/>
        </w:rPr>
        <w:t>ّ</w:t>
      </w:r>
      <w:r w:rsidRPr="006D7775">
        <w:rPr>
          <w:rFonts w:hint="cs"/>
          <w:b/>
          <w:bCs/>
          <w:rtl/>
        </w:rPr>
        <w:t>ها مرسلة</w:t>
      </w:r>
      <w:r w:rsidR="001D12B3" w:rsidRPr="006D7775">
        <w:rPr>
          <w:rFonts w:hint="cs"/>
          <w:b/>
          <w:bCs/>
          <w:rtl/>
        </w:rPr>
        <w:t>؛</w:t>
      </w:r>
      <w:r w:rsidRPr="00822CE9">
        <w:rPr>
          <w:rFonts w:hint="cs"/>
          <w:rtl/>
        </w:rPr>
        <w:t xml:space="preserve"> لعدم ذكر الواسطة بين البصري</w:t>
      </w:r>
      <w:r w:rsidR="00277979">
        <w:rPr>
          <w:rFonts w:hint="cs"/>
          <w:rtl/>
        </w:rPr>
        <w:t>ّ</w:t>
      </w:r>
      <w:r w:rsidRPr="00822CE9">
        <w:rPr>
          <w:rFonts w:hint="cs"/>
          <w:rtl/>
        </w:rPr>
        <w:t xml:space="preserve"> والرسول</w:t>
      </w:r>
      <w:r w:rsidR="00170465">
        <w:rPr>
          <w:rFonts w:hint="cs"/>
          <w:rtl/>
        </w:rPr>
        <w:t>، وبخاصّة أنّ شيوخ البصري كان فيهم الصحابي وغيره.</w:t>
      </w:r>
    </w:p>
    <w:p w14:paraId="1DD1C254" w14:textId="77777777" w:rsidR="000A4159" w:rsidRPr="00822CE9" w:rsidRDefault="000A4159" w:rsidP="00727355">
      <w:pPr>
        <w:pStyle w:val="normal84"/>
        <w:rPr>
          <w:rtl/>
        </w:rPr>
      </w:pPr>
      <w:r w:rsidRPr="001D12B3">
        <w:rPr>
          <w:rFonts w:hint="cs"/>
          <w:b/>
          <w:bCs/>
          <w:rtl/>
        </w:rPr>
        <w:t>الرواية الثالثة عشرة: خبر أبي هريرة،</w:t>
      </w:r>
      <w:r w:rsidRPr="00822CE9">
        <w:rPr>
          <w:rFonts w:hint="cs"/>
          <w:rtl/>
        </w:rPr>
        <w:t xml:space="preserve"> عن النبي</w:t>
      </w:r>
      <w:r w:rsidR="001D12B3">
        <w:rPr>
          <w:rFonts w:hint="cs"/>
          <w:rtl/>
        </w:rPr>
        <w:t>ّ‘،</w:t>
      </w:r>
      <w:r w:rsidRPr="00822CE9">
        <w:rPr>
          <w:rFonts w:hint="cs"/>
          <w:rtl/>
        </w:rPr>
        <w:t xml:space="preserve"> أن</w:t>
      </w:r>
      <w:r w:rsidR="001D12B3">
        <w:rPr>
          <w:rFonts w:hint="cs"/>
          <w:rtl/>
        </w:rPr>
        <w:t>ّ</w:t>
      </w:r>
      <w:r w:rsidRPr="00822CE9">
        <w:rPr>
          <w:rFonts w:hint="cs"/>
          <w:rtl/>
        </w:rPr>
        <w:t>ه قال: «من خرج من الطاعة وفارق الجماعة فمات</w:t>
      </w:r>
      <w:r w:rsidR="00277979">
        <w:rPr>
          <w:rFonts w:hint="cs"/>
          <w:rtl/>
        </w:rPr>
        <w:t>،</w:t>
      </w:r>
      <w:r w:rsidRPr="00822CE9">
        <w:rPr>
          <w:rFonts w:hint="cs"/>
          <w:rtl/>
        </w:rPr>
        <w:t xml:space="preserve"> مات ميتةً جاهلية، ومن قاتل..»</w:t>
      </w:r>
      <w:r w:rsidRPr="000A4159">
        <w:rPr>
          <w:rFonts w:cs="Taher"/>
          <w:vertAlign w:val="superscript"/>
          <w:rtl/>
        </w:rPr>
        <w:t>(</w:t>
      </w:r>
      <w:r w:rsidRPr="000A4159">
        <w:rPr>
          <w:rStyle w:val="FootnoteReference"/>
          <w:rFonts w:cs="Taher"/>
          <w:rtl/>
        </w:rPr>
        <w:footnoteReference w:id="348"/>
      </w:r>
      <w:r w:rsidRPr="000A4159">
        <w:rPr>
          <w:rFonts w:cs="Taher"/>
          <w:vertAlign w:val="superscript"/>
          <w:rtl/>
        </w:rPr>
        <w:t>)</w:t>
      </w:r>
      <w:r w:rsidRPr="00822CE9">
        <w:rPr>
          <w:rtl/>
        </w:rPr>
        <w:t>.</w:t>
      </w:r>
    </w:p>
    <w:p w14:paraId="1318C079" w14:textId="77777777" w:rsidR="000A4159" w:rsidRDefault="000A4159" w:rsidP="00727355">
      <w:pPr>
        <w:pStyle w:val="normal84"/>
        <w:rPr>
          <w:rtl/>
        </w:rPr>
      </w:pPr>
      <w:r w:rsidRPr="001D12B3">
        <w:rPr>
          <w:rFonts w:hint="cs"/>
          <w:b/>
          <w:bCs/>
          <w:rtl/>
        </w:rPr>
        <w:t xml:space="preserve">وبقطع النظر عن سند الرواية، قد لا تكون دالّةً على </w:t>
      </w:r>
      <w:r w:rsidR="00170465">
        <w:rPr>
          <w:rFonts w:hint="cs"/>
          <w:b/>
          <w:bCs/>
          <w:rtl/>
        </w:rPr>
        <w:t xml:space="preserve">النهي عن </w:t>
      </w:r>
      <w:r w:rsidRPr="001D12B3">
        <w:rPr>
          <w:rFonts w:hint="cs"/>
          <w:b/>
          <w:bCs/>
          <w:rtl/>
        </w:rPr>
        <w:t>مطلق الخروج على</w:t>
      </w:r>
      <w:r w:rsidR="001D12B3" w:rsidRPr="001D12B3">
        <w:rPr>
          <w:rFonts w:hint="cs"/>
          <w:b/>
          <w:bCs/>
          <w:rtl/>
        </w:rPr>
        <w:t xml:space="preserve"> </w:t>
      </w:r>
      <w:r w:rsidRPr="001D12B3">
        <w:rPr>
          <w:rFonts w:hint="cs"/>
          <w:b/>
          <w:bCs/>
          <w:rtl/>
        </w:rPr>
        <w:t>الحاكم؛</w:t>
      </w:r>
      <w:r w:rsidRPr="00822CE9">
        <w:rPr>
          <w:rFonts w:hint="cs"/>
          <w:rtl/>
        </w:rPr>
        <w:t xml:space="preserve"> لأن</w:t>
      </w:r>
      <w:r w:rsidR="001D12B3">
        <w:rPr>
          <w:rFonts w:hint="cs"/>
          <w:rtl/>
        </w:rPr>
        <w:t>ّ</w:t>
      </w:r>
      <w:r w:rsidRPr="00822CE9">
        <w:rPr>
          <w:rFonts w:hint="cs"/>
          <w:rtl/>
        </w:rPr>
        <w:t xml:space="preserve"> نظرها الخروج على الجماعة، أي الأكثري</w:t>
      </w:r>
      <w:r w:rsidR="001D12B3">
        <w:rPr>
          <w:rFonts w:hint="cs"/>
          <w:rtl/>
        </w:rPr>
        <w:t>ّ</w:t>
      </w:r>
      <w:r w:rsidRPr="00822CE9">
        <w:rPr>
          <w:rFonts w:hint="cs"/>
          <w:rtl/>
        </w:rPr>
        <w:t>ة، وإلا فلو كانت أكثري</w:t>
      </w:r>
      <w:r w:rsidR="001D12B3">
        <w:rPr>
          <w:rFonts w:hint="cs"/>
          <w:rtl/>
        </w:rPr>
        <w:t>ّ</w:t>
      </w:r>
      <w:r w:rsidRPr="00822CE9">
        <w:rPr>
          <w:rFonts w:hint="cs"/>
          <w:rtl/>
        </w:rPr>
        <w:t>ة الشعب ضدّ الحاكم</w:t>
      </w:r>
      <w:r w:rsidR="001D12B3">
        <w:rPr>
          <w:rFonts w:hint="cs"/>
          <w:rtl/>
        </w:rPr>
        <w:t>،</w:t>
      </w:r>
      <w:r w:rsidRPr="00822CE9">
        <w:rPr>
          <w:rFonts w:hint="cs"/>
          <w:rtl/>
        </w:rPr>
        <w:t xml:space="preserve"> فهذا ليس خروجاً عن جماعة المسلمين، فتختصّ بالحركات المسلّحة التي لا تمثل غالبي</w:t>
      </w:r>
      <w:r w:rsidR="001D12B3">
        <w:rPr>
          <w:rFonts w:hint="cs"/>
          <w:rtl/>
        </w:rPr>
        <w:t>ّ</w:t>
      </w:r>
      <w:r w:rsidRPr="00822CE9">
        <w:rPr>
          <w:rFonts w:hint="cs"/>
          <w:rtl/>
        </w:rPr>
        <w:t>ة المسلمين في توج</w:t>
      </w:r>
      <w:r w:rsidR="001D12B3">
        <w:rPr>
          <w:rFonts w:hint="cs"/>
          <w:rtl/>
        </w:rPr>
        <w:t>ّ</w:t>
      </w:r>
      <w:r w:rsidRPr="00822CE9">
        <w:rPr>
          <w:rFonts w:hint="cs"/>
          <w:rtl/>
        </w:rPr>
        <w:t>هها، لا لمحذور مخالفة الحاكم</w:t>
      </w:r>
      <w:r w:rsidR="001D12B3">
        <w:rPr>
          <w:rFonts w:hint="cs"/>
          <w:rtl/>
        </w:rPr>
        <w:t>،</w:t>
      </w:r>
      <w:r w:rsidRPr="00822CE9">
        <w:rPr>
          <w:rFonts w:hint="cs"/>
          <w:rtl/>
        </w:rPr>
        <w:t xml:space="preserve"> بل لمحذور مخالفة الجماعة</w:t>
      </w:r>
      <w:r w:rsidR="001D12B3">
        <w:rPr>
          <w:rFonts w:hint="cs"/>
          <w:rtl/>
        </w:rPr>
        <w:t>.</w:t>
      </w:r>
      <w:r w:rsidRPr="00822CE9">
        <w:rPr>
          <w:rFonts w:hint="cs"/>
          <w:rtl/>
        </w:rPr>
        <w:t xml:space="preserve"> مضافاً إلى ما أسلفناه سابقاً من أن</w:t>
      </w:r>
      <w:r w:rsidR="001D12B3">
        <w:rPr>
          <w:rFonts w:hint="cs"/>
          <w:rtl/>
        </w:rPr>
        <w:t>ّ</w:t>
      </w:r>
      <w:r w:rsidRPr="00822CE9">
        <w:rPr>
          <w:rFonts w:hint="cs"/>
          <w:rtl/>
        </w:rPr>
        <w:t xml:space="preserve"> النظر هنا إلى التحذير من العودة إلى الفوضى وحياة الجاهلي</w:t>
      </w:r>
      <w:r w:rsidR="001D12B3">
        <w:rPr>
          <w:rFonts w:hint="cs"/>
          <w:rtl/>
        </w:rPr>
        <w:t>ّ</w:t>
      </w:r>
      <w:r w:rsidRPr="00822CE9">
        <w:rPr>
          <w:rFonts w:hint="cs"/>
          <w:rtl/>
        </w:rPr>
        <w:t>ة وضرورة ممارسة الحياة المركزي</w:t>
      </w:r>
      <w:r w:rsidR="001D12B3">
        <w:rPr>
          <w:rFonts w:hint="cs"/>
          <w:rtl/>
        </w:rPr>
        <w:t>ّ</w:t>
      </w:r>
      <w:r w:rsidRPr="00822CE9">
        <w:rPr>
          <w:rFonts w:hint="cs"/>
          <w:rtl/>
        </w:rPr>
        <w:t>ة في السياسة.</w:t>
      </w:r>
    </w:p>
    <w:p w14:paraId="379C9F06" w14:textId="77777777" w:rsidR="00170465" w:rsidRPr="00822CE9" w:rsidRDefault="00170465" w:rsidP="000E47B2">
      <w:pPr>
        <w:spacing w:line="202" w:lineRule="auto"/>
        <w:rPr>
          <w:rtl/>
        </w:rPr>
      </w:pPr>
      <w:r w:rsidRPr="006D7775">
        <w:rPr>
          <w:rFonts w:hint="cs"/>
          <w:b/>
          <w:bCs/>
          <w:rtl/>
        </w:rPr>
        <w:t>إنّ مجموعة لا بأس بها هنا من النصوص الحديثيّة تضع المعيار في الجماعة دون الحاكم، لكنّ العقل الإسلامي كثيراً ما قام بالمماهاة تاريخيّاً بين الحاكم والجماعة،</w:t>
      </w:r>
      <w:r>
        <w:rPr>
          <w:rFonts w:hint="cs"/>
          <w:rtl/>
        </w:rPr>
        <w:t xml:space="preserve"> وإلا فمن الممكن أن تكون جماعة المسلمين على خلاف الحاكم، غير أنّها مقهورة. وهذه حقيقة يجب أخذها بعين الاعتبار </w:t>
      </w:r>
      <w:r>
        <w:rPr>
          <w:rFonts w:hint="cs"/>
          <w:rtl/>
        </w:rPr>
        <w:lastRenderedPageBreak/>
        <w:t>لتمييز نصوص طاعة الحاكم عن مطلق نصوص عدم مفارقة الجماعة.</w:t>
      </w:r>
    </w:p>
    <w:p w14:paraId="0E8D8472" w14:textId="77777777" w:rsidR="000A4159" w:rsidRDefault="000A4159" w:rsidP="000E47B2">
      <w:pPr>
        <w:spacing w:line="202" w:lineRule="auto"/>
        <w:rPr>
          <w:rtl/>
        </w:rPr>
      </w:pPr>
      <w:r w:rsidRPr="001D12B3">
        <w:rPr>
          <w:rFonts w:hint="cs"/>
          <w:b/>
          <w:bCs/>
          <w:rtl/>
        </w:rPr>
        <w:t xml:space="preserve">ومثل هذه الرواية رواية عرفجة </w:t>
      </w:r>
      <w:r w:rsidRPr="00822CE9">
        <w:rPr>
          <w:rFonts w:hint="cs"/>
          <w:rtl/>
        </w:rPr>
        <w:t>ـ بأ</w:t>
      </w:r>
      <w:r w:rsidR="001D12B3">
        <w:rPr>
          <w:rFonts w:hint="cs"/>
          <w:rtl/>
        </w:rPr>
        <w:t>سانيد متعدّدة، في متونها بعض الا</w:t>
      </w:r>
      <w:r w:rsidRPr="00822CE9">
        <w:rPr>
          <w:rFonts w:hint="cs"/>
          <w:rtl/>
        </w:rPr>
        <w:t>ختلاف ـ قال: سمعت رسول الله</w:t>
      </w:r>
      <w:r w:rsidR="001D12B3">
        <w:rPr>
          <w:rFonts w:hint="cs"/>
          <w:rtl/>
        </w:rPr>
        <w:t>‘،</w:t>
      </w:r>
      <w:r w:rsidRPr="00822CE9">
        <w:rPr>
          <w:rFonts w:hint="cs"/>
          <w:rtl/>
        </w:rPr>
        <w:t xml:space="preserve"> يقول: «إن</w:t>
      </w:r>
      <w:r w:rsidR="001D12B3">
        <w:rPr>
          <w:rFonts w:hint="cs"/>
          <w:rtl/>
        </w:rPr>
        <w:t>ّ</w:t>
      </w:r>
      <w:r w:rsidRPr="00822CE9">
        <w:rPr>
          <w:rFonts w:hint="cs"/>
          <w:rtl/>
        </w:rPr>
        <w:t>ه ستكون هن</w:t>
      </w:r>
      <w:r w:rsidR="008E73D7">
        <w:rPr>
          <w:rFonts w:hint="cs"/>
          <w:rtl/>
        </w:rPr>
        <w:t>ّ</w:t>
      </w:r>
      <w:r w:rsidRPr="00822CE9">
        <w:rPr>
          <w:rFonts w:hint="cs"/>
          <w:rtl/>
        </w:rPr>
        <w:t>ا</w:t>
      </w:r>
      <w:r w:rsidR="001D12B3">
        <w:rPr>
          <w:rFonts w:hint="cs"/>
          <w:rtl/>
        </w:rPr>
        <w:t>تٌ</w:t>
      </w:r>
      <w:r w:rsidRPr="00822CE9">
        <w:rPr>
          <w:rFonts w:hint="cs"/>
          <w:rtl/>
        </w:rPr>
        <w:t xml:space="preserve"> وهن</w:t>
      </w:r>
      <w:r w:rsidR="008E73D7">
        <w:rPr>
          <w:rFonts w:hint="cs"/>
          <w:rtl/>
        </w:rPr>
        <w:t>ّ</w:t>
      </w:r>
      <w:r w:rsidRPr="00822CE9">
        <w:rPr>
          <w:rFonts w:hint="cs"/>
          <w:rtl/>
        </w:rPr>
        <w:t>ا</w:t>
      </w:r>
      <w:r w:rsidR="001D12B3">
        <w:rPr>
          <w:rFonts w:hint="cs"/>
          <w:rtl/>
        </w:rPr>
        <w:t>ت</w:t>
      </w:r>
      <w:r w:rsidR="008E73D7" w:rsidRPr="000A4159">
        <w:rPr>
          <w:rFonts w:cs="Taher"/>
          <w:vertAlign w:val="superscript"/>
          <w:rtl/>
        </w:rPr>
        <w:t>(</w:t>
      </w:r>
      <w:r w:rsidR="008E73D7" w:rsidRPr="000A4159">
        <w:rPr>
          <w:rStyle w:val="FootnoteReference"/>
          <w:rFonts w:cs="Taher"/>
          <w:rtl/>
        </w:rPr>
        <w:footnoteReference w:id="349"/>
      </w:r>
      <w:r w:rsidR="008E73D7" w:rsidRPr="000A4159">
        <w:rPr>
          <w:rFonts w:cs="Taher"/>
          <w:vertAlign w:val="superscript"/>
          <w:rtl/>
        </w:rPr>
        <w:t>)</w:t>
      </w:r>
      <w:r w:rsidR="001D12B3">
        <w:rPr>
          <w:rFonts w:hint="cs"/>
          <w:rtl/>
        </w:rPr>
        <w:t>؛ فمن أراد أ</w:t>
      </w:r>
      <w:r w:rsidRPr="00822CE9">
        <w:rPr>
          <w:rFonts w:hint="cs"/>
          <w:rtl/>
        </w:rPr>
        <w:t>ن يفرّق أمر هذه الأم</w:t>
      </w:r>
      <w:r w:rsidR="001D12B3">
        <w:rPr>
          <w:rFonts w:hint="cs"/>
          <w:rtl/>
        </w:rPr>
        <w:t>ّ</w:t>
      </w:r>
      <w:r w:rsidRPr="00822CE9">
        <w:rPr>
          <w:rFonts w:hint="cs"/>
          <w:rtl/>
        </w:rPr>
        <w:t>ة</w:t>
      </w:r>
      <w:r w:rsidR="001D12B3">
        <w:rPr>
          <w:rFonts w:hint="cs"/>
          <w:rtl/>
        </w:rPr>
        <w:t>،</w:t>
      </w:r>
      <w:r w:rsidRPr="00822CE9">
        <w:rPr>
          <w:rFonts w:hint="cs"/>
          <w:rtl/>
        </w:rPr>
        <w:t xml:space="preserve"> وهي جميع</w:t>
      </w:r>
      <w:r w:rsidR="001D12B3">
        <w:rPr>
          <w:rFonts w:hint="cs"/>
          <w:rtl/>
        </w:rPr>
        <w:t>،</w:t>
      </w:r>
      <w:r w:rsidRPr="00822CE9">
        <w:rPr>
          <w:rFonts w:hint="cs"/>
          <w:rtl/>
        </w:rPr>
        <w:t xml:space="preserve"> فاضربوه بالسيف كائناً من كان»</w:t>
      </w:r>
      <w:r w:rsidRPr="000A4159">
        <w:rPr>
          <w:rFonts w:cs="Taher"/>
          <w:vertAlign w:val="superscript"/>
          <w:rtl/>
        </w:rPr>
        <w:t>(</w:t>
      </w:r>
      <w:r w:rsidRPr="000A4159">
        <w:rPr>
          <w:rStyle w:val="FootnoteReference"/>
          <w:rFonts w:cs="Taher"/>
          <w:rtl/>
        </w:rPr>
        <w:footnoteReference w:id="350"/>
      </w:r>
      <w:r w:rsidRPr="000A4159">
        <w:rPr>
          <w:rFonts w:cs="Taher"/>
          <w:vertAlign w:val="superscript"/>
          <w:rtl/>
        </w:rPr>
        <w:t>)</w:t>
      </w:r>
      <w:r w:rsidRPr="00822CE9">
        <w:rPr>
          <w:rtl/>
        </w:rPr>
        <w:t>.</w:t>
      </w:r>
    </w:p>
    <w:p w14:paraId="661EC607" w14:textId="77777777" w:rsidR="008E73D7" w:rsidRPr="00822CE9" w:rsidRDefault="008E73D7" w:rsidP="008E73D7">
      <w:pPr>
        <w:spacing w:line="214" w:lineRule="auto"/>
        <w:rPr>
          <w:rtl/>
        </w:rPr>
      </w:pPr>
      <w:r>
        <w:rPr>
          <w:rFonts w:hint="cs"/>
          <w:rtl/>
        </w:rPr>
        <w:t xml:space="preserve">وقد شرح النووي روايةَ عرفجة فقال: </w:t>
      </w:r>
      <w:r>
        <w:rPr>
          <w:rFonts w:hint="eastAsia"/>
          <w:rtl/>
        </w:rPr>
        <w:t>«</w:t>
      </w:r>
      <w:r w:rsidRPr="008E73D7">
        <w:rPr>
          <w:rtl/>
        </w:rPr>
        <w:t>فيه الأمر بقتال من خرج على الإمام أو أراد تفريق</w:t>
      </w:r>
      <w:r>
        <w:rPr>
          <w:rFonts w:hint="cs"/>
          <w:rtl/>
        </w:rPr>
        <w:t xml:space="preserve"> </w:t>
      </w:r>
      <w:r w:rsidRPr="008E73D7">
        <w:rPr>
          <w:rtl/>
        </w:rPr>
        <w:t>كلمة المسلمين ونحو ذلك</w:t>
      </w:r>
      <w:r>
        <w:rPr>
          <w:rFonts w:hint="cs"/>
          <w:rtl/>
        </w:rPr>
        <w:t>،</w:t>
      </w:r>
      <w:r w:rsidRPr="008E73D7">
        <w:rPr>
          <w:rtl/>
        </w:rPr>
        <w:t xml:space="preserve"> وينهى عن ذلك فإن لم ينته قوتل</w:t>
      </w:r>
      <w:r>
        <w:rPr>
          <w:rFonts w:hint="cs"/>
          <w:rtl/>
        </w:rPr>
        <w:t>،</w:t>
      </w:r>
      <w:r w:rsidRPr="008E73D7">
        <w:rPr>
          <w:rtl/>
        </w:rPr>
        <w:t xml:space="preserve"> وإن لم يندفع شر</w:t>
      </w:r>
      <w:r>
        <w:rPr>
          <w:rFonts w:hint="cs"/>
          <w:rtl/>
        </w:rPr>
        <w:t>ّ</w:t>
      </w:r>
      <w:r w:rsidRPr="008E73D7">
        <w:rPr>
          <w:rtl/>
        </w:rPr>
        <w:t>ه إلا بقتله فق</w:t>
      </w:r>
      <w:r>
        <w:rPr>
          <w:rFonts w:hint="cs"/>
          <w:rtl/>
        </w:rPr>
        <w:t>ُ</w:t>
      </w:r>
      <w:r w:rsidRPr="008E73D7">
        <w:rPr>
          <w:rtl/>
        </w:rPr>
        <w:t>تل</w:t>
      </w:r>
      <w:r>
        <w:rPr>
          <w:rFonts w:hint="cs"/>
          <w:rtl/>
        </w:rPr>
        <w:t xml:space="preserve"> </w:t>
      </w:r>
      <w:r w:rsidRPr="008E73D7">
        <w:rPr>
          <w:rtl/>
        </w:rPr>
        <w:t>كان هدرا</w:t>
      </w:r>
      <w:r>
        <w:rPr>
          <w:rFonts w:hint="cs"/>
          <w:rtl/>
        </w:rPr>
        <w:t>ً،</w:t>
      </w:r>
      <w:r w:rsidRPr="008E73D7">
        <w:rPr>
          <w:rtl/>
        </w:rPr>
        <w:t xml:space="preserve"> فقوله</w:t>
      </w:r>
      <w:r>
        <w:rPr>
          <w:rFonts w:hint="cs"/>
          <w:rtl/>
        </w:rPr>
        <w:t>‘:</w:t>
      </w:r>
      <w:r w:rsidRPr="008E73D7">
        <w:rPr>
          <w:rtl/>
        </w:rPr>
        <w:t xml:space="preserve"> فاضربوه بالسيف</w:t>
      </w:r>
      <w:r>
        <w:rPr>
          <w:rFonts w:hint="cs"/>
          <w:rtl/>
        </w:rPr>
        <w:t>،</w:t>
      </w:r>
      <w:r w:rsidRPr="008E73D7">
        <w:rPr>
          <w:rtl/>
        </w:rPr>
        <w:t xml:space="preserve"> وفي الرواية الأخرى فاقتلوه</w:t>
      </w:r>
      <w:r>
        <w:rPr>
          <w:rFonts w:hint="cs"/>
          <w:rtl/>
        </w:rPr>
        <w:t>،</w:t>
      </w:r>
      <w:r w:rsidRPr="008E73D7">
        <w:rPr>
          <w:rtl/>
        </w:rPr>
        <w:t xml:space="preserve"> معناه إذا لم</w:t>
      </w:r>
      <w:r>
        <w:rPr>
          <w:rFonts w:hint="cs"/>
          <w:rtl/>
        </w:rPr>
        <w:t xml:space="preserve"> </w:t>
      </w:r>
      <w:r w:rsidRPr="008E73D7">
        <w:rPr>
          <w:rtl/>
        </w:rPr>
        <w:t>يندفع إلا بذلك</w:t>
      </w:r>
      <w:r>
        <w:rPr>
          <w:rFonts w:hint="cs"/>
          <w:rtl/>
        </w:rPr>
        <w:t>..</w:t>
      </w:r>
      <w:r>
        <w:rPr>
          <w:rFonts w:hint="eastAsia"/>
          <w:rtl/>
        </w:rPr>
        <w:t>»</w:t>
      </w:r>
      <w:r w:rsidRPr="000A4159">
        <w:rPr>
          <w:rFonts w:cs="Taher"/>
          <w:vertAlign w:val="superscript"/>
          <w:rtl/>
        </w:rPr>
        <w:t>(</w:t>
      </w:r>
      <w:r w:rsidRPr="000A4159">
        <w:rPr>
          <w:rStyle w:val="FootnoteReference"/>
          <w:rFonts w:cs="Taher"/>
          <w:rtl/>
        </w:rPr>
        <w:footnoteReference w:id="351"/>
      </w:r>
      <w:r w:rsidRPr="000A4159">
        <w:rPr>
          <w:rFonts w:cs="Taher"/>
          <w:vertAlign w:val="superscript"/>
          <w:rtl/>
        </w:rPr>
        <w:t>)</w:t>
      </w:r>
      <w:r>
        <w:rPr>
          <w:rFonts w:hint="eastAsia"/>
          <w:rtl/>
        </w:rPr>
        <w:t>.</w:t>
      </w:r>
    </w:p>
    <w:p w14:paraId="459FF8B9" w14:textId="77777777" w:rsidR="000A4159" w:rsidRPr="00822CE9" w:rsidRDefault="000A4159" w:rsidP="001D12B3">
      <w:pPr>
        <w:spacing w:line="214" w:lineRule="auto"/>
        <w:rPr>
          <w:rtl/>
        </w:rPr>
      </w:pPr>
      <w:r w:rsidRPr="001D12B3">
        <w:rPr>
          <w:rFonts w:hint="cs"/>
          <w:b/>
          <w:bCs/>
          <w:rtl/>
        </w:rPr>
        <w:t xml:space="preserve">الرواية الرابعة عشرة: خبر حذيفة </w:t>
      </w:r>
      <w:r w:rsidRPr="00822CE9">
        <w:rPr>
          <w:rFonts w:hint="cs"/>
          <w:rtl/>
        </w:rPr>
        <w:t>ـ في قضي</w:t>
      </w:r>
      <w:r w:rsidR="001D12B3">
        <w:rPr>
          <w:rFonts w:hint="cs"/>
          <w:rtl/>
        </w:rPr>
        <w:t>ّ</w:t>
      </w:r>
      <w:r w:rsidRPr="00822CE9">
        <w:rPr>
          <w:rFonts w:hint="cs"/>
          <w:rtl/>
        </w:rPr>
        <w:t>ة الخروج على عثمان ـ قال: سمعت رسول الله</w:t>
      </w:r>
      <w:r w:rsidR="001D12B3">
        <w:rPr>
          <w:rFonts w:hint="cs"/>
          <w:rtl/>
        </w:rPr>
        <w:t xml:space="preserve">‘ </w:t>
      </w:r>
      <w:r w:rsidRPr="00822CE9">
        <w:rPr>
          <w:rFonts w:hint="cs"/>
          <w:rtl/>
        </w:rPr>
        <w:t>يقول: «من فارق الجماعة واستذلّ الإمارة لقي الله عز</w:t>
      </w:r>
      <w:r w:rsidR="001D12B3">
        <w:rPr>
          <w:rFonts w:hint="cs"/>
          <w:rtl/>
        </w:rPr>
        <w:t>ّ</w:t>
      </w:r>
      <w:r w:rsidRPr="00822CE9">
        <w:rPr>
          <w:rFonts w:hint="cs"/>
          <w:rtl/>
        </w:rPr>
        <w:t xml:space="preserve"> وجل ولا وجه له عنده»</w:t>
      </w:r>
      <w:r w:rsidRPr="000A4159">
        <w:rPr>
          <w:rFonts w:cs="Taher"/>
          <w:vertAlign w:val="superscript"/>
          <w:rtl/>
        </w:rPr>
        <w:t>(</w:t>
      </w:r>
      <w:r w:rsidRPr="000A4159">
        <w:rPr>
          <w:rStyle w:val="FootnoteReference"/>
          <w:rFonts w:cs="Taher"/>
          <w:rtl/>
        </w:rPr>
        <w:footnoteReference w:id="352"/>
      </w:r>
      <w:r w:rsidRPr="000A4159">
        <w:rPr>
          <w:rFonts w:cs="Taher"/>
          <w:vertAlign w:val="superscript"/>
          <w:rtl/>
        </w:rPr>
        <w:t>)</w:t>
      </w:r>
      <w:r w:rsidRPr="00822CE9">
        <w:rPr>
          <w:rtl/>
        </w:rPr>
        <w:t>.</w:t>
      </w:r>
    </w:p>
    <w:p w14:paraId="2515A68D" w14:textId="77777777" w:rsidR="000A4159" w:rsidRDefault="000A4159" w:rsidP="001D12B3">
      <w:pPr>
        <w:spacing w:line="214" w:lineRule="auto"/>
        <w:rPr>
          <w:rtl/>
        </w:rPr>
      </w:pPr>
      <w:r w:rsidRPr="00822CE9">
        <w:rPr>
          <w:rFonts w:hint="cs"/>
          <w:rtl/>
        </w:rPr>
        <w:t>وبصرف النظر عن سند الرواية، فهي تتحدّ</w:t>
      </w:r>
      <w:r w:rsidR="001D12B3">
        <w:rPr>
          <w:rFonts w:hint="cs"/>
          <w:rtl/>
        </w:rPr>
        <w:t>ث</w:t>
      </w:r>
      <w:r w:rsidRPr="00822CE9">
        <w:rPr>
          <w:rFonts w:hint="cs"/>
          <w:rtl/>
        </w:rPr>
        <w:t xml:space="preserve"> عم</w:t>
      </w:r>
      <w:r w:rsidR="001D12B3">
        <w:rPr>
          <w:rFonts w:hint="cs"/>
          <w:rtl/>
        </w:rPr>
        <w:t>ّن</w:t>
      </w:r>
      <w:r w:rsidRPr="00822CE9">
        <w:rPr>
          <w:rFonts w:hint="cs"/>
          <w:rtl/>
        </w:rPr>
        <w:t xml:space="preserve"> خالف نظر أكثري</w:t>
      </w:r>
      <w:r w:rsidR="001D12B3">
        <w:rPr>
          <w:rFonts w:hint="cs"/>
          <w:rtl/>
        </w:rPr>
        <w:t>ّ</w:t>
      </w:r>
      <w:r w:rsidRPr="00822CE9">
        <w:rPr>
          <w:rFonts w:hint="cs"/>
          <w:rtl/>
        </w:rPr>
        <w:t>ة الناس وانشقّ عليهم لي</w:t>
      </w:r>
      <w:r w:rsidR="001D12B3">
        <w:rPr>
          <w:rFonts w:hint="cs"/>
          <w:rtl/>
        </w:rPr>
        <w:t>ُ</w:t>
      </w:r>
      <w:r w:rsidRPr="00822CE9">
        <w:rPr>
          <w:rFonts w:hint="cs"/>
          <w:rtl/>
        </w:rPr>
        <w:t>ذلّ الحاكم، فلا تشمل حالة الخروج من جانب الأكثري</w:t>
      </w:r>
      <w:r w:rsidR="001D12B3">
        <w:rPr>
          <w:rFonts w:hint="cs"/>
          <w:rtl/>
        </w:rPr>
        <w:t>ّ</w:t>
      </w:r>
      <w:r w:rsidRPr="00822CE9">
        <w:rPr>
          <w:rFonts w:hint="cs"/>
          <w:rtl/>
        </w:rPr>
        <w:t>ة نفسها</w:t>
      </w:r>
      <w:r w:rsidR="00E77FE1">
        <w:rPr>
          <w:rFonts w:hint="cs"/>
          <w:rtl/>
        </w:rPr>
        <w:t xml:space="preserve"> التي بايعت غير الحاكم الذي يحظى بأقليّة</w:t>
      </w:r>
      <w:r w:rsidRPr="00822CE9">
        <w:rPr>
          <w:rFonts w:hint="cs"/>
          <w:rtl/>
        </w:rPr>
        <w:t>، وكل</w:t>
      </w:r>
      <w:r w:rsidR="001D12B3">
        <w:rPr>
          <w:rFonts w:hint="cs"/>
          <w:rtl/>
        </w:rPr>
        <w:t>ّ</w:t>
      </w:r>
      <w:r w:rsidRPr="00822CE9">
        <w:rPr>
          <w:rFonts w:hint="cs"/>
          <w:rtl/>
        </w:rPr>
        <w:t xml:space="preserve"> نصوص مفارقة الجماعة التي لا نطيل باستعراضها والواردة في مصادر السنّة والشيعة يفترض أن ت</w:t>
      </w:r>
      <w:r w:rsidR="001D12B3">
        <w:rPr>
          <w:rFonts w:hint="cs"/>
          <w:rtl/>
        </w:rPr>
        <w:t>ُ</w:t>
      </w:r>
      <w:r w:rsidRPr="00822CE9">
        <w:rPr>
          <w:rFonts w:hint="cs"/>
          <w:rtl/>
        </w:rPr>
        <w:t>فهم بهذه الطريقة، أي مواجهة الأكثري</w:t>
      </w:r>
      <w:r w:rsidR="001D12B3">
        <w:rPr>
          <w:rFonts w:hint="cs"/>
          <w:rtl/>
        </w:rPr>
        <w:t>ّ</w:t>
      </w:r>
      <w:r w:rsidRPr="00822CE9">
        <w:rPr>
          <w:rFonts w:hint="cs"/>
          <w:rtl/>
        </w:rPr>
        <w:t>ة من الشعب المسلم</w:t>
      </w:r>
      <w:r w:rsidR="001D12B3">
        <w:rPr>
          <w:rFonts w:hint="cs"/>
          <w:rtl/>
        </w:rPr>
        <w:t>.</w:t>
      </w:r>
      <w:r w:rsidRPr="00822CE9">
        <w:rPr>
          <w:rFonts w:hint="cs"/>
          <w:rtl/>
        </w:rPr>
        <w:t xml:space="preserve"> نعم، هذه النصوص قد يقال: إن</w:t>
      </w:r>
      <w:r w:rsidR="001D12B3">
        <w:rPr>
          <w:rFonts w:hint="cs"/>
          <w:rtl/>
        </w:rPr>
        <w:t>ّ</w:t>
      </w:r>
      <w:r w:rsidRPr="00822CE9">
        <w:rPr>
          <w:rFonts w:hint="cs"/>
          <w:rtl/>
        </w:rPr>
        <w:t>ها تشمل حتى حالة الخلاف السياسي</w:t>
      </w:r>
      <w:r w:rsidR="001D12B3">
        <w:rPr>
          <w:rFonts w:hint="cs"/>
          <w:rtl/>
        </w:rPr>
        <w:t>،</w:t>
      </w:r>
      <w:r w:rsidRPr="00822CE9">
        <w:rPr>
          <w:rFonts w:hint="cs"/>
          <w:rtl/>
        </w:rPr>
        <w:t xml:space="preserve"> ومن ثم</w:t>
      </w:r>
      <w:r w:rsidR="001D12B3">
        <w:rPr>
          <w:rFonts w:hint="cs"/>
          <w:rtl/>
        </w:rPr>
        <w:t>ّ</w:t>
      </w:r>
      <w:r w:rsidRPr="00822CE9">
        <w:rPr>
          <w:rFonts w:hint="cs"/>
          <w:rtl/>
        </w:rPr>
        <w:t xml:space="preserve"> فهي تنظ</w:t>
      </w:r>
      <w:r w:rsidR="001D12B3">
        <w:rPr>
          <w:rFonts w:hint="cs"/>
          <w:rtl/>
        </w:rPr>
        <w:t>ّ</w:t>
      </w:r>
      <w:r w:rsidRPr="00822CE9">
        <w:rPr>
          <w:rFonts w:hint="cs"/>
          <w:rtl/>
        </w:rPr>
        <w:t>ر لاستبداد الأكثري</w:t>
      </w:r>
      <w:r w:rsidR="001D12B3">
        <w:rPr>
          <w:rFonts w:hint="cs"/>
          <w:rtl/>
        </w:rPr>
        <w:t>ّ</w:t>
      </w:r>
      <w:r w:rsidRPr="00822CE9">
        <w:rPr>
          <w:rFonts w:hint="cs"/>
          <w:rtl/>
        </w:rPr>
        <w:t>ة، وبعضها خاصّ بالخروج المسلّح.</w:t>
      </w:r>
    </w:p>
    <w:p w14:paraId="4AA344CA" w14:textId="77777777" w:rsidR="0009267A" w:rsidRDefault="0009267A" w:rsidP="0009267A">
      <w:pPr>
        <w:spacing w:line="214" w:lineRule="auto"/>
        <w:rPr>
          <w:rtl/>
        </w:rPr>
      </w:pPr>
      <w:r w:rsidRPr="003431FC">
        <w:rPr>
          <w:rFonts w:hint="cs"/>
          <w:b/>
          <w:bCs/>
          <w:rtl/>
        </w:rPr>
        <w:t xml:space="preserve">الرواية الخامسة عشرة: خبر </w:t>
      </w:r>
      <w:r w:rsidRPr="003431FC">
        <w:rPr>
          <w:b/>
          <w:bCs/>
          <w:rtl/>
        </w:rPr>
        <w:t>حسين بن زيد بن علي،</w:t>
      </w:r>
      <w:r w:rsidRPr="0009267A">
        <w:rPr>
          <w:rtl/>
        </w:rPr>
        <w:t xml:space="preserve"> عن أبي عبد الله</w:t>
      </w:r>
      <w:r>
        <w:rPr>
          <w:rFonts w:hint="cs"/>
          <w:rtl/>
        </w:rPr>
        <w:t xml:space="preserve"> </w:t>
      </w:r>
      <w:r w:rsidRPr="0009267A">
        <w:rPr>
          <w:rtl/>
        </w:rPr>
        <w:t>جعفر بن محم</w:t>
      </w:r>
      <w:r>
        <w:rPr>
          <w:rFonts w:hint="cs"/>
          <w:rtl/>
        </w:rPr>
        <w:t>ّ</w:t>
      </w:r>
      <w:r w:rsidRPr="0009267A">
        <w:rPr>
          <w:rtl/>
        </w:rPr>
        <w:t>د، عن أبيه، عن جد</w:t>
      </w:r>
      <w:r>
        <w:rPr>
          <w:rFonts w:hint="cs"/>
          <w:rtl/>
        </w:rPr>
        <w:t>ّ</w:t>
      </w:r>
      <w:r w:rsidRPr="0009267A">
        <w:rPr>
          <w:rtl/>
        </w:rPr>
        <w:t>ه، عن الحسين بن علي، عن علي</w:t>
      </w:r>
      <w:r>
        <w:rPr>
          <w:rFonts w:hint="cs"/>
          <w:rtl/>
        </w:rPr>
        <w:t>ّ</w:t>
      </w:r>
      <w:r w:rsidRPr="0009267A">
        <w:rPr>
          <w:rtl/>
        </w:rPr>
        <w:t>، عن</w:t>
      </w:r>
      <w:r>
        <w:rPr>
          <w:rFonts w:hint="cs"/>
          <w:rtl/>
        </w:rPr>
        <w:t xml:space="preserve"> </w:t>
      </w:r>
      <w:r w:rsidRPr="0009267A">
        <w:rPr>
          <w:rtl/>
        </w:rPr>
        <w:t>النبي</w:t>
      </w:r>
      <w:r>
        <w:rPr>
          <w:rFonts w:hint="cs"/>
          <w:rtl/>
        </w:rPr>
        <w:t>ّ‘</w:t>
      </w:r>
      <w:r w:rsidRPr="0009267A">
        <w:rPr>
          <w:rtl/>
        </w:rPr>
        <w:t xml:space="preserve">، قال: </w:t>
      </w:r>
      <w:r>
        <w:rPr>
          <w:rFonts w:hint="cs"/>
          <w:rtl/>
        </w:rPr>
        <w:t>«</w:t>
      </w:r>
      <w:r w:rsidRPr="0009267A">
        <w:rPr>
          <w:rtl/>
        </w:rPr>
        <w:t>السلطان ظل</w:t>
      </w:r>
      <w:r>
        <w:rPr>
          <w:rFonts w:hint="cs"/>
          <w:rtl/>
        </w:rPr>
        <w:t>ّ</w:t>
      </w:r>
      <w:r>
        <w:rPr>
          <w:rtl/>
        </w:rPr>
        <w:t xml:space="preserve"> الله في الأرض</w:t>
      </w:r>
      <w:r w:rsidRPr="0009267A">
        <w:rPr>
          <w:rtl/>
        </w:rPr>
        <w:t>، يأوي إليه كل</w:t>
      </w:r>
      <w:r>
        <w:rPr>
          <w:rFonts w:hint="cs"/>
          <w:rtl/>
        </w:rPr>
        <w:t>ّ</w:t>
      </w:r>
      <w:r w:rsidRPr="0009267A">
        <w:rPr>
          <w:rtl/>
        </w:rPr>
        <w:t xml:space="preserve"> مظلوم، فإن عدل</w:t>
      </w:r>
      <w:r>
        <w:rPr>
          <w:rFonts w:hint="cs"/>
          <w:rtl/>
        </w:rPr>
        <w:t xml:space="preserve"> </w:t>
      </w:r>
      <w:r>
        <w:rPr>
          <w:rtl/>
        </w:rPr>
        <w:t>كان له ال</w:t>
      </w:r>
      <w:r>
        <w:rPr>
          <w:rFonts w:hint="cs"/>
          <w:rtl/>
        </w:rPr>
        <w:t>أ</w:t>
      </w:r>
      <w:r w:rsidRPr="0009267A">
        <w:rPr>
          <w:rtl/>
        </w:rPr>
        <w:t xml:space="preserve">جر وعلى الرعية الشكر، وإن جار كان عليه الوزر </w:t>
      </w:r>
      <w:r w:rsidRPr="0009267A">
        <w:rPr>
          <w:rtl/>
        </w:rPr>
        <w:lastRenderedPageBreak/>
        <w:t>وعلى الرعي</w:t>
      </w:r>
      <w:r>
        <w:rPr>
          <w:rFonts w:hint="cs"/>
          <w:rtl/>
        </w:rPr>
        <w:t>ّ</w:t>
      </w:r>
      <w:r w:rsidRPr="0009267A">
        <w:rPr>
          <w:rtl/>
        </w:rPr>
        <w:t>ة الصبر حتى</w:t>
      </w:r>
      <w:r>
        <w:rPr>
          <w:rFonts w:hint="cs"/>
          <w:rtl/>
        </w:rPr>
        <w:t xml:space="preserve"> </w:t>
      </w:r>
      <w:r>
        <w:rPr>
          <w:rtl/>
        </w:rPr>
        <w:t>يأتيهم ال</w:t>
      </w:r>
      <w:r>
        <w:rPr>
          <w:rFonts w:hint="cs"/>
          <w:rtl/>
        </w:rPr>
        <w:t>أ</w:t>
      </w:r>
      <w:r w:rsidRPr="0009267A">
        <w:rPr>
          <w:rtl/>
        </w:rPr>
        <w:t>مر</w:t>
      </w:r>
      <w:r>
        <w:rPr>
          <w:rFonts w:hint="cs"/>
          <w:rtl/>
        </w:rPr>
        <w:t>»</w:t>
      </w:r>
      <w:r w:rsidRPr="000A4159">
        <w:rPr>
          <w:rFonts w:cs="Taher"/>
          <w:vertAlign w:val="superscript"/>
          <w:rtl/>
        </w:rPr>
        <w:t>(</w:t>
      </w:r>
      <w:r w:rsidRPr="000A4159">
        <w:rPr>
          <w:rStyle w:val="FootnoteReference"/>
          <w:rFonts w:cs="Taher"/>
          <w:rtl/>
        </w:rPr>
        <w:footnoteReference w:id="353"/>
      </w:r>
      <w:r w:rsidRPr="000A4159">
        <w:rPr>
          <w:rFonts w:cs="Taher"/>
          <w:vertAlign w:val="superscript"/>
          <w:rtl/>
        </w:rPr>
        <w:t>)</w:t>
      </w:r>
      <w:r>
        <w:rPr>
          <w:rFonts w:hint="cs"/>
          <w:rtl/>
        </w:rPr>
        <w:t>.</w:t>
      </w:r>
    </w:p>
    <w:p w14:paraId="7492E3DA" w14:textId="77777777" w:rsidR="0009267A" w:rsidRDefault="0009267A" w:rsidP="000E47B2">
      <w:pPr>
        <w:rPr>
          <w:rtl/>
        </w:rPr>
      </w:pPr>
      <w:r w:rsidRPr="006D7775">
        <w:rPr>
          <w:rFonts w:hint="cs"/>
          <w:b/>
          <w:bCs/>
          <w:rtl/>
        </w:rPr>
        <w:t>وهذا الحديث من النصوص القليلة الموجودة في مصادر الشيعة الإمامية بهذا اللسان،</w:t>
      </w:r>
      <w:r>
        <w:rPr>
          <w:rFonts w:hint="cs"/>
          <w:rtl/>
        </w:rPr>
        <w:t xml:space="preserve"> لكنّه ورد في مصادر أهل السنّة بالسند إلى ابن عمر تارةً وكثير بن مرّة أخرى عن النبيّ، لكن من دون عبارة </w:t>
      </w:r>
      <w:r>
        <w:rPr>
          <w:rFonts w:hint="eastAsia"/>
          <w:rtl/>
        </w:rPr>
        <w:t>«حتى يأتيهم الأمر</w:t>
      </w:r>
      <w:r>
        <w:rPr>
          <w:rFonts w:hint="cs"/>
          <w:rtl/>
        </w:rPr>
        <w:t>»، فراجع</w:t>
      </w:r>
      <w:r w:rsidRPr="000A4159">
        <w:rPr>
          <w:rFonts w:cs="Taher"/>
          <w:vertAlign w:val="superscript"/>
          <w:rtl/>
        </w:rPr>
        <w:t>(</w:t>
      </w:r>
      <w:r w:rsidRPr="000A4159">
        <w:rPr>
          <w:rStyle w:val="FootnoteReference"/>
          <w:rFonts w:cs="Taher"/>
          <w:rtl/>
        </w:rPr>
        <w:footnoteReference w:id="354"/>
      </w:r>
      <w:r w:rsidRPr="000A4159">
        <w:rPr>
          <w:rFonts w:cs="Taher"/>
          <w:vertAlign w:val="superscript"/>
          <w:rtl/>
        </w:rPr>
        <w:t>)</w:t>
      </w:r>
      <w:r>
        <w:rPr>
          <w:rFonts w:hint="cs"/>
          <w:rtl/>
        </w:rPr>
        <w:t>.</w:t>
      </w:r>
    </w:p>
    <w:p w14:paraId="423C26AB" w14:textId="77777777" w:rsidR="007D19D6" w:rsidRDefault="00572935" w:rsidP="008571D5">
      <w:pPr>
        <w:spacing w:line="214" w:lineRule="auto"/>
        <w:rPr>
          <w:rtl/>
        </w:rPr>
      </w:pPr>
      <w:r>
        <w:rPr>
          <w:rFonts w:hint="cs"/>
          <w:rtl/>
        </w:rPr>
        <w:t>وفي أحد السندين إرسال؛ لأنّ كثير بن مرّة ليس من الصحابة</w:t>
      </w:r>
      <w:r w:rsidR="00370F8C">
        <w:rPr>
          <w:rFonts w:hint="cs"/>
          <w:rtl/>
        </w:rPr>
        <w:t>، وفي سند الطوسي أب</w:t>
      </w:r>
      <w:r w:rsidR="008571D5">
        <w:rPr>
          <w:rFonts w:hint="cs"/>
          <w:rtl/>
        </w:rPr>
        <w:t>و</w:t>
      </w:r>
      <w:r w:rsidR="00370F8C">
        <w:rPr>
          <w:rFonts w:hint="cs"/>
          <w:rtl/>
        </w:rPr>
        <w:t xml:space="preserve"> المفضّل</w:t>
      </w:r>
      <w:r>
        <w:rPr>
          <w:rFonts w:hint="cs"/>
          <w:rtl/>
        </w:rPr>
        <w:t>.</w:t>
      </w:r>
    </w:p>
    <w:p w14:paraId="18A44D5C" w14:textId="77777777" w:rsidR="006E6B00" w:rsidRDefault="006E6B00" w:rsidP="006E6B00">
      <w:pPr>
        <w:spacing w:line="214" w:lineRule="auto"/>
        <w:rPr>
          <w:rtl/>
        </w:rPr>
      </w:pPr>
      <w:r w:rsidRPr="006E6B00">
        <w:rPr>
          <w:rFonts w:hint="cs"/>
          <w:b/>
          <w:bCs/>
          <w:rtl/>
        </w:rPr>
        <w:t xml:space="preserve">الرواية السادسة عشرة: خبر </w:t>
      </w:r>
      <w:r w:rsidRPr="006E6B00">
        <w:rPr>
          <w:b/>
          <w:bCs/>
          <w:rtl/>
        </w:rPr>
        <w:t>زر بن حبيش</w:t>
      </w:r>
      <w:r w:rsidRPr="006E6B00">
        <w:rPr>
          <w:rFonts w:hint="cs"/>
          <w:b/>
          <w:bCs/>
          <w:rtl/>
        </w:rPr>
        <w:t>،</w:t>
      </w:r>
      <w:r w:rsidRPr="006E6B00">
        <w:rPr>
          <w:rtl/>
        </w:rPr>
        <w:t xml:space="preserve"> قال</w:t>
      </w:r>
      <w:r>
        <w:rPr>
          <w:rFonts w:hint="cs"/>
          <w:rtl/>
        </w:rPr>
        <w:t>:</w:t>
      </w:r>
      <w:r w:rsidRPr="006E6B00">
        <w:rPr>
          <w:rtl/>
        </w:rPr>
        <w:t xml:space="preserve"> لما</w:t>
      </w:r>
      <w:r>
        <w:rPr>
          <w:rFonts w:hint="cs"/>
          <w:rtl/>
        </w:rPr>
        <w:t xml:space="preserve"> </w:t>
      </w:r>
      <w:r w:rsidRPr="006E6B00">
        <w:rPr>
          <w:rtl/>
        </w:rPr>
        <w:t>أنكر الناس سيرة الوليد بن عقبة بن أبي معيط</w:t>
      </w:r>
      <w:r>
        <w:rPr>
          <w:rFonts w:hint="cs"/>
          <w:rtl/>
        </w:rPr>
        <w:t>،</w:t>
      </w:r>
      <w:r w:rsidRPr="006E6B00">
        <w:rPr>
          <w:rtl/>
        </w:rPr>
        <w:t xml:space="preserve"> فزع الناس إلى عبد الله بن مسعود</w:t>
      </w:r>
      <w:r>
        <w:rPr>
          <w:rFonts w:hint="cs"/>
          <w:rtl/>
        </w:rPr>
        <w:t xml:space="preserve">، </w:t>
      </w:r>
      <w:r w:rsidRPr="006E6B00">
        <w:rPr>
          <w:rtl/>
        </w:rPr>
        <w:t>فقال لهم عبد الله</w:t>
      </w:r>
      <w:r>
        <w:rPr>
          <w:rFonts w:hint="cs"/>
          <w:rtl/>
        </w:rPr>
        <w:t>:</w:t>
      </w:r>
      <w:r>
        <w:rPr>
          <w:rtl/>
        </w:rPr>
        <w:t xml:space="preserve"> اصبروا ف</w:t>
      </w:r>
      <w:r>
        <w:rPr>
          <w:rFonts w:hint="cs"/>
          <w:rtl/>
        </w:rPr>
        <w:t>إ</w:t>
      </w:r>
      <w:r w:rsidRPr="006E6B00">
        <w:rPr>
          <w:rtl/>
        </w:rPr>
        <w:t>ن</w:t>
      </w:r>
      <w:r>
        <w:rPr>
          <w:rFonts w:hint="cs"/>
          <w:rtl/>
        </w:rPr>
        <w:t>ّ</w:t>
      </w:r>
      <w:r w:rsidRPr="006E6B00">
        <w:rPr>
          <w:rtl/>
        </w:rPr>
        <w:t xml:space="preserve"> جور إمامكم خمسين عاما</w:t>
      </w:r>
      <w:r>
        <w:rPr>
          <w:rFonts w:hint="cs"/>
          <w:rtl/>
        </w:rPr>
        <w:t>ً</w:t>
      </w:r>
      <w:r w:rsidRPr="006E6B00">
        <w:rPr>
          <w:rtl/>
        </w:rPr>
        <w:t xml:space="preserve"> خير</w:t>
      </w:r>
      <w:r>
        <w:rPr>
          <w:rFonts w:hint="cs"/>
          <w:rtl/>
        </w:rPr>
        <w:t>ٌ</w:t>
      </w:r>
      <w:r w:rsidRPr="006E6B00">
        <w:rPr>
          <w:rtl/>
        </w:rPr>
        <w:t xml:space="preserve"> من هرج شهر</w:t>
      </w:r>
      <w:r>
        <w:rPr>
          <w:rFonts w:hint="cs"/>
          <w:rtl/>
        </w:rPr>
        <w:t>؛</w:t>
      </w:r>
      <w:r w:rsidRPr="006E6B00">
        <w:rPr>
          <w:rtl/>
        </w:rPr>
        <w:t xml:space="preserve"> وذلك</w:t>
      </w:r>
      <w:r>
        <w:rPr>
          <w:rFonts w:hint="cs"/>
          <w:rtl/>
        </w:rPr>
        <w:t xml:space="preserve"> أنّي </w:t>
      </w:r>
      <w:r w:rsidRPr="006E6B00">
        <w:rPr>
          <w:rtl/>
        </w:rPr>
        <w:t>سمعت رسول الله</w:t>
      </w:r>
      <w:r>
        <w:rPr>
          <w:rFonts w:hint="cs"/>
          <w:rtl/>
        </w:rPr>
        <w:t>‘ ي</w:t>
      </w:r>
      <w:r w:rsidRPr="006E6B00">
        <w:rPr>
          <w:rtl/>
        </w:rPr>
        <w:t>قول</w:t>
      </w:r>
      <w:r>
        <w:rPr>
          <w:rFonts w:hint="cs"/>
          <w:rtl/>
        </w:rPr>
        <w:t>:</w:t>
      </w:r>
      <w:r w:rsidRPr="006E6B00">
        <w:rPr>
          <w:rtl/>
        </w:rPr>
        <w:t xml:space="preserve"> </w:t>
      </w:r>
      <w:r>
        <w:rPr>
          <w:rFonts w:hint="cs"/>
          <w:rtl/>
        </w:rPr>
        <w:t>«</w:t>
      </w:r>
      <w:r w:rsidRPr="006E6B00">
        <w:rPr>
          <w:rtl/>
        </w:rPr>
        <w:t>لا</w:t>
      </w:r>
      <w:r>
        <w:rPr>
          <w:rFonts w:hint="cs"/>
          <w:rtl/>
        </w:rPr>
        <w:t xml:space="preserve"> </w:t>
      </w:r>
      <w:r w:rsidRPr="006E6B00">
        <w:rPr>
          <w:rtl/>
        </w:rPr>
        <w:t>بد</w:t>
      </w:r>
      <w:r>
        <w:rPr>
          <w:rFonts w:hint="cs"/>
          <w:rtl/>
        </w:rPr>
        <w:t>ّ</w:t>
      </w:r>
      <w:r w:rsidRPr="006E6B00">
        <w:rPr>
          <w:rtl/>
        </w:rPr>
        <w:t xml:space="preserve"> للناس من إمارة بر</w:t>
      </w:r>
      <w:r>
        <w:rPr>
          <w:rFonts w:hint="cs"/>
          <w:rtl/>
        </w:rPr>
        <w:t>ّ</w:t>
      </w:r>
      <w:r w:rsidRPr="006E6B00">
        <w:rPr>
          <w:rtl/>
        </w:rPr>
        <w:t>ة أو</w:t>
      </w:r>
      <w:r>
        <w:rPr>
          <w:rFonts w:hint="cs"/>
          <w:rtl/>
        </w:rPr>
        <w:t xml:space="preserve"> </w:t>
      </w:r>
      <w:r w:rsidRPr="006E6B00">
        <w:rPr>
          <w:rtl/>
        </w:rPr>
        <w:t>فاجرة</w:t>
      </w:r>
      <w:r>
        <w:rPr>
          <w:rFonts w:hint="cs"/>
          <w:rtl/>
        </w:rPr>
        <w:t>،</w:t>
      </w:r>
      <w:r w:rsidRPr="006E6B00">
        <w:rPr>
          <w:rtl/>
        </w:rPr>
        <w:t xml:space="preserve"> فأم</w:t>
      </w:r>
      <w:r>
        <w:rPr>
          <w:rFonts w:hint="cs"/>
          <w:rtl/>
        </w:rPr>
        <w:t>ّ</w:t>
      </w:r>
      <w:r w:rsidRPr="006E6B00">
        <w:rPr>
          <w:rtl/>
        </w:rPr>
        <w:t>ا البر</w:t>
      </w:r>
      <w:r w:rsidR="0018669E">
        <w:rPr>
          <w:rFonts w:hint="cs"/>
          <w:rtl/>
        </w:rPr>
        <w:t>ّ</w:t>
      </w:r>
      <w:r w:rsidRPr="006E6B00">
        <w:rPr>
          <w:rtl/>
        </w:rPr>
        <w:t>ة فتعدل في القسم</w:t>
      </w:r>
      <w:r>
        <w:rPr>
          <w:rFonts w:hint="cs"/>
          <w:rtl/>
        </w:rPr>
        <w:t>،</w:t>
      </w:r>
      <w:r w:rsidRPr="006E6B00">
        <w:rPr>
          <w:rtl/>
        </w:rPr>
        <w:t xml:space="preserve"> وتقسم فيئكم فيكم بالسوي</w:t>
      </w:r>
      <w:r>
        <w:rPr>
          <w:rFonts w:hint="cs"/>
          <w:rtl/>
        </w:rPr>
        <w:t>ّ</w:t>
      </w:r>
      <w:r w:rsidRPr="006E6B00">
        <w:rPr>
          <w:rtl/>
        </w:rPr>
        <w:t>ة</w:t>
      </w:r>
      <w:r>
        <w:rPr>
          <w:rFonts w:hint="cs"/>
          <w:rtl/>
        </w:rPr>
        <w:t>،</w:t>
      </w:r>
      <w:r w:rsidRPr="006E6B00">
        <w:rPr>
          <w:rtl/>
        </w:rPr>
        <w:t xml:space="preserve"> وأما الفاجرة</w:t>
      </w:r>
      <w:r>
        <w:rPr>
          <w:rFonts w:hint="cs"/>
          <w:rtl/>
        </w:rPr>
        <w:t xml:space="preserve"> </w:t>
      </w:r>
      <w:r w:rsidRPr="006E6B00">
        <w:rPr>
          <w:rtl/>
        </w:rPr>
        <w:t>فيبتلي فيها المؤمن</w:t>
      </w:r>
      <w:r>
        <w:rPr>
          <w:rFonts w:hint="cs"/>
          <w:rtl/>
        </w:rPr>
        <w:t>.</w:t>
      </w:r>
      <w:r>
        <w:rPr>
          <w:rtl/>
        </w:rPr>
        <w:t xml:space="preserve"> وال</w:t>
      </w:r>
      <w:r>
        <w:rPr>
          <w:rFonts w:hint="cs"/>
          <w:rtl/>
        </w:rPr>
        <w:t>إ</w:t>
      </w:r>
      <w:r w:rsidRPr="006E6B00">
        <w:rPr>
          <w:rtl/>
        </w:rPr>
        <w:t>مارة الفاجرة خير</w:t>
      </w:r>
      <w:r>
        <w:rPr>
          <w:rFonts w:hint="cs"/>
          <w:rtl/>
        </w:rPr>
        <w:t>ٌ</w:t>
      </w:r>
      <w:r w:rsidRPr="006E6B00">
        <w:rPr>
          <w:rtl/>
        </w:rPr>
        <w:t xml:space="preserve"> من الهرج</w:t>
      </w:r>
      <w:r>
        <w:rPr>
          <w:rFonts w:hint="cs"/>
          <w:rtl/>
        </w:rPr>
        <w:t>»</w:t>
      </w:r>
      <w:r w:rsidRPr="006E6B00">
        <w:rPr>
          <w:rtl/>
        </w:rPr>
        <w:t xml:space="preserve"> قيل</w:t>
      </w:r>
      <w:r>
        <w:rPr>
          <w:rFonts w:hint="cs"/>
          <w:rtl/>
        </w:rPr>
        <w:t>:</w:t>
      </w:r>
      <w:r w:rsidRPr="006E6B00">
        <w:rPr>
          <w:rtl/>
        </w:rPr>
        <w:t xml:space="preserve"> يا رسول الله</w:t>
      </w:r>
      <w:r>
        <w:rPr>
          <w:rFonts w:hint="cs"/>
          <w:rtl/>
        </w:rPr>
        <w:t>،</w:t>
      </w:r>
      <w:r w:rsidRPr="006E6B00">
        <w:rPr>
          <w:rtl/>
        </w:rPr>
        <w:t xml:space="preserve"> وما الهرج</w:t>
      </w:r>
      <w:r>
        <w:rPr>
          <w:rFonts w:hint="cs"/>
          <w:rtl/>
        </w:rPr>
        <w:t xml:space="preserve">؟ </w:t>
      </w:r>
      <w:r w:rsidRPr="006E6B00">
        <w:rPr>
          <w:rtl/>
        </w:rPr>
        <w:t>قال</w:t>
      </w:r>
      <w:r>
        <w:rPr>
          <w:rFonts w:hint="cs"/>
          <w:rtl/>
        </w:rPr>
        <w:t>:</w:t>
      </w:r>
      <w:r w:rsidRPr="006E6B00">
        <w:rPr>
          <w:rtl/>
        </w:rPr>
        <w:t xml:space="preserve"> </w:t>
      </w:r>
      <w:r>
        <w:rPr>
          <w:rFonts w:hint="cs"/>
          <w:rtl/>
        </w:rPr>
        <w:t>«</w:t>
      </w:r>
      <w:r w:rsidRPr="006E6B00">
        <w:rPr>
          <w:rtl/>
        </w:rPr>
        <w:t>القتل والكذب</w:t>
      </w:r>
      <w:r>
        <w:rPr>
          <w:rFonts w:hint="cs"/>
          <w:rtl/>
        </w:rPr>
        <w:t>»</w:t>
      </w:r>
      <w:r w:rsidRPr="000A4159">
        <w:rPr>
          <w:rFonts w:cs="Taher"/>
          <w:vertAlign w:val="superscript"/>
          <w:rtl/>
        </w:rPr>
        <w:t>(</w:t>
      </w:r>
      <w:r w:rsidRPr="000A4159">
        <w:rPr>
          <w:rStyle w:val="FootnoteReference"/>
          <w:rFonts w:cs="Taher"/>
          <w:rtl/>
        </w:rPr>
        <w:footnoteReference w:id="355"/>
      </w:r>
      <w:r w:rsidRPr="000A4159">
        <w:rPr>
          <w:rFonts w:cs="Taher"/>
          <w:vertAlign w:val="superscript"/>
          <w:rtl/>
        </w:rPr>
        <w:t>)</w:t>
      </w:r>
      <w:r>
        <w:rPr>
          <w:rFonts w:hint="cs"/>
          <w:rtl/>
        </w:rPr>
        <w:t>.</w:t>
      </w:r>
    </w:p>
    <w:p w14:paraId="723870BA" w14:textId="77777777" w:rsidR="006E6B00" w:rsidRDefault="006E6B00" w:rsidP="00FC2B48">
      <w:pPr>
        <w:spacing w:line="214" w:lineRule="auto"/>
        <w:rPr>
          <w:rtl/>
        </w:rPr>
      </w:pPr>
      <w:r w:rsidRPr="008026A4">
        <w:rPr>
          <w:rFonts w:hint="cs"/>
          <w:b/>
          <w:bCs/>
          <w:rtl/>
        </w:rPr>
        <w:t>وقد علّق الهيثمي على الحديث</w:t>
      </w:r>
      <w:r>
        <w:rPr>
          <w:rFonts w:hint="cs"/>
          <w:rtl/>
        </w:rPr>
        <w:t xml:space="preserve"> بقوله: </w:t>
      </w:r>
      <w:r>
        <w:rPr>
          <w:rFonts w:hint="eastAsia"/>
          <w:rtl/>
        </w:rPr>
        <w:t>«</w:t>
      </w:r>
      <w:r w:rsidRPr="006E6B00">
        <w:rPr>
          <w:rtl/>
        </w:rPr>
        <w:t>رواه الطبراني</w:t>
      </w:r>
      <w:r w:rsidR="00FC2B48">
        <w:rPr>
          <w:rFonts w:hint="cs"/>
          <w:rtl/>
        </w:rPr>
        <w:t>،</w:t>
      </w:r>
      <w:r w:rsidRPr="006E6B00">
        <w:rPr>
          <w:rtl/>
        </w:rPr>
        <w:t xml:space="preserve"> وفيه وهب الله بن رزق</w:t>
      </w:r>
      <w:r w:rsidR="00FC2B48">
        <w:rPr>
          <w:rFonts w:hint="cs"/>
          <w:rtl/>
        </w:rPr>
        <w:t>،</w:t>
      </w:r>
      <w:r w:rsidRPr="006E6B00">
        <w:rPr>
          <w:rtl/>
        </w:rPr>
        <w:t xml:space="preserve"> ولم أعرفه، وبقي</w:t>
      </w:r>
      <w:r>
        <w:rPr>
          <w:rFonts w:hint="cs"/>
          <w:rtl/>
        </w:rPr>
        <w:t>ّ</w:t>
      </w:r>
      <w:r w:rsidRPr="006E6B00">
        <w:rPr>
          <w:rtl/>
        </w:rPr>
        <w:t>ة</w:t>
      </w:r>
      <w:r>
        <w:rPr>
          <w:rFonts w:hint="cs"/>
          <w:rtl/>
        </w:rPr>
        <w:t xml:space="preserve"> </w:t>
      </w:r>
      <w:r w:rsidRPr="006E6B00">
        <w:rPr>
          <w:rtl/>
        </w:rPr>
        <w:t>رجاله ثقات</w:t>
      </w:r>
      <w:r>
        <w:rPr>
          <w:rFonts w:hint="cs"/>
          <w:rtl/>
        </w:rPr>
        <w:t>»</w:t>
      </w:r>
      <w:r w:rsidRPr="000A4159">
        <w:rPr>
          <w:rFonts w:cs="Taher"/>
          <w:vertAlign w:val="superscript"/>
          <w:rtl/>
        </w:rPr>
        <w:t>(</w:t>
      </w:r>
      <w:r w:rsidRPr="000A4159">
        <w:rPr>
          <w:rStyle w:val="FootnoteReference"/>
          <w:rFonts w:cs="Taher"/>
          <w:rtl/>
        </w:rPr>
        <w:footnoteReference w:id="356"/>
      </w:r>
      <w:r w:rsidRPr="000A4159">
        <w:rPr>
          <w:rFonts w:cs="Taher"/>
          <w:vertAlign w:val="superscript"/>
          <w:rtl/>
        </w:rPr>
        <w:t>)</w:t>
      </w:r>
      <w:r>
        <w:rPr>
          <w:rFonts w:hint="cs"/>
          <w:rtl/>
        </w:rPr>
        <w:t>.</w:t>
      </w:r>
      <w:r w:rsidR="00FC2B48">
        <w:rPr>
          <w:rFonts w:hint="cs"/>
          <w:rtl/>
        </w:rPr>
        <w:t xml:space="preserve"> ولم أعثر على شيءٍ في محمّد بن عبد الله بن عرس</w:t>
      </w:r>
      <w:r w:rsidR="00B17EFD">
        <w:rPr>
          <w:rFonts w:hint="cs"/>
          <w:rtl/>
        </w:rPr>
        <w:t xml:space="preserve"> ووهب الله بن رزق،</w:t>
      </w:r>
      <w:r w:rsidR="00FC2B48">
        <w:rPr>
          <w:rFonts w:hint="cs"/>
          <w:rtl/>
        </w:rPr>
        <w:t xml:space="preserve"> يعتمد عليه، وقد وقع</w:t>
      </w:r>
      <w:r w:rsidR="00B17EFD">
        <w:rPr>
          <w:rFonts w:hint="cs"/>
          <w:rtl/>
        </w:rPr>
        <w:t>ا</w:t>
      </w:r>
      <w:r w:rsidR="00FC2B48">
        <w:rPr>
          <w:rFonts w:hint="cs"/>
          <w:rtl/>
        </w:rPr>
        <w:t xml:space="preserve"> في الإسناد.</w:t>
      </w:r>
    </w:p>
    <w:p w14:paraId="7A497326" w14:textId="77777777" w:rsidR="00D47AA2" w:rsidRDefault="00D47AA2" w:rsidP="00D47AA2">
      <w:pPr>
        <w:spacing w:line="214" w:lineRule="auto"/>
        <w:rPr>
          <w:rtl/>
        </w:rPr>
      </w:pPr>
      <w:r w:rsidRPr="00D47AA2">
        <w:rPr>
          <w:rFonts w:hint="cs"/>
          <w:b/>
          <w:bCs/>
          <w:rtl/>
        </w:rPr>
        <w:t xml:space="preserve">الرواية السابعة عشرة: خبر </w:t>
      </w:r>
      <w:r w:rsidRPr="00D47AA2">
        <w:rPr>
          <w:b/>
          <w:bCs/>
          <w:rtl/>
        </w:rPr>
        <w:t>أسماء بنت يزيد</w:t>
      </w:r>
      <w:r w:rsidRPr="00D47AA2">
        <w:rPr>
          <w:rFonts w:hint="cs"/>
          <w:b/>
          <w:bCs/>
          <w:rtl/>
        </w:rPr>
        <w:t>،</w:t>
      </w:r>
      <w:r>
        <w:rPr>
          <w:rtl/>
        </w:rPr>
        <w:t xml:space="preserve"> </w:t>
      </w:r>
      <w:r>
        <w:rPr>
          <w:rFonts w:hint="cs"/>
          <w:rtl/>
        </w:rPr>
        <w:t>أ</w:t>
      </w:r>
      <w:r w:rsidRPr="00D47AA2">
        <w:rPr>
          <w:rtl/>
        </w:rPr>
        <w:t>ن</w:t>
      </w:r>
      <w:r>
        <w:rPr>
          <w:rFonts w:hint="cs"/>
          <w:rtl/>
        </w:rPr>
        <w:t>ّ</w:t>
      </w:r>
      <w:r w:rsidRPr="00D47AA2">
        <w:rPr>
          <w:rtl/>
        </w:rPr>
        <w:t xml:space="preserve"> أبا ذر</w:t>
      </w:r>
      <w:r>
        <w:rPr>
          <w:rFonts w:hint="cs"/>
          <w:rtl/>
        </w:rPr>
        <w:t>ّ</w:t>
      </w:r>
      <w:r w:rsidRPr="00D47AA2">
        <w:rPr>
          <w:rtl/>
        </w:rPr>
        <w:t xml:space="preserve"> الغفاري كان يخدم النبي</w:t>
      </w:r>
      <w:r>
        <w:rPr>
          <w:rFonts w:hint="cs"/>
          <w:rtl/>
        </w:rPr>
        <w:t>ّ‘،</w:t>
      </w:r>
      <w:r w:rsidRPr="00D47AA2">
        <w:rPr>
          <w:rtl/>
        </w:rPr>
        <w:t xml:space="preserve"> فإذا فرغ من خدمته آوى إلى</w:t>
      </w:r>
      <w:r>
        <w:rPr>
          <w:rFonts w:hint="cs"/>
          <w:rtl/>
        </w:rPr>
        <w:t xml:space="preserve"> </w:t>
      </w:r>
      <w:r w:rsidRPr="00D47AA2">
        <w:rPr>
          <w:rtl/>
        </w:rPr>
        <w:t>المسجد</w:t>
      </w:r>
      <w:r>
        <w:rPr>
          <w:rFonts w:hint="cs"/>
          <w:rtl/>
        </w:rPr>
        <w:t>،</w:t>
      </w:r>
      <w:r w:rsidRPr="00D47AA2">
        <w:rPr>
          <w:rtl/>
        </w:rPr>
        <w:t xml:space="preserve"> فكان هو بيته يضطجع فيه</w:t>
      </w:r>
      <w:r>
        <w:rPr>
          <w:rFonts w:hint="cs"/>
          <w:rtl/>
        </w:rPr>
        <w:t>،</w:t>
      </w:r>
      <w:r w:rsidRPr="00D47AA2">
        <w:rPr>
          <w:rtl/>
        </w:rPr>
        <w:t xml:space="preserve"> فدخل رسول الله</w:t>
      </w:r>
      <w:r>
        <w:rPr>
          <w:rFonts w:hint="cs"/>
          <w:rtl/>
        </w:rPr>
        <w:t xml:space="preserve">‘ </w:t>
      </w:r>
      <w:r w:rsidRPr="00D47AA2">
        <w:rPr>
          <w:rtl/>
        </w:rPr>
        <w:t>المسجد ليلة</w:t>
      </w:r>
      <w:r>
        <w:rPr>
          <w:rFonts w:hint="cs"/>
          <w:rtl/>
        </w:rPr>
        <w:t>ً،</w:t>
      </w:r>
      <w:r w:rsidRPr="00D47AA2">
        <w:rPr>
          <w:rtl/>
        </w:rPr>
        <w:t xml:space="preserve"> فوجد أبا ذر نائما</w:t>
      </w:r>
      <w:r>
        <w:rPr>
          <w:rFonts w:hint="cs"/>
          <w:rtl/>
        </w:rPr>
        <w:t>ً</w:t>
      </w:r>
      <w:r w:rsidRPr="00D47AA2">
        <w:rPr>
          <w:rtl/>
        </w:rPr>
        <w:t xml:space="preserve"> منجدلا</w:t>
      </w:r>
      <w:r>
        <w:rPr>
          <w:rFonts w:hint="cs"/>
          <w:rtl/>
        </w:rPr>
        <w:t xml:space="preserve">ً </w:t>
      </w:r>
      <w:r w:rsidRPr="00D47AA2">
        <w:rPr>
          <w:rtl/>
        </w:rPr>
        <w:t>في المسجد</w:t>
      </w:r>
      <w:r>
        <w:rPr>
          <w:rFonts w:hint="cs"/>
          <w:rtl/>
        </w:rPr>
        <w:t>،</w:t>
      </w:r>
      <w:r w:rsidRPr="00D47AA2">
        <w:rPr>
          <w:rtl/>
        </w:rPr>
        <w:t xml:space="preserve"> فنكته رسول الله</w:t>
      </w:r>
      <w:r>
        <w:rPr>
          <w:rFonts w:hint="cs"/>
          <w:rtl/>
        </w:rPr>
        <w:t>‘</w:t>
      </w:r>
      <w:r w:rsidRPr="00D47AA2">
        <w:rPr>
          <w:rtl/>
        </w:rPr>
        <w:t xml:space="preserve"> برجله حتى استوى جالسا</w:t>
      </w:r>
      <w:r>
        <w:rPr>
          <w:rFonts w:hint="cs"/>
          <w:rtl/>
        </w:rPr>
        <w:t>ً،</w:t>
      </w:r>
      <w:r w:rsidRPr="00D47AA2">
        <w:rPr>
          <w:rtl/>
        </w:rPr>
        <w:t xml:space="preserve"> فقال له رسول الله</w:t>
      </w:r>
      <w:r>
        <w:rPr>
          <w:rFonts w:hint="cs"/>
          <w:rtl/>
        </w:rPr>
        <w:t xml:space="preserve">‘: </w:t>
      </w:r>
      <w:r>
        <w:rPr>
          <w:rFonts w:hint="eastAsia"/>
          <w:rtl/>
        </w:rPr>
        <w:t>«</w:t>
      </w:r>
      <w:r>
        <w:rPr>
          <w:rFonts w:hint="cs"/>
          <w:rtl/>
        </w:rPr>
        <w:t>أ</w:t>
      </w:r>
      <w:r w:rsidRPr="00D47AA2">
        <w:rPr>
          <w:rtl/>
        </w:rPr>
        <w:t>لا أراك نائما</w:t>
      </w:r>
      <w:r>
        <w:rPr>
          <w:rFonts w:hint="cs"/>
          <w:rtl/>
        </w:rPr>
        <w:t>ً</w:t>
      </w:r>
      <w:r>
        <w:rPr>
          <w:rFonts w:hint="eastAsia"/>
          <w:rtl/>
        </w:rPr>
        <w:t>»،</w:t>
      </w:r>
      <w:r w:rsidRPr="00D47AA2">
        <w:rPr>
          <w:rtl/>
        </w:rPr>
        <w:t xml:space="preserve"> قال أبو ذر</w:t>
      </w:r>
      <w:r>
        <w:rPr>
          <w:rFonts w:hint="cs"/>
          <w:rtl/>
        </w:rPr>
        <w:t>:</w:t>
      </w:r>
      <w:r w:rsidRPr="00D47AA2">
        <w:rPr>
          <w:rtl/>
        </w:rPr>
        <w:t xml:space="preserve"> يا رسول الله</w:t>
      </w:r>
      <w:r>
        <w:rPr>
          <w:rFonts w:hint="cs"/>
          <w:rtl/>
        </w:rPr>
        <w:t>،</w:t>
      </w:r>
      <w:r w:rsidRPr="00D47AA2">
        <w:rPr>
          <w:rtl/>
        </w:rPr>
        <w:t xml:space="preserve"> فأين أنام</w:t>
      </w:r>
      <w:r>
        <w:rPr>
          <w:rFonts w:hint="cs"/>
          <w:rtl/>
        </w:rPr>
        <w:t>؟!</w:t>
      </w:r>
      <w:r w:rsidRPr="00D47AA2">
        <w:rPr>
          <w:rtl/>
        </w:rPr>
        <w:t xml:space="preserve"> هل لي من بيت غيره</w:t>
      </w:r>
      <w:r>
        <w:rPr>
          <w:rFonts w:hint="cs"/>
          <w:rtl/>
        </w:rPr>
        <w:t>؟!،</w:t>
      </w:r>
      <w:r w:rsidRPr="00D47AA2">
        <w:rPr>
          <w:rtl/>
        </w:rPr>
        <w:t xml:space="preserve"> فجلس إليه رسول الله</w:t>
      </w:r>
      <w:r>
        <w:rPr>
          <w:rFonts w:hint="cs"/>
          <w:rtl/>
        </w:rPr>
        <w:t xml:space="preserve">‘، </w:t>
      </w:r>
      <w:r w:rsidRPr="00D47AA2">
        <w:rPr>
          <w:rtl/>
        </w:rPr>
        <w:t>فقال له</w:t>
      </w:r>
      <w:r>
        <w:rPr>
          <w:rFonts w:hint="cs"/>
          <w:rtl/>
        </w:rPr>
        <w:t>:</w:t>
      </w:r>
      <w:r w:rsidRPr="00D47AA2">
        <w:rPr>
          <w:rtl/>
        </w:rPr>
        <w:t xml:space="preserve"> </w:t>
      </w:r>
      <w:r>
        <w:rPr>
          <w:rFonts w:hint="cs"/>
          <w:rtl/>
        </w:rPr>
        <w:t>«</w:t>
      </w:r>
      <w:r w:rsidRPr="00D47AA2">
        <w:rPr>
          <w:rtl/>
        </w:rPr>
        <w:t>كيف أنت إذا أخرجوك منه</w:t>
      </w:r>
      <w:r>
        <w:rPr>
          <w:rFonts w:hint="cs"/>
          <w:rtl/>
        </w:rPr>
        <w:t>؟»،</w:t>
      </w:r>
      <w:r w:rsidRPr="00D47AA2">
        <w:rPr>
          <w:rtl/>
        </w:rPr>
        <w:t xml:space="preserve"> قال</w:t>
      </w:r>
      <w:r>
        <w:rPr>
          <w:rFonts w:hint="cs"/>
          <w:rtl/>
        </w:rPr>
        <w:t>:</w:t>
      </w:r>
      <w:r w:rsidRPr="00D47AA2">
        <w:rPr>
          <w:rtl/>
        </w:rPr>
        <w:t xml:space="preserve"> إذا</w:t>
      </w:r>
      <w:r>
        <w:rPr>
          <w:rFonts w:hint="cs"/>
          <w:rtl/>
        </w:rPr>
        <w:t>ً</w:t>
      </w:r>
      <w:r w:rsidRPr="00D47AA2">
        <w:rPr>
          <w:rtl/>
        </w:rPr>
        <w:t xml:space="preserve"> ألحق بالشام</w:t>
      </w:r>
      <w:r>
        <w:rPr>
          <w:rFonts w:hint="cs"/>
          <w:rtl/>
        </w:rPr>
        <w:t>،</w:t>
      </w:r>
      <w:r>
        <w:rPr>
          <w:rtl/>
        </w:rPr>
        <w:t xml:space="preserve"> ف</w:t>
      </w:r>
      <w:r>
        <w:rPr>
          <w:rFonts w:hint="cs"/>
          <w:rtl/>
        </w:rPr>
        <w:t>إ</w:t>
      </w:r>
      <w:r w:rsidRPr="00D47AA2">
        <w:rPr>
          <w:rtl/>
        </w:rPr>
        <w:t>ن</w:t>
      </w:r>
      <w:r>
        <w:rPr>
          <w:rFonts w:hint="cs"/>
          <w:rtl/>
        </w:rPr>
        <w:t>ّ</w:t>
      </w:r>
      <w:r w:rsidRPr="00D47AA2">
        <w:rPr>
          <w:rtl/>
        </w:rPr>
        <w:t xml:space="preserve"> الشام أرض الهجرة</w:t>
      </w:r>
      <w:r>
        <w:rPr>
          <w:rFonts w:hint="cs"/>
          <w:rtl/>
        </w:rPr>
        <w:t>،</w:t>
      </w:r>
      <w:r w:rsidRPr="00D47AA2">
        <w:rPr>
          <w:rtl/>
        </w:rPr>
        <w:t xml:space="preserve"> وأرض المحشر</w:t>
      </w:r>
      <w:r>
        <w:rPr>
          <w:rFonts w:hint="cs"/>
          <w:rtl/>
        </w:rPr>
        <w:t>،</w:t>
      </w:r>
      <w:r w:rsidRPr="00D47AA2">
        <w:rPr>
          <w:rtl/>
        </w:rPr>
        <w:t xml:space="preserve"> وأرض</w:t>
      </w:r>
      <w:r>
        <w:rPr>
          <w:rFonts w:hint="cs"/>
          <w:rtl/>
        </w:rPr>
        <w:t xml:space="preserve"> </w:t>
      </w:r>
      <w:r w:rsidRPr="00D47AA2">
        <w:rPr>
          <w:rtl/>
        </w:rPr>
        <w:t>الأنبياء</w:t>
      </w:r>
      <w:r>
        <w:rPr>
          <w:rFonts w:hint="cs"/>
          <w:rtl/>
        </w:rPr>
        <w:t>،</w:t>
      </w:r>
      <w:r w:rsidRPr="00D47AA2">
        <w:rPr>
          <w:rtl/>
        </w:rPr>
        <w:t xml:space="preserve"> فأكون رجلا</w:t>
      </w:r>
      <w:r>
        <w:rPr>
          <w:rFonts w:hint="cs"/>
          <w:rtl/>
        </w:rPr>
        <w:t>ً</w:t>
      </w:r>
      <w:r w:rsidRPr="00D47AA2">
        <w:rPr>
          <w:rtl/>
        </w:rPr>
        <w:t xml:space="preserve"> من أهلها</w:t>
      </w:r>
      <w:r>
        <w:rPr>
          <w:rFonts w:hint="cs"/>
          <w:rtl/>
        </w:rPr>
        <w:t>.</w:t>
      </w:r>
      <w:r w:rsidRPr="00D47AA2">
        <w:rPr>
          <w:rtl/>
        </w:rPr>
        <w:t xml:space="preserve"> قال له</w:t>
      </w:r>
      <w:r>
        <w:rPr>
          <w:rFonts w:hint="cs"/>
          <w:rtl/>
        </w:rPr>
        <w:t>:</w:t>
      </w:r>
      <w:r w:rsidRPr="00D47AA2">
        <w:rPr>
          <w:rtl/>
        </w:rPr>
        <w:t xml:space="preserve"> </w:t>
      </w:r>
      <w:r>
        <w:rPr>
          <w:rFonts w:hint="cs"/>
          <w:rtl/>
        </w:rPr>
        <w:t>«</w:t>
      </w:r>
      <w:r w:rsidRPr="00D47AA2">
        <w:rPr>
          <w:rtl/>
        </w:rPr>
        <w:t xml:space="preserve">كيف </w:t>
      </w:r>
      <w:r w:rsidRPr="00D47AA2">
        <w:rPr>
          <w:rtl/>
        </w:rPr>
        <w:lastRenderedPageBreak/>
        <w:t>أنت إذا أخرجوك من الشام</w:t>
      </w:r>
      <w:r>
        <w:rPr>
          <w:rFonts w:hint="cs"/>
          <w:rtl/>
        </w:rPr>
        <w:t>؟»،</w:t>
      </w:r>
      <w:r w:rsidRPr="00D47AA2">
        <w:rPr>
          <w:rtl/>
        </w:rPr>
        <w:t xml:space="preserve"> قال</w:t>
      </w:r>
      <w:r>
        <w:rPr>
          <w:rFonts w:hint="cs"/>
          <w:rtl/>
        </w:rPr>
        <w:t>:</w:t>
      </w:r>
      <w:r w:rsidRPr="00D47AA2">
        <w:rPr>
          <w:rtl/>
        </w:rPr>
        <w:t xml:space="preserve"> إذا</w:t>
      </w:r>
      <w:r>
        <w:rPr>
          <w:rFonts w:hint="cs"/>
          <w:rtl/>
        </w:rPr>
        <w:t>ً</w:t>
      </w:r>
      <w:r w:rsidRPr="00D47AA2">
        <w:rPr>
          <w:rtl/>
        </w:rPr>
        <w:t xml:space="preserve"> أرجع إليه فيكون</w:t>
      </w:r>
      <w:r>
        <w:rPr>
          <w:rFonts w:hint="cs"/>
          <w:rtl/>
        </w:rPr>
        <w:t xml:space="preserve"> </w:t>
      </w:r>
      <w:r w:rsidRPr="00D47AA2">
        <w:rPr>
          <w:rtl/>
        </w:rPr>
        <w:t>هو بيتي ومنزلي</w:t>
      </w:r>
      <w:r>
        <w:rPr>
          <w:rFonts w:hint="cs"/>
          <w:rtl/>
        </w:rPr>
        <w:t>،</w:t>
      </w:r>
      <w:r w:rsidRPr="00D47AA2">
        <w:rPr>
          <w:rtl/>
        </w:rPr>
        <w:t xml:space="preserve"> قال له</w:t>
      </w:r>
      <w:r>
        <w:rPr>
          <w:rFonts w:hint="cs"/>
          <w:rtl/>
        </w:rPr>
        <w:t>:</w:t>
      </w:r>
      <w:r w:rsidRPr="00D47AA2">
        <w:rPr>
          <w:rtl/>
        </w:rPr>
        <w:t xml:space="preserve"> </w:t>
      </w:r>
      <w:r>
        <w:rPr>
          <w:rFonts w:hint="cs"/>
          <w:rtl/>
        </w:rPr>
        <w:t>«</w:t>
      </w:r>
      <w:r w:rsidRPr="00D47AA2">
        <w:rPr>
          <w:rtl/>
        </w:rPr>
        <w:t>كيف أنت إذا أخرجوك منه الثانية</w:t>
      </w:r>
      <w:r>
        <w:rPr>
          <w:rFonts w:hint="cs"/>
          <w:rtl/>
        </w:rPr>
        <w:t>؟</w:t>
      </w:r>
      <w:r>
        <w:rPr>
          <w:rFonts w:hint="eastAsia"/>
          <w:rtl/>
        </w:rPr>
        <w:t>»،</w:t>
      </w:r>
      <w:r w:rsidRPr="00D47AA2">
        <w:rPr>
          <w:rtl/>
        </w:rPr>
        <w:t xml:space="preserve"> قال</w:t>
      </w:r>
      <w:r>
        <w:rPr>
          <w:rFonts w:hint="cs"/>
          <w:rtl/>
        </w:rPr>
        <w:t>:</w:t>
      </w:r>
      <w:r w:rsidRPr="00D47AA2">
        <w:rPr>
          <w:rtl/>
        </w:rPr>
        <w:t xml:space="preserve"> إذا</w:t>
      </w:r>
      <w:r>
        <w:rPr>
          <w:rFonts w:hint="cs"/>
          <w:rtl/>
        </w:rPr>
        <w:t>ً</w:t>
      </w:r>
      <w:r w:rsidRPr="00D47AA2">
        <w:rPr>
          <w:rtl/>
        </w:rPr>
        <w:t xml:space="preserve"> آخذ سيفي فأقاتل عن</w:t>
      </w:r>
      <w:r>
        <w:rPr>
          <w:rFonts w:hint="cs"/>
          <w:rtl/>
        </w:rPr>
        <w:t>ّي</w:t>
      </w:r>
      <w:r w:rsidRPr="00D47AA2">
        <w:rPr>
          <w:rtl/>
        </w:rPr>
        <w:t xml:space="preserve"> حتى أموت</w:t>
      </w:r>
      <w:r>
        <w:rPr>
          <w:rFonts w:hint="cs"/>
          <w:rtl/>
        </w:rPr>
        <w:t>،</w:t>
      </w:r>
      <w:r w:rsidRPr="00D47AA2">
        <w:rPr>
          <w:rtl/>
        </w:rPr>
        <w:t xml:space="preserve"> قال</w:t>
      </w:r>
      <w:r>
        <w:rPr>
          <w:rFonts w:hint="cs"/>
          <w:rtl/>
        </w:rPr>
        <w:t xml:space="preserve">: </w:t>
      </w:r>
      <w:r w:rsidRPr="00D47AA2">
        <w:rPr>
          <w:rtl/>
        </w:rPr>
        <w:t>فكشر إليه رسول الله</w:t>
      </w:r>
      <w:r>
        <w:rPr>
          <w:rFonts w:hint="cs"/>
          <w:rtl/>
        </w:rPr>
        <w:t xml:space="preserve">‘ </w:t>
      </w:r>
      <w:r w:rsidRPr="00D47AA2">
        <w:rPr>
          <w:rtl/>
        </w:rPr>
        <w:t>فأثبته بيده</w:t>
      </w:r>
      <w:r>
        <w:rPr>
          <w:rFonts w:hint="cs"/>
          <w:rtl/>
        </w:rPr>
        <w:t>،</w:t>
      </w:r>
      <w:r w:rsidRPr="00D47AA2">
        <w:rPr>
          <w:rtl/>
        </w:rPr>
        <w:t xml:space="preserve"> قال</w:t>
      </w:r>
      <w:r>
        <w:rPr>
          <w:rFonts w:hint="cs"/>
          <w:rtl/>
        </w:rPr>
        <w:t>:</w:t>
      </w:r>
      <w:r w:rsidRPr="00D47AA2">
        <w:rPr>
          <w:rtl/>
        </w:rPr>
        <w:t xml:space="preserve"> </w:t>
      </w:r>
      <w:r>
        <w:rPr>
          <w:rFonts w:hint="cs"/>
          <w:rtl/>
        </w:rPr>
        <w:t>«</w:t>
      </w:r>
      <w:r w:rsidRPr="00D47AA2">
        <w:rPr>
          <w:rtl/>
        </w:rPr>
        <w:t>أدل</w:t>
      </w:r>
      <w:r>
        <w:rPr>
          <w:rFonts w:hint="cs"/>
          <w:rtl/>
        </w:rPr>
        <w:t>ّ</w:t>
      </w:r>
      <w:r w:rsidRPr="00D47AA2">
        <w:rPr>
          <w:rtl/>
        </w:rPr>
        <w:t>ك على خير</w:t>
      </w:r>
      <w:r>
        <w:rPr>
          <w:rFonts w:hint="cs"/>
          <w:rtl/>
        </w:rPr>
        <w:t>ٍ</w:t>
      </w:r>
      <w:r w:rsidRPr="00D47AA2">
        <w:rPr>
          <w:rtl/>
        </w:rPr>
        <w:t xml:space="preserve"> من ذلك</w:t>
      </w:r>
      <w:r>
        <w:rPr>
          <w:rFonts w:hint="cs"/>
          <w:rtl/>
        </w:rPr>
        <w:t>»،</w:t>
      </w:r>
      <w:r w:rsidRPr="00D47AA2">
        <w:rPr>
          <w:rtl/>
        </w:rPr>
        <w:t xml:space="preserve"> قال</w:t>
      </w:r>
      <w:r>
        <w:rPr>
          <w:rFonts w:hint="cs"/>
          <w:rtl/>
        </w:rPr>
        <w:t>:</w:t>
      </w:r>
      <w:r>
        <w:rPr>
          <w:rtl/>
        </w:rPr>
        <w:t xml:space="preserve"> بلى ب</w:t>
      </w:r>
      <w:r>
        <w:rPr>
          <w:rFonts w:hint="cs"/>
          <w:rtl/>
        </w:rPr>
        <w:t>أبي</w:t>
      </w:r>
      <w:r w:rsidRPr="00D47AA2">
        <w:rPr>
          <w:rtl/>
        </w:rPr>
        <w:t xml:space="preserve"> أنت وأمي يا نبي</w:t>
      </w:r>
      <w:r>
        <w:rPr>
          <w:rFonts w:hint="cs"/>
          <w:rtl/>
        </w:rPr>
        <w:t xml:space="preserve">ّ </w:t>
      </w:r>
      <w:r w:rsidRPr="00D47AA2">
        <w:rPr>
          <w:rtl/>
        </w:rPr>
        <w:t>الله</w:t>
      </w:r>
      <w:r>
        <w:rPr>
          <w:rFonts w:hint="cs"/>
          <w:rtl/>
        </w:rPr>
        <w:t>.</w:t>
      </w:r>
      <w:r w:rsidRPr="00D47AA2">
        <w:rPr>
          <w:rtl/>
        </w:rPr>
        <w:t xml:space="preserve"> قال رسول الله</w:t>
      </w:r>
      <w:r>
        <w:rPr>
          <w:rFonts w:hint="cs"/>
          <w:rtl/>
        </w:rPr>
        <w:t xml:space="preserve">‘: </w:t>
      </w:r>
      <w:r>
        <w:rPr>
          <w:rFonts w:hint="eastAsia"/>
          <w:rtl/>
        </w:rPr>
        <w:t>«</w:t>
      </w:r>
      <w:r w:rsidRPr="00D47AA2">
        <w:rPr>
          <w:rtl/>
        </w:rPr>
        <w:t>تنقاد لهم حيث قادوك</w:t>
      </w:r>
      <w:r>
        <w:rPr>
          <w:rFonts w:hint="cs"/>
          <w:rtl/>
        </w:rPr>
        <w:t>،</w:t>
      </w:r>
      <w:r w:rsidRPr="00D47AA2">
        <w:rPr>
          <w:rtl/>
        </w:rPr>
        <w:t xml:space="preserve"> وتنساق لهم حيث ساقوك</w:t>
      </w:r>
      <w:r>
        <w:rPr>
          <w:rFonts w:hint="cs"/>
          <w:rtl/>
        </w:rPr>
        <w:t>،</w:t>
      </w:r>
      <w:r w:rsidRPr="00D47AA2">
        <w:rPr>
          <w:rtl/>
        </w:rPr>
        <w:t xml:space="preserve"> حتى تلقاني وأنت على</w:t>
      </w:r>
      <w:r>
        <w:rPr>
          <w:rFonts w:hint="cs"/>
          <w:rtl/>
        </w:rPr>
        <w:t xml:space="preserve"> </w:t>
      </w:r>
      <w:r w:rsidRPr="00D47AA2">
        <w:rPr>
          <w:rtl/>
        </w:rPr>
        <w:t>ذلك</w:t>
      </w:r>
      <w:r>
        <w:rPr>
          <w:rFonts w:hint="cs"/>
          <w:rtl/>
        </w:rPr>
        <w:t>»</w:t>
      </w:r>
      <w:r w:rsidRPr="000A4159">
        <w:rPr>
          <w:rFonts w:cs="Taher"/>
          <w:vertAlign w:val="superscript"/>
          <w:rtl/>
        </w:rPr>
        <w:t>(</w:t>
      </w:r>
      <w:r w:rsidRPr="000A4159">
        <w:rPr>
          <w:rStyle w:val="FootnoteReference"/>
          <w:rFonts w:cs="Taher"/>
          <w:rtl/>
        </w:rPr>
        <w:footnoteReference w:id="357"/>
      </w:r>
      <w:r w:rsidRPr="000A4159">
        <w:rPr>
          <w:rFonts w:cs="Taher"/>
          <w:vertAlign w:val="superscript"/>
          <w:rtl/>
        </w:rPr>
        <w:t>)</w:t>
      </w:r>
      <w:r>
        <w:rPr>
          <w:rFonts w:hint="cs"/>
          <w:rtl/>
        </w:rPr>
        <w:t>.</w:t>
      </w:r>
    </w:p>
    <w:p w14:paraId="6ED36214" w14:textId="77777777" w:rsidR="009D49DA" w:rsidRPr="00822CE9" w:rsidRDefault="009D49DA" w:rsidP="008571D5">
      <w:pPr>
        <w:spacing w:line="214" w:lineRule="auto"/>
        <w:rPr>
          <w:rtl/>
        </w:rPr>
      </w:pPr>
      <w:r>
        <w:rPr>
          <w:rFonts w:hint="cs"/>
          <w:rtl/>
        </w:rPr>
        <w:t>وفي السند شهر بن حوشب، وفيه توثيقٌ وتضعيف، واللافت أنّ ابن حبان ضعّفه رغم تساهله في التوثيق.</w:t>
      </w:r>
      <w:r w:rsidR="008571D5">
        <w:rPr>
          <w:rFonts w:hint="cs"/>
          <w:rtl/>
        </w:rPr>
        <w:t xml:space="preserve"> وفي الرواية رائحة الوضع.</w:t>
      </w:r>
    </w:p>
    <w:p w14:paraId="3E667B0C" w14:textId="77777777" w:rsidR="000A4159" w:rsidRPr="000E47B2" w:rsidRDefault="000A4159" w:rsidP="000E47B2">
      <w:pPr>
        <w:rPr>
          <w:b/>
          <w:bCs/>
          <w:rtl/>
        </w:rPr>
      </w:pPr>
      <w:r w:rsidRPr="000E47B2">
        <w:rPr>
          <w:rFonts w:hint="cs"/>
          <w:b/>
          <w:bCs/>
          <w:rtl/>
        </w:rPr>
        <w:t>إلى غير ذلك من الروايات الواردة في هذا الصدد، والباقي إم</w:t>
      </w:r>
      <w:r w:rsidR="001D12B3" w:rsidRPr="000E47B2">
        <w:rPr>
          <w:rFonts w:hint="cs"/>
          <w:b/>
          <w:bCs/>
          <w:rtl/>
        </w:rPr>
        <w:t>ّ</w:t>
      </w:r>
      <w:r w:rsidRPr="000E47B2">
        <w:rPr>
          <w:rFonts w:hint="cs"/>
          <w:b/>
          <w:bCs/>
          <w:rtl/>
        </w:rPr>
        <w:t>ا مذكور في المصادر الحديثي</w:t>
      </w:r>
      <w:r w:rsidR="001D12B3" w:rsidRPr="000E47B2">
        <w:rPr>
          <w:rFonts w:hint="cs"/>
          <w:b/>
          <w:bCs/>
          <w:rtl/>
        </w:rPr>
        <w:t>ّ</w:t>
      </w:r>
      <w:r w:rsidRPr="000E47B2">
        <w:rPr>
          <w:rFonts w:hint="cs"/>
          <w:b/>
          <w:bCs/>
          <w:rtl/>
        </w:rPr>
        <w:t>ة اللاحقة</w:t>
      </w:r>
      <w:r w:rsidR="001D12B3" w:rsidRPr="000E47B2">
        <w:rPr>
          <w:rFonts w:hint="cs"/>
          <w:b/>
          <w:bCs/>
          <w:rtl/>
        </w:rPr>
        <w:t>،</w:t>
      </w:r>
      <w:r w:rsidRPr="000E47B2">
        <w:rPr>
          <w:rFonts w:hint="cs"/>
          <w:b/>
          <w:bCs/>
          <w:rtl/>
        </w:rPr>
        <w:t xml:space="preserve"> نقلاً عن سابق</w:t>
      </w:r>
      <w:r w:rsidR="001D12B3" w:rsidRPr="000E47B2">
        <w:rPr>
          <w:rFonts w:hint="cs"/>
          <w:b/>
          <w:bCs/>
          <w:rtl/>
        </w:rPr>
        <w:t>ا</w:t>
      </w:r>
      <w:r w:rsidRPr="000E47B2">
        <w:rPr>
          <w:rFonts w:hint="cs"/>
          <w:b/>
          <w:bCs/>
          <w:rtl/>
        </w:rPr>
        <w:t>تها</w:t>
      </w:r>
      <w:r w:rsidR="001D12B3" w:rsidRPr="000E47B2">
        <w:rPr>
          <w:rFonts w:hint="cs"/>
          <w:b/>
          <w:bCs/>
          <w:rtl/>
        </w:rPr>
        <w:t>،</w:t>
      </w:r>
      <w:r w:rsidRPr="000E47B2">
        <w:rPr>
          <w:rFonts w:hint="cs"/>
          <w:b/>
          <w:bCs/>
          <w:rtl/>
        </w:rPr>
        <w:t xml:space="preserve"> فيكون تكراراً، مع بعض الاختلافات الطفيفة أحياناً في المتن، أو متأخ</w:t>
      </w:r>
      <w:r w:rsidR="001D12B3" w:rsidRPr="000E47B2">
        <w:rPr>
          <w:rFonts w:hint="cs"/>
          <w:b/>
          <w:bCs/>
          <w:rtl/>
        </w:rPr>
        <w:t>ّ</w:t>
      </w:r>
      <w:r w:rsidRPr="000E47B2">
        <w:rPr>
          <w:rFonts w:hint="cs"/>
          <w:b/>
          <w:bCs/>
          <w:rtl/>
        </w:rPr>
        <w:t xml:space="preserve">ر ضعيف السند جداً لا </w:t>
      </w:r>
      <w:r w:rsidR="001D12B3" w:rsidRPr="000E47B2">
        <w:rPr>
          <w:rFonts w:hint="cs"/>
          <w:b/>
          <w:bCs/>
          <w:rtl/>
        </w:rPr>
        <w:t>يعت</w:t>
      </w:r>
      <w:r w:rsidRPr="000E47B2">
        <w:rPr>
          <w:rFonts w:hint="cs"/>
          <w:b/>
          <w:bCs/>
          <w:rtl/>
        </w:rPr>
        <w:t>دّ به هنا</w:t>
      </w:r>
      <w:r w:rsidR="0059253B" w:rsidRPr="000E47B2">
        <w:rPr>
          <w:rFonts w:hint="cs"/>
          <w:b/>
          <w:bCs/>
          <w:rtl/>
        </w:rPr>
        <w:t>، فلا داعي للإطالة. وأمرُها ـ من حيث السند والمتن ـ صار واضحاً ممّا تقدّم.</w:t>
      </w:r>
    </w:p>
    <w:p w14:paraId="7C8B56D8" w14:textId="77777777" w:rsidR="00E77FE1" w:rsidRPr="00E77FE1" w:rsidRDefault="00E77FE1" w:rsidP="0096148C">
      <w:pPr>
        <w:pStyle w:val="Heading3"/>
        <w:rPr>
          <w:rtl/>
        </w:rPr>
      </w:pPr>
      <w:bookmarkStart w:id="201" w:name="_Toc143804180"/>
      <w:bookmarkStart w:id="202" w:name="_Toc238123305"/>
      <w:r w:rsidRPr="00E77FE1">
        <w:rPr>
          <w:rFonts w:hint="cs"/>
          <w:rtl/>
        </w:rPr>
        <w:t>1 ـ 2 ـ مرجعيّ</w:t>
      </w:r>
      <w:r>
        <w:rPr>
          <w:rFonts w:hint="cs"/>
          <w:rtl/>
        </w:rPr>
        <w:t>تا:</w:t>
      </w:r>
      <w:r w:rsidRPr="00E77FE1">
        <w:rPr>
          <w:rFonts w:hint="cs"/>
          <w:rtl/>
        </w:rPr>
        <w:t xml:space="preserve"> الإجماع </w:t>
      </w:r>
      <w:r>
        <w:rPr>
          <w:rFonts w:hint="cs"/>
          <w:rtl/>
        </w:rPr>
        <w:t xml:space="preserve">وهتك الحرمات </w:t>
      </w:r>
      <w:r w:rsidRPr="00E77FE1">
        <w:rPr>
          <w:rFonts w:hint="cs"/>
          <w:rtl/>
        </w:rPr>
        <w:t>في تأسيس الطاعة المطل</w:t>
      </w:r>
      <w:r>
        <w:rPr>
          <w:rFonts w:hint="cs"/>
          <w:rtl/>
        </w:rPr>
        <w:t>قة للحكّام</w:t>
      </w:r>
      <w:bookmarkEnd w:id="201"/>
      <w:bookmarkEnd w:id="202"/>
    </w:p>
    <w:p w14:paraId="088F945C" w14:textId="77777777" w:rsidR="00E77FE1" w:rsidRDefault="000A4159" w:rsidP="00E77FE1">
      <w:pPr>
        <w:spacing w:line="214" w:lineRule="auto"/>
        <w:rPr>
          <w:rtl/>
        </w:rPr>
      </w:pPr>
      <w:r w:rsidRPr="001D12B3">
        <w:rPr>
          <w:rFonts w:hint="cs"/>
          <w:b/>
          <w:bCs/>
          <w:rtl/>
        </w:rPr>
        <w:t>يضاف إلى الاستناد إلى النصوص هنا، الاستناد إلى الإجماع،</w:t>
      </w:r>
      <w:r w:rsidRPr="00822CE9">
        <w:rPr>
          <w:rFonts w:hint="cs"/>
          <w:rtl/>
        </w:rPr>
        <w:t xml:space="preserve"> حيث اد</w:t>
      </w:r>
      <w:r w:rsidR="001D12B3">
        <w:rPr>
          <w:rFonts w:hint="cs"/>
          <w:rtl/>
        </w:rPr>
        <w:t>ّ</w:t>
      </w:r>
      <w:r w:rsidRPr="00822CE9">
        <w:rPr>
          <w:rFonts w:hint="cs"/>
          <w:rtl/>
        </w:rPr>
        <w:t>عى بعضهم ـ كالنووي في شرح مسلم</w:t>
      </w:r>
      <w:r w:rsidRPr="000A4159">
        <w:rPr>
          <w:rFonts w:cs="Taher"/>
          <w:vertAlign w:val="superscript"/>
          <w:rtl/>
        </w:rPr>
        <w:t>(</w:t>
      </w:r>
      <w:r w:rsidRPr="000A4159">
        <w:rPr>
          <w:rStyle w:val="FootnoteReference"/>
          <w:rFonts w:cs="Taher"/>
          <w:rtl/>
        </w:rPr>
        <w:footnoteReference w:id="358"/>
      </w:r>
      <w:r w:rsidRPr="000A4159">
        <w:rPr>
          <w:rFonts w:cs="Taher"/>
          <w:vertAlign w:val="superscript"/>
          <w:rtl/>
        </w:rPr>
        <w:t>)</w:t>
      </w:r>
      <w:r w:rsidRPr="00822CE9">
        <w:rPr>
          <w:rtl/>
        </w:rPr>
        <w:t xml:space="preserve"> </w:t>
      </w:r>
      <w:r w:rsidRPr="00822CE9">
        <w:rPr>
          <w:rFonts w:hint="cs"/>
          <w:rtl/>
        </w:rPr>
        <w:t>ـ إجماع المسلمين على حرمة الخروج.</w:t>
      </w:r>
    </w:p>
    <w:p w14:paraId="073B3284" w14:textId="77777777" w:rsidR="0086739A" w:rsidRDefault="0086739A" w:rsidP="000E47B2">
      <w:pPr>
        <w:pStyle w:val="normal930"/>
        <w:rPr>
          <w:rtl/>
        </w:rPr>
      </w:pPr>
      <w:r w:rsidRPr="00C80E6D">
        <w:rPr>
          <w:rFonts w:hint="cs"/>
          <w:b/>
          <w:bCs/>
          <w:rtl/>
        </w:rPr>
        <w:t xml:space="preserve">وتنقل </w:t>
      </w:r>
      <w:r w:rsidR="00C80E6D">
        <w:rPr>
          <w:rFonts w:hint="cs"/>
          <w:b/>
          <w:bCs/>
          <w:rtl/>
        </w:rPr>
        <w:t xml:space="preserve">هنا </w:t>
      </w:r>
      <w:r w:rsidRPr="00C80E6D">
        <w:rPr>
          <w:rFonts w:hint="cs"/>
          <w:b/>
          <w:bCs/>
          <w:rtl/>
        </w:rPr>
        <w:t>جملة عن الشيخ البخاري</w:t>
      </w:r>
      <w:r w:rsidR="00C80E6D" w:rsidRPr="00C80E6D">
        <w:rPr>
          <w:rFonts w:hint="cs"/>
          <w:b/>
          <w:bCs/>
          <w:rtl/>
        </w:rPr>
        <w:t>،</w:t>
      </w:r>
      <w:r w:rsidRPr="00C80E6D">
        <w:rPr>
          <w:rFonts w:hint="cs"/>
          <w:b/>
          <w:bCs/>
          <w:rtl/>
        </w:rPr>
        <w:t xml:space="preserve"> يقول فيها:</w:t>
      </w:r>
      <w:r>
        <w:rPr>
          <w:rFonts w:hint="cs"/>
          <w:rtl/>
        </w:rPr>
        <w:t xml:space="preserve"> </w:t>
      </w:r>
      <w:r>
        <w:rPr>
          <w:rFonts w:hint="eastAsia"/>
          <w:rtl/>
        </w:rPr>
        <w:t>«</w:t>
      </w:r>
      <w:r w:rsidRPr="0086739A">
        <w:rPr>
          <w:rtl/>
        </w:rPr>
        <w:t>لقيت أكثر من ألف رجل من أهل العلم</w:t>
      </w:r>
      <w:r>
        <w:rPr>
          <w:rFonts w:hint="cs"/>
          <w:rtl/>
        </w:rPr>
        <w:t>،</w:t>
      </w:r>
      <w:r w:rsidRPr="0086739A">
        <w:rPr>
          <w:rtl/>
        </w:rPr>
        <w:t xml:space="preserve"> أهل</w:t>
      </w:r>
      <w:r>
        <w:rPr>
          <w:rFonts w:hint="cs"/>
          <w:rtl/>
        </w:rPr>
        <w:t xml:space="preserve"> </w:t>
      </w:r>
      <w:r w:rsidRPr="0086739A">
        <w:rPr>
          <w:rtl/>
        </w:rPr>
        <w:t>الحجاز ومك</w:t>
      </w:r>
      <w:r>
        <w:rPr>
          <w:rFonts w:hint="cs"/>
          <w:rtl/>
        </w:rPr>
        <w:t>ّ</w:t>
      </w:r>
      <w:r w:rsidRPr="0086739A">
        <w:rPr>
          <w:rtl/>
        </w:rPr>
        <w:t>ة والمدينة والكوفة والبصرة وواسط وبغداد والشام ومصر</w:t>
      </w:r>
      <w:r>
        <w:rPr>
          <w:rFonts w:hint="cs"/>
          <w:rtl/>
        </w:rPr>
        <w:t>..</w:t>
      </w:r>
      <w:r w:rsidRPr="0086739A">
        <w:rPr>
          <w:rtl/>
        </w:rPr>
        <w:t xml:space="preserve"> منهم المك</w:t>
      </w:r>
      <w:r>
        <w:rPr>
          <w:rFonts w:hint="cs"/>
          <w:rtl/>
        </w:rPr>
        <w:t>ّ</w:t>
      </w:r>
      <w:r w:rsidRPr="0086739A">
        <w:rPr>
          <w:rtl/>
        </w:rPr>
        <w:t>ي</w:t>
      </w:r>
      <w:r>
        <w:rPr>
          <w:rFonts w:hint="cs"/>
          <w:rtl/>
        </w:rPr>
        <w:t xml:space="preserve"> </w:t>
      </w:r>
      <w:r w:rsidRPr="0086739A">
        <w:rPr>
          <w:rtl/>
        </w:rPr>
        <w:t>بن إبراهيم ويحيى بن يحيى وعلي بن الحسن بن سفيان وقتيبة بن سعيد وشهاب بن</w:t>
      </w:r>
      <w:r>
        <w:rPr>
          <w:rFonts w:hint="cs"/>
          <w:rtl/>
        </w:rPr>
        <w:t xml:space="preserve"> </w:t>
      </w:r>
      <w:r w:rsidRPr="0086739A">
        <w:rPr>
          <w:rtl/>
        </w:rPr>
        <w:t>معمر وبالشام محمد بن يوسف الفريابي وأبا مسهر عبد الأعلى بن مسهر وأبا المغيرة</w:t>
      </w:r>
      <w:r>
        <w:rPr>
          <w:rFonts w:hint="cs"/>
          <w:rtl/>
        </w:rPr>
        <w:t xml:space="preserve"> </w:t>
      </w:r>
      <w:r w:rsidRPr="0086739A">
        <w:rPr>
          <w:rtl/>
        </w:rPr>
        <w:t>عبد القدوس بن الحجاج وأبا اليمان الحكم بن نافع ومن بعدهم عد</w:t>
      </w:r>
      <w:r>
        <w:rPr>
          <w:rFonts w:hint="cs"/>
          <w:rtl/>
        </w:rPr>
        <w:t>ّ</w:t>
      </w:r>
      <w:r w:rsidRPr="0086739A">
        <w:rPr>
          <w:rtl/>
        </w:rPr>
        <w:t>ة كثيرة وبمصر</w:t>
      </w:r>
      <w:r>
        <w:rPr>
          <w:rFonts w:hint="cs"/>
          <w:rtl/>
        </w:rPr>
        <w:t xml:space="preserve"> </w:t>
      </w:r>
      <w:r w:rsidRPr="0086739A">
        <w:rPr>
          <w:rtl/>
        </w:rPr>
        <w:t>يحيي بن بكير وأبا صالح كاتب الليث بن سعد وسعيد بن أبي مريم وأصبغ بن الفرج،</w:t>
      </w:r>
      <w:r>
        <w:rPr>
          <w:rFonts w:hint="cs"/>
          <w:rtl/>
        </w:rPr>
        <w:t xml:space="preserve"> </w:t>
      </w:r>
      <w:r w:rsidRPr="0086739A">
        <w:rPr>
          <w:rtl/>
        </w:rPr>
        <w:t>ونعيم بن حماد</w:t>
      </w:r>
      <w:r>
        <w:rPr>
          <w:rFonts w:hint="cs"/>
          <w:rtl/>
        </w:rPr>
        <w:t>،</w:t>
      </w:r>
      <w:r w:rsidRPr="0086739A">
        <w:rPr>
          <w:rtl/>
        </w:rPr>
        <w:t xml:space="preserve"> وبمك</w:t>
      </w:r>
      <w:r>
        <w:rPr>
          <w:rFonts w:hint="cs"/>
          <w:rtl/>
        </w:rPr>
        <w:t>ّ</w:t>
      </w:r>
      <w:r w:rsidRPr="0086739A">
        <w:rPr>
          <w:rtl/>
        </w:rPr>
        <w:t xml:space="preserve">ة عبد الله بن يزيد المقرئ </w:t>
      </w:r>
      <w:r w:rsidRPr="0086739A">
        <w:rPr>
          <w:rtl/>
        </w:rPr>
        <w:lastRenderedPageBreak/>
        <w:t>والحميدي وسليمان بن حرب قاضي</w:t>
      </w:r>
      <w:r>
        <w:rPr>
          <w:rFonts w:hint="cs"/>
          <w:rtl/>
        </w:rPr>
        <w:t xml:space="preserve"> </w:t>
      </w:r>
      <w:r w:rsidRPr="0086739A">
        <w:rPr>
          <w:rtl/>
        </w:rPr>
        <w:t>مك</w:t>
      </w:r>
      <w:r>
        <w:rPr>
          <w:rFonts w:hint="cs"/>
          <w:rtl/>
        </w:rPr>
        <w:t>ّ</w:t>
      </w:r>
      <w:r w:rsidRPr="0086739A">
        <w:rPr>
          <w:rtl/>
        </w:rPr>
        <w:t>ة</w:t>
      </w:r>
      <w:r>
        <w:rPr>
          <w:rFonts w:hint="cs"/>
          <w:rtl/>
        </w:rPr>
        <w:t>،</w:t>
      </w:r>
      <w:r w:rsidRPr="0086739A">
        <w:rPr>
          <w:rtl/>
        </w:rPr>
        <w:t xml:space="preserve"> وأحمد بن محمد الأزرقي</w:t>
      </w:r>
      <w:r>
        <w:rPr>
          <w:rFonts w:hint="cs"/>
          <w:rtl/>
        </w:rPr>
        <w:t>،</w:t>
      </w:r>
      <w:r w:rsidRPr="0086739A">
        <w:rPr>
          <w:rtl/>
        </w:rPr>
        <w:t xml:space="preserve"> وبالمدينة إسماعيل بن أبي أويس ومطرف بن عبد الله</w:t>
      </w:r>
      <w:r>
        <w:rPr>
          <w:rFonts w:hint="cs"/>
          <w:rtl/>
        </w:rPr>
        <w:t xml:space="preserve"> </w:t>
      </w:r>
      <w:r w:rsidRPr="0086739A">
        <w:rPr>
          <w:rtl/>
        </w:rPr>
        <w:t>وعبد الله بن نافع الزبيري وأحمد بن أبي بكر الزهري أبا مصعب وإبراهيم بن حمزة</w:t>
      </w:r>
      <w:r>
        <w:rPr>
          <w:rFonts w:hint="cs"/>
          <w:rtl/>
        </w:rPr>
        <w:t xml:space="preserve"> </w:t>
      </w:r>
      <w:r w:rsidRPr="0086739A">
        <w:rPr>
          <w:rtl/>
        </w:rPr>
        <w:t>الزبيري وإبراهيم بن المنذر الحزامي</w:t>
      </w:r>
      <w:r>
        <w:rPr>
          <w:rFonts w:hint="cs"/>
          <w:rtl/>
        </w:rPr>
        <w:t>،</w:t>
      </w:r>
      <w:r w:rsidRPr="0086739A">
        <w:rPr>
          <w:rtl/>
        </w:rPr>
        <w:t xml:space="preserve"> وبالبصرة أبا عاصم الضحاك بن مخلد الشيباني وأبا</w:t>
      </w:r>
      <w:r>
        <w:rPr>
          <w:rFonts w:hint="cs"/>
          <w:rtl/>
        </w:rPr>
        <w:t xml:space="preserve"> </w:t>
      </w:r>
      <w:r w:rsidRPr="0086739A">
        <w:rPr>
          <w:rtl/>
        </w:rPr>
        <w:t>الوليد هشام بن عبد الملك والحجاج بن المنهال وعلي بن عبد الله بن جعفر المديني</w:t>
      </w:r>
      <w:r>
        <w:rPr>
          <w:rFonts w:hint="cs"/>
          <w:rtl/>
        </w:rPr>
        <w:t xml:space="preserve">، </w:t>
      </w:r>
      <w:r w:rsidRPr="0086739A">
        <w:rPr>
          <w:rtl/>
        </w:rPr>
        <w:t>وبالكوفة أبا نعيم الفضل بن دكين وعبيد الله بن موسى وأحمد بن يونس وقبيصة بن</w:t>
      </w:r>
      <w:r>
        <w:rPr>
          <w:rFonts w:hint="cs"/>
          <w:rtl/>
        </w:rPr>
        <w:t xml:space="preserve"> </w:t>
      </w:r>
      <w:r w:rsidRPr="0086739A">
        <w:rPr>
          <w:rtl/>
        </w:rPr>
        <w:t>عقبة وابن نمير وعبد الله وعثمان ابني أبي شيبة</w:t>
      </w:r>
      <w:r>
        <w:rPr>
          <w:rFonts w:hint="cs"/>
          <w:rtl/>
        </w:rPr>
        <w:t>،</w:t>
      </w:r>
      <w:r w:rsidRPr="0086739A">
        <w:rPr>
          <w:rtl/>
        </w:rPr>
        <w:t xml:space="preserve"> وببغداد أحمد بن حنبل ويحيى بن</w:t>
      </w:r>
      <w:r>
        <w:rPr>
          <w:rFonts w:hint="cs"/>
          <w:rtl/>
        </w:rPr>
        <w:t xml:space="preserve"> </w:t>
      </w:r>
      <w:r w:rsidRPr="0086739A">
        <w:rPr>
          <w:rtl/>
        </w:rPr>
        <w:t>معين وأبا معمر وأبا خيثمة وأبا عبيد القاسم بن سلام</w:t>
      </w:r>
      <w:r>
        <w:rPr>
          <w:rFonts w:hint="cs"/>
          <w:rtl/>
        </w:rPr>
        <w:t>،</w:t>
      </w:r>
      <w:r w:rsidRPr="0086739A">
        <w:rPr>
          <w:rtl/>
        </w:rPr>
        <w:t xml:space="preserve"> ومن أهل الجزيرة عمرو بن</w:t>
      </w:r>
      <w:r>
        <w:rPr>
          <w:rFonts w:hint="cs"/>
          <w:rtl/>
        </w:rPr>
        <w:t xml:space="preserve"> </w:t>
      </w:r>
      <w:r w:rsidRPr="0086739A">
        <w:rPr>
          <w:rtl/>
        </w:rPr>
        <w:t>حماد الحراني</w:t>
      </w:r>
      <w:r>
        <w:rPr>
          <w:rFonts w:hint="cs"/>
          <w:rtl/>
        </w:rPr>
        <w:t>،</w:t>
      </w:r>
      <w:r w:rsidRPr="0086739A">
        <w:rPr>
          <w:rtl/>
        </w:rPr>
        <w:t xml:space="preserve"> وبواسط عمرو بن عون وعاصم بن علي</w:t>
      </w:r>
      <w:r>
        <w:rPr>
          <w:rFonts w:hint="cs"/>
          <w:rtl/>
        </w:rPr>
        <w:t>،</w:t>
      </w:r>
      <w:r w:rsidRPr="0086739A">
        <w:rPr>
          <w:rtl/>
        </w:rPr>
        <w:t xml:space="preserve"> وبمرو صدقة بن الفضل</w:t>
      </w:r>
      <w:r>
        <w:rPr>
          <w:rFonts w:hint="cs"/>
          <w:rtl/>
        </w:rPr>
        <w:t xml:space="preserve"> </w:t>
      </w:r>
      <w:r w:rsidRPr="0086739A">
        <w:rPr>
          <w:rtl/>
        </w:rPr>
        <w:t>وإسحاق بن إبراهيم الحنظلي</w:t>
      </w:r>
      <w:r>
        <w:rPr>
          <w:rFonts w:hint="cs"/>
          <w:rtl/>
        </w:rPr>
        <w:t>،</w:t>
      </w:r>
      <w:r w:rsidRPr="0086739A">
        <w:rPr>
          <w:rtl/>
        </w:rPr>
        <w:t xml:space="preserve"> واكتفينا بتسمية هؤلاء حتى يكون مختصرا</w:t>
      </w:r>
      <w:r>
        <w:rPr>
          <w:rFonts w:hint="cs"/>
          <w:rtl/>
        </w:rPr>
        <w:t>ً</w:t>
      </w:r>
      <w:r w:rsidRPr="0086739A">
        <w:rPr>
          <w:rtl/>
        </w:rPr>
        <w:t xml:space="preserve"> وأن لا يطول ذلك</w:t>
      </w:r>
      <w:r>
        <w:rPr>
          <w:rFonts w:hint="cs"/>
          <w:rtl/>
        </w:rPr>
        <w:t xml:space="preserve">.. </w:t>
      </w:r>
      <w:r w:rsidRPr="0086739A">
        <w:rPr>
          <w:rtl/>
        </w:rPr>
        <w:t>فما رأيت واحدا</w:t>
      </w:r>
      <w:r>
        <w:rPr>
          <w:rFonts w:hint="cs"/>
          <w:rtl/>
        </w:rPr>
        <w:t>ً</w:t>
      </w:r>
      <w:r w:rsidRPr="0086739A">
        <w:rPr>
          <w:rtl/>
        </w:rPr>
        <w:t xml:space="preserve"> منهم يختلف في هذه الأشياء</w:t>
      </w:r>
      <w:r>
        <w:rPr>
          <w:rFonts w:hint="cs"/>
          <w:rtl/>
        </w:rPr>
        <w:t>..</w:t>
      </w:r>
      <w:r w:rsidRPr="0086739A">
        <w:rPr>
          <w:rtl/>
        </w:rPr>
        <w:t xml:space="preserve"> وأن لا ينازع الأمر أهله</w:t>
      </w:r>
      <w:r>
        <w:rPr>
          <w:rFonts w:hint="cs"/>
          <w:rtl/>
        </w:rPr>
        <w:t>..</w:t>
      </w:r>
      <w:r>
        <w:rPr>
          <w:rFonts w:hint="eastAsia"/>
          <w:rtl/>
        </w:rPr>
        <w:t>»</w:t>
      </w:r>
      <w:r w:rsidRPr="000A4159">
        <w:rPr>
          <w:rFonts w:cs="Taher"/>
          <w:vertAlign w:val="superscript"/>
          <w:rtl/>
        </w:rPr>
        <w:t>(</w:t>
      </w:r>
      <w:r w:rsidRPr="000A4159">
        <w:rPr>
          <w:rStyle w:val="FootnoteReference"/>
          <w:rFonts w:cs="Taher"/>
          <w:rtl/>
        </w:rPr>
        <w:footnoteReference w:id="359"/>
      </w:r>
      <w:r w:rsidRPr="000A4159">
        <w:rPr>
          <w:rFonts w:cs="Taher"/>
          <w:vertAlign w:val="superscript"/>
          <w:rtl/>
        </w:rPr>
        <w:t>)</w:t>
      </w:r>
      <w:r>
        <w:rPr>
          <w:rFonts w:hint="cs"/>
          <w:rtl/>
        </w:rPr>
        <w:t>.</w:t>
      </w:r>
      <w:r w:rsidR="00C80E6D">
        <w:rPr>
          <w:rFonts w:hint="cs"/>
          <w:rtl/>
        </w:rPr>
        <w:t xml:space="preserve"> وإن كانت هذه الجملة غير واضحة في الدلالة</w:t>
      </w:r>
      <w:r w:rsidR="00D34E74">
        <w:rPr>
          <w:rFonts w:hint="cs"/>
          <w:rtl/>
        </w:rPr>
        <w:t>؛ لافتراض أنّ المنازعة فيها وقعت مع من هو أهل لهذا الأمر، بينما الخارج على الحاكم لا يرى الحاكم أهلاً أساساً.</w:t>
      </w:r>
    </w:p>
    <w:p w14:paraId="050DA210" w14:textId="77777777" w:rsidR="00D34E74" w:rsidRDefault="000A4159" w:rsidP="00D34E74">
      <w:pPr>
        <w:spacing w:line="214" w:lineRule="auto"/>
        <w:rPr>
          <w:rtl/>
        </w:rPr>
      </w:pPr>
      <w:r w:rsidRPr="00C80E6D">
        <w:rPr>
          <w:rFonts w:hint="cs"/>
          <w:b/>
          <w:bCs/>
          <w:rtl/>
        </w:rPr>
        <w:t xml:space="preserve">كما استند بعضهم </w:t>
      </w:r>
      <w:r w:rsidR="001D12B3" w:rsidRPr="00C80E6D">
        <w:rPr>
          <w:rFonts w:hint="cs"/>
          <w:b/>
          <w:bCs/>
          <w:rtl/>
        </w:rPr>
        <w:t>إلى أ</w:t>
      </w:r>
      <w:r w:rsidRPr="00C80E6D">
        <w:rPr>
          <w:rFonts w:hint="cs"/>
          <w:b/>
          <w:bCs/>
          <w:rtl/>
        </w:rPr>
        <w:t>نّ في الخروج فتنةً وانتهاكاً للح</w:t>
      </w:r>
      <w:r w:rsidR="001D12B3" w:rsidRPr="00C80E6D">
        <w:rPr>
          <w:rFonts w:hint="cs"/>
          <w:b/>
          <w:bCs/>
          <w:rtl/>
        </w:rPr>
        <w:t>ُ</w:t>
      </w:r>
      <w:r w:rsidRPr="00C80E6D">
        <w:rPr>
          <w:rFonts w:hint="cs"/>
          <w:b/>
          <w:bCs/>
          <w:rtl/>
        </w:rPr>
        <w:t>رم</w:t>
      </w:r>
      <w:r w:rsidR="00C80E6D">
        <w:rPr>
          <w:rFonts w:hint="cs"/>
          <w:b/>
          <w:bCs/>
          <w:rtl/>
        </w:rPr>
        <w:t>ات</w:t>
      </w:r>
      <w:r w:rsidRPr="00C80E6D">
        <w:rPr>
          <w:rFonts w:hint="cs"/>
          <w:b/>
          <w:bCs/>
          <w:rtl/>
        </w:rPr>
        <w:t>،</w:t>
      </w:r>
      <w:r w:rsidRPr="00822CE9">
        <w:rPr>
          <w:rFonts w:hint="cs"/>
          <w:rtl/>
        </w:rPr>
        <w:t xml:space="preserve"> </w:t>
      </w:r>
      <w:r w:rsidR="001D298F">
        <w:rPr>
          <w:rFonts w:hint="cs"/>
          <w:rtl/>
        </w:rPr>
        <w:t xml:space="preserve">ومفسدتها أعظم من مصالحها، </w:t>
      </w:r>
      <w:r w:rsidR="0086739A">
        <w:rPr>
          <w:rFonts w:hint="cs"/>
          <w:rtl/>
        </w:rPr>
        <w:t xml:space="preserve">وأنّها بحسب التجربة التاريخيّة للمسلمين لم تنتهِ إلا بالفشل وشقّ العصا وإضعاف الأمّة، </w:t>
      </w:r>
      <w:r w:rsidRPr="00822CE9">
        <w:rPr>
          <w:rFonts w:hint="cs"/>
          <w:rtl/>
        </w:rPr>
        <w:t>كما حصل في ثورات عديدة، كوقعة الحرّة</w:t>
      </w:r>
      <w:r w:rsidRPr="000A4159">
        <w:rPr>
          <w:rFonts w:cs="Taher"/>
          <w:vertAlign w:val="superscript"/>
          <w:rtl/>
        </w:rPr>
        <w:t>(</w:t>
      </w:r>
      <w:r w:rsidRPr="000A4159">
        <w:rPr>
          <w:rStyle w:val="FootnoteReference"/>
          <w:rFonts w:cs="Taher"/>
          <w:rtl/>
        </w:rPr>
        <w:footnoteReference w:id="360"/>
      </w:r>
      <w:r w:rsidRPr="000A4159">
        <w:rPr>
          <w:rFonts w:cs="Taher"/>
          <w:vertAlign w:val="superscript"/>
          <w:rtl/>
        </w:rPr>
        <w:t>)</w:t>
      </w:r>
      <w:r w:rsidRPr="00822CE9">
        <w:rPr>
          <w:rtl/>
        </w:rPr>
        <w:t>.</w:t>
      </w:r>
    </w:p>
    <w:p w14:paraId="770EE473" w14:textId="77777777" w:rsidR="000A4159" w:rsidRDefault="00D34E74" w:rsidP="000E47B2">
      <w:pPr>
        <w:pStyle w:val="normal930"/>
        <w:rPr>
          <w:rtl/>
        </w:rPr>
      </w:pPr>
      <w:r w:rsidRPr="002A7149">
        <w:rPr>
          <w:rFonts w:hint="cs"/>
          <w:b/>
          <w:bCs/>
          <w:rtl/>
        </w:rPr>
        <w:t>وهذا التحليل يبني على واقع التجربة التاريخيّة الإسلاميّة، وينطلق من التفكير السياسي الاجتماعي التاريخي على قواعد فقه المصلحة،</w:t>
      </w:r>
      <w:r>
        <w:rPr>
          <w:rFonts w:hint="cs"/>
          <w:rtl/>
        </w:rPr>
        <w:t xml:space="preserve"> فهو يتساءل: ماذا استفاد المسل</w:t>
      </w:r>
      <w:r w:rsidR="002A7149">
        <w:rPr>
          <w:rFonts w:hint="cs"/>
          <w:rtl/>
        </w:rPr>
        <w:t>م</w:t>
      </w:r>
      <w:r>
        <w:rPr>
          <w:rFonts w:hint="cs"/>
          <w:rtl/>
        </w:rPr>
        <w:t>ون من كلّ هذه الثورات سوى سفك الدماء وضعف الدولة المركزيّة وتلاشي قوّتهم وبناء دويلات متعدّدة؟! وماذا حقّقت هذه الثورات والحركات الانفصاليّة من إنجازات تتخطّى ما كانت الحال عليه مع الدولة التي تمّت الانتفاضة ضدّها؟! وبماذا انتفع المسملون بمتابعتهم لهذه العقليّات الثوريّة الغاضبة؟! يجب عدم الاستهانة بتحليلٍ من هذا القبيل في دراسة موضوع من هذا النوع.</w:t>
      </w:r>
    </w:p>
    <w:p w14:paraId="115F092A" w14:textId="77777777" w:rsidR="00E77FE1" w:rsidRPr="00E77FE1" w:rsidRDefault="00714993" w:rsidP="0096148C">
      <w:pPr>
        <w:pStyle w:val="Heading3"/>
        <w:rPr>
          <w:rtl/>
        </w:rPr>
      </w:pPr>
      <w:bookmarkStart w:id="203" w:name="_Toc143804181"/>
      <w:bookmarkStart w:id="204" w:name="_Toc238123306"/>
      <w:r>
        <w:rPr>
          <w:rFonts w:hint="cs"/>
          <w:rtl/>
        </w:rPr>
        <w:lastRenderedPageBreak/>
        <w:t xml:space="preserve">1 ـ 3 ـ </w:t>
      </w:r>
      <w:r w:rsidR="00E77FE1" w:rsidRPr="00E77FE1">
        <w:rPr>
          <w:rFonts w:hint="cs"/>
          <w:rtl/>
        </w:rPr>
        <w:t>وقفات نقدي</w:t>
      </w:r>
      <w:r>
        <w:rPr>
          <w:rFonts w:hint="cs"/>
          <w:rtl/>
        </w:rPr>
        <w:t>ّ</w:t>
      </w:r>
      <w:r w:rsidR="00E77FE1" w:rsidRPr="00E77FE1">
        <w:rPr>
          <w:rFonts w:hint="cs"/>
          <w:rtl/>
        </w:rPr>
        <w:t xml:space="preserve">ة </w:t>
      </w:r>
      <w:r w:rsidR="000F47C4">
        <w:rPr>
          <w:rFonts w:hint="cs"/>
          <w:rtl/>
        </w:rPr>
        <w:t>حول</w:t>
      </w:r>
      <w:r w:rsidR="00E77FE1" w:rsidRPr="00E77FE1">
        <w:rPr>
          <w:rFonts w:hint="cs"/>
          <w:rtl/>
        </w:rPr>
        <w:t xml:space="preserve"> </w:t>
      </w:r>
      <w:r w:rsidR="002A7149">
        <w:rPr>
          <w:rFonts w:hint="cs"/>
          <w:rtl/>
        </w:rPr>
        <w:t xml:space="preserve">توظيف </w:t>
      </w:r>
      <w:r w:rsidR="00E77FE1" w:rsidRPr="00E77FE1">
        <w:rPr>
          <w:rFonts w:hint="cs"/>
          <w:rtl/>
        </w:rPr>
        <w:t xml:space="preserve">الروايات والإجماع </w:t>
      </w:r>
      <w:r w:rsidR="007F2A7F">
        <w:rPr>
          <w:rFonts w:hint="cs"/>
          <w:rtl/>
        </w:rPr>
        <w:t xml:space="preserve">و.. </w:t>
      </w:r>
      <w:r w:rsidR="00E77FE1" w:rsidRPr="00E77FE1">
        <w:rPr>
          <w:rFonts w:hint="cs"/>
          <w:rtl/>
        </w:rPr>
        <w:t>لتكريس الطاعة المطلقة</w:t>
      </w:r>
      <w:bookmarkEnd w:id="203"/>
      <w:bookmarkEnd w:id="204"/>
    </w:p>
    <w:p w14:paraId="05EF4DA1" w14:textId="77777777" w:rsidR="000A4159" w:rsidRDefault="000A4159" w:rsidP="001D12B3">
      <w:pPr>
        <w:spacing w:line="214" w:lineRule="auto"/>
        <w:rPr>
          <w:b/>
          <w:bCs/>
          <w:rtl/>
        </w:rPr>
      </w:pPr>
      <w:r w:rsidRPr="001D12B3">
        <w:rPr>
          <w:rFonts w:hint="cs"/>
          <w:b/>
          <w:bCs/>
          <w:rtl/>
        </w:rPr>
        <w:t>وفي مقابل هذه النصوص</w:t>
      </w:r>
      <w:r w:rsidR="00E77FE1">
        <w:rPr>
          <w:rFonts w:hint="cs"/>
          <w:b/>
          <w:bCs/>
          <w:rtl/>
        </w:rPr>
        <w:t xml:space="preserve"> وهذا الإجماع</w:t>
      </w:r>
      <w:r w:rsidR="001D12B3">
        <w:rPr>
          <w:rFonts w:hint="cs"/>
          <w:b/>
          <w:bCs/>
          <w:rtl/>
        </w:rPr>
        <w:t>،</w:t>
      </w:r>
      <w:r w:rsidRPr="001D12B3">
        <w:rPr>
          <w:rFonts w:hint="cs"/>
          <w:b/>
          <w:bCs/>
          <w:rtl/>
        </w:rPr>
        <w:t xml:space="preserve"> ثمّة مناقشات عديدة لا بدّ لنا من ذكرها</w:t>
      </w:r>
      <w:r w:rsidR="001D12B3">
        <w:rPr>
          <w:rFonts w:hint="cs"/>
          <w:b/>
          <w:bCs/>
          <w:rtl/>
        </w:rPr>
        <w:t>:</w:t>
      </w:r>
    </w:p>
    <w:p w14:paraId="4881C3E6" w14:textId="77777777" w:rsidR="00714993" w:rsidRPr="00714993" w:rsidRDefault="00714993" w:rsidP="0096148C">
      <w:pPr>
        <w:pStyle w:val="Heading4"/>
        <w:rPr>
          <w:rtl/>
        </w:rPr>
      </w:pPr>
      <w:bookmarkStart w:id="205" w:name="_Toc143804182"/>
      <w:bookmarkStart w:id="206" w:name="_Toc238123307"/>
      <w:r w:rsidRPr="00714993">
        <w:rPr>
          <w:rFonts w:hint="cs"/>
          <w:rtl/>
        </w:rPr>
        <w:t>1 ـ 3 ـ 1 ـ علاقة التخصيص والتقييد بين النصوص المانعة والمرخ</w:t>
      </w:r>
      <w:r>
        <w:rPr>
          <w:rFonts w:hint="cs"/>
          <w:rtl/>
        </w:rPr>
        <w:t>ّ</w:t>
      </w:r>
      <w:r w:rsidRPr="00714993">
        <w:rPr>
          <w:rFonts w:hint="cs"/>
          <w:rtl/>
        </w:rPr>
        <w:t>صة في الثورة</w:t>
      </w:r>
      <w:bookmarkEnd w:id="205"/>
      <w:bookmarkEnd w:id="206"/>
    </w:p>
    <w:p w14:paraId="3545210D" w14:textId="77777777" w:rsidR="000A4159" w:rsidRPr="00822CE9" w:rsidRDefault="00714993" w:rsidP="0041753C">
      <w:pPr>
        <w:spacing w:line="214" w:lineRule="auto"/>
        <w:rPr>
          <w:rtl/>
        </w:rPr>
      </w:pPr>
      <w:r>
        <w:rPr>
          <w:rFonts w:hint="cs"/>
          <w:b/>
          <w:bCs/>
          <w:rtl/>
        </w:rPr>
        <w:t xml:space="preserve">أوّل الملاحظات هنا هو أنّ </w:t>
      </w:r>
      <w:r w:rsidR="000A4159" w:rsidRPr="00822CE9">
        <w:rPr>
          <w:rFonts w:hint="cs"/>
          <w:rtl/>
        </w:rPr>
        <w:t>غاية ما تدلّ عليه هذه النصوص هو الحكم بحرمة الخروج على الحاكم مطلقاً، ونقيّدها حينئذ بما توص</w:t>
      </w:r>
      <w:r w:rsidR="001D12B3">
        <w:rPr>
          <w:rFonts w:hint="cs"/>
          <w:rtl/>
        </w:rPr>
        <w:t>ّل</w:t>
      </w:r>
      <w:r w:rsidR="000A4159" w:rsidRPr="00822CE9">
        <w:rPr>
          <w:rFonts w:hint="cs"/>
          <w:rtl/>
        </w:rPr>
        <w:t>نا إليه في نظري</w:t>
      </w:r>
      <w:r w:rsidR="001D12B3">
        <w:rPr>
          <w:rFonts w:hint="cs"/>
          <w:rtl/>
        </w:rPr>
        <w:t>ّ</w:t>
      </w:r>
      <w:r w:rsidR="000A4159" w:rsidRPr="00822CE9">
        <w:rPr>
          <w:rFonts w:hint="cs"/>
          <w:rtl/>
        </w:rPr>
        <w:t>ة شرعي</w:t>
      </w:r>
      <w:r w:rsidR="001D12B3">
        <w:rPr>
          <w:rFonts w:hint="cs"/>
          <w:rtl/>
        </w:rPr>
        <w:t>ّ</w:t>
      </w:r>
      <w:r w:rsidR="000A4159" w:rsidRPr="00822CE9">
        <w:rPr>
          <w:rFonts w:hint="cs"/>
          <w:rtl/>
        </w:rPr>
        <w:t>ة الخروج، فإن</w:t>
      </w:r>
      <w:r w:rsidR="001D12B3">
        <w:rPr>
          <w:rFonts w:hint="cs"/>
          <w:rtl/>
        </w:rPr>
        <w:t>ّ</w:t>
      </w:r>
      <w:r w:rsidR="000A4159" w:rsidRPr="00822CE9">
        <w:rPr>
          <w:rFonts w:hint="cs"/>
          <w:rtl/>
        </w:rPr>
        <w:t xml:space="preserve"> الأدلّة قد دلّت هناك ـ ومنها آية محاربة أهل البغي ـ على جواز الخروج ف</w:t>
      </w:r>
      <w:r w:rsidR="001D12B3">
        <w:rPr>
          <w:rFonts w:hint="cs"/>
          <w:rtl/>
        </w:rPr>
        <w:t>ي بعض الحالات، فتكون أخصّ فتقيّد</w:t>
      </w:r>
      <w:r w:rsidR="000A4159" w:rsidRPr="00822CE9">
        <w:rPr>
          <w:rFonts w:hint="cs"/>
          <w:rtl/>
        </w:rPr>
        <w:t xml:space="preserve"> أو تخص</w:t>
      </w:r>
      <w:r w:rsidR="001D12B3">
        <w:rPr>
          <w:rFonts w:hint="cs"/>
          <w:rtl/>
        </w:rPr>
        <w:t>ّص</w:t>
      </w:r>
      <w:r w:rsidR="000A4159" w:rsidRPr="00822CE9">
        <w:rPr>
          <w:rFonts w:hint="cs"/>
          <w:rtl/>
        </w:rPr>
        <w:t xml:space="preserve"> العمومات والمطلقات الواردة هنا، وهو ما لا تأباه هذه الأدلّة هنا؛ لأن</w:t>
      </w:r>
      <w:r w:rsidR="001D12B3">
        <w:rPr>
          <w:rFonts w:hint="cs"/>
          <w:rtl/>
        </w:rPr>
        <w:t>ّ</w:t>
      </w:r>
      <w:r w:rsidR="000A4159" w:rsidRPr="00822CE9">
        <w:rPr>
          <w:rFonts w:hint="cs"/>
          <w:rtl/>
        </w:rPr>
        <w:t xml:space="preserve"> بعضها هو في أصله في غير مقام البيان، </w:t>
      </w:r>
      <w:r w:rsidR="007F2A7F">
        <w:rPr>
          <w:rFonts w:hint="cs"/>
          <w:rtl/>
        </w:rPr>
        <w:t>و</w:t>
      </w:r>
      <w:r w:rsidR="000A4159" w:rsidRPr="00822CE9">
        <w:rPr>
          <w:rFonts w:hint="cs"/>
          <w:rtl/>
        </w:rPr>
        <w:t>ما كان في مقام البيان لم نجد فيه صيغةً تمنع عن تقييده.</w:t>
      </w:r>
      <w:r w:rsidR="0041753C">
        <w:rPr>
          <w:rFonts w:hint="cs"/>
          <w:rtl/>
        </w:rPr>
        <w:t xml:space="preserve"> فلا يبقى ـ لو بقي ـ سوى شيء يسير جدّاً من النصوص يأبى عن التخصيص، ولا يُعمل بخبرٍ آحاديّ على التحقيق.</w:t>
      </w:r>
    </w:p>
    <w:p w14:paraId="3811C90A" w14:textId="77777777" w:rsidR="002A7149" w:rsidRDefault="000A4159" w:rsidP="002A7149">
      <w:pPr>
        <w:spacing w:line="214" w:lineRule="auto"/>
        <w:rPr>
          <w:rtl/>
        </w:rPr>
      </w:pPr>
      <w:r w:rsidRPr="00822CE9">
        <w:rPr>
          <w:rFonts w:hint="cs"/>
          <w:rtl/>
        </w:rPr>
        <w:t>وهكذا الحال فيما دلّ من هذه النصوص على لزوم الطاعة مطلقاً؛ فهي مقيّ</w:t>
      </w:r>
      <w:r w:rsidR="001D12B3">
        <w:rPr>
          <w:rFonts w:hint="cs"/>
          <w:rtl/>
        </w:rPr>
        <w:t>َ</w:t>
      </w:r>
      <w:r w:rsidRPr="00822CE9">
        <w:rPr>
          <w:rFonts w:hint="cs"/>
          <w:rtl/>
        </w:rPr>
        <w:t>دة بما دلّ على حرمة الطاعة في معصية، ومعه يمكن الجمع بين الأدلّة والوصول إلى نتائج يجمعها حرمة الخروج على الحاكم حتى لو لم يكن شرعي</w:t>
      </w:r>
      <w:r w:rsidR="001D12B3">
        <w:rPr>
          <w:rFonts w:hint="cs"/>
          <w:rtl/>
        </w:rPr>
        <w:t>ّ</w:t>
      </w:r>
      <w:r w:rsidRPr="00822CE9">
        <w:rPr>
          <w:rFonts w:hint="cs"/>
          <w:rtl/>
        </w:rPr>
        <w:t>اً إلا في بعض الحالات المحدودة التي أشرنا إليها في استعراض نظري</w:t>
      </w:r>
      <w:r w:rsidR="001D12B3">
        <w:rPr>
          <w:rFonts w:hint="cs"/>
          <w:rtl/>
        </w:rPr>
        <w:t>ّ</w:t>
      </w:r>
      <w:r w:rsidRPr="00822CE9">
        <w:rPr>
          <w:rFonts w:hint="cs"/>
          <w:rtl/>
        </w:rPr>
        <w:t>ة التجويز.</w:t>
      </w:r>
      <w:r w:rsidR="002A7149">
        <w:rPr>
          <w:rFonts w:hint="cs"/>
          <w:rtl/>
        </w:rPr>
        <w:t xml:space="preserve"> إلا إذا قيل بأنّ نظر هذه الروايات هنا للحكّام الخارجيّين المعروفين آنذاك بأنهم معتدون وبغاة وظلمة وما شابه ذلك.</w:t>
      </w:r>
    </w:p>
    <w:p w14:paraId="1D5A4BE4" w14:textId="77777777" w:rsidR="0041753C" w:rsidRPr="0041753C" w:rsidRDefault="0041753C" w:rsidP="0096148C">
      <w:pPr>
        <w:pStyle w:val="Heading4"/>
        <w:rPr>
          <w:rtl/>
        </w:rPr>
      </w:pPr>
      <w:bookmarkStart w:id="207" w:name="_Toc143804183"/>
      <w:bookmarkStart w:id="208" w:name="_Toc238123308"/>
      <w:r w:rsidRPr="0041753C">
        <w:rPr>
          <w:rFonts w:hint="cs"/>
          <w:rtl/>
        </w:rPr>
        <w:t>1 ـ 3 ـ 2 ـ إضعاف قوّ</w:t>
      </w:r>
      <w:r>
        <w:rPr>
          <w:rFonts w:hint="cs"/>
          <w:rtl/>
        </w:rPr>
        <w:t>ة</w:t>
      </w:r>
      <w:r w:rsidRPr="0041753C">
        <w:rPr>
          <w:rFonts w:hint="cs"/>
          <w:rtl/>
        </w:rPr>
        <w:t xml:space="preserve"> الدلالة في النصوص من خلال </w:t>
      </w:r>
      <w:r>
        <w:rPr>
          <w:rFonts w:hint="cs"/>
          <w:rtl/>
        </w:rPr>
        <w:t>فهم و</w:t>
      </w:r>
      <w:r w:rsidRPr="0041753C">
        <w:rPr>
          <w:rFonts w:hint="cs"/>
          <w:rtl/>
        </w:rPr>
        <w:t>تجربة الصحابة و..</w:t>
      </w:r>
      <w:bookmarkEnd w:id="207"/>
      <w:bookmarkEnd w:id="208"/>
    </w:p>
    <w:p w14:paraId="2C1E39B4" w14:textId="77777777" w:rsidR="000A4159" w:rsidRPr="00822CE9" w:rsidRDefault="000A4159" w:rsidP="005C2B6A">
      <w:pPr>
        <w:spacing w:line="214" w:lineRule="auto"/>
        <w:rPr>
          <w:rtl/>
        </w:rPr>
      </w:pPr>
      <w:r w:rsidRPr="001D12B3">
        <w:rPr>
          <w:rFonts w:hint="cs"/>
          <w:b/>
          <w:bCs/>
          <w:rtl/>
        </w:rPr>
        <w:t>المناقشة الثانية</w:t>
      </w:r>
      <w:r w:rsidR="0041753C">
        <w:rPr>
          <w:rFonts w:hint="cs"/>
          <w:b/>
          <w:bCs/>
          <w:rtl/>
        </w:rPr>
        <w:t xml:space="preserve"> هنا ذكرها </w:t>
      </w:r>
      <w:r w:rsidRPr="00822CE9">
        <w:rPr>
          <w:rFonts w:hint="cs"/>
          <w:rtl/>
        </w:rPr>
        <w:t>بعض علماء أهل السنّة</w:t>
      </w:r>
      <w:r w:rsidR="001D12B3">
        <w:rPr>
          <w:rFonts w:hint="cs"/>
          <w:rtl/>
        </w:rPr>
        <w:t xml:space="preserve">، </w:t>
      </w:r>
      <w:r w:rsidR="0041753C">
        <w:rPr>
          <w:rFonts w:hint="cs"/>
          <w:rtl/>
        </w:rPr>
        <w:t xml:space="preserve">حيث احتجّوا </w:t>
      </w:r>
      <w:r w:rsidRPr="00822CE9">
        <w:rPr>
          <w:rFonts w:hint="cs"/>
          <w:rtl/>
        </w:rPr>
        <w:t xml:space="preserve">على </w:t>
      </w:r>
      <w:r w:rsidR="0041753C">
        <w:rPr>
          <w:rFonts w:hint="cs"/>
          <w:rtl/>
        </w:rPr>
        <w:t>الأخذ ب</w:t>
      </w:r>
      <w:r w:rsidRPr="00822CE9">
        <w:rPr>
          <w:rFonts w:hint="cs"/>
          <w:rtl/>
        </w:rPr>
        <w:t>هذه الروايات بمثل خروج الحسين بن علي، وابن الزبير، وخروج أهل المدينة على بني أمي</w:t>
      </w:r>
      <w:r w:rsidR="001D12B3">
        <w:rPr>
          <w:rFonts w:hint="cs"/>
          <w:rtl/>
        </w:rPr>
        <w:t>ّ</w:t>
      </w:r>
      <w:r w:rsidRPr="00822CE9">
        <w:rPr>
          <w:rFonts w:hint="cs"/>
          <w:rtl/>
        </w:rPr>
        <w:t>ة</w:t>
      </w:r>
      <w:r w:rsidR="001D12B3">
        <w:rPr>
          <w:rFonts w:hint="cs"/>
          <w:rtl/>
        </w:rPr>
        <w:t>،</w:t>
      </w:r>
      <w:r w:rsidRPr="00822CE9">
        <w:rPr>
          <w:rFonts w:hint="cs"/>
          <w:rtl/>
        </w:rPr>
        <w:t xml:space="preserve"> وغير ذلك مما حصل في القرن الأو</w:t>
      </w:r>
      <w:r w:rsidR="001D12B3">
        <w:rPr>
          <w:rFonts w:hint="cs"/>
          <w:rtl/>
        </w:rPr>
        <w:t>ّ</w:t>
      </w:r>
      <w:r w:rsidRPr="00822CE9">
        <w:rPr>
          <w:rFonts w:hint="cs"/>
          <w:rtl/>
        </w:rPr>
        <w:t>ل الهجري</w:t>
      </w:r>
      <w:r w:rsidR="001D12B3">
        <w:rPr>
          <w:rFonts w:hint="cs"/>
          <w:rtl/>
        </w:rPr>
        <w:t>.</w:t>
      </w:r>
      <w:r w:rsidRPr="00822CE9">
        <w:rPr>
          <w:rFonts w:hint="cs"/>
          <w:rtl/>
        </w:rPr>
        <w:t xml:space="preserve"> وهؤلاء من الصحابة أو من هو في قوّة الصحابة، فكيف يمكن أن لا يعرف هؤلاء بهذه النصوص</w:t>
      </w:r>
      <w:r w:rsidR="001D12B3">
        <w:rPr>
          <w:rFonts w:hint="cs"/>
          <w:rtl/>
        </w:rPr>
        <w:t>،</w:t>
      </w:r>
      <w:r w:rsidRPr="00822CE9">
        <w:rPr>
          <w:rFonts w:hint="cs"/>
          <w:rtl/>
        </w:rPr>
        <w:t xml:space="preserve"> </w:t>
      </w:r>
      <w:r w:rsidR="001D12B3">
        <w:rPr>
          <w:rFonts w:hint="cs"/>
          <w:rtl/>
        </w:rPr>
        <w:t xml:space="preserve">لا </w:t>
      </w:r>
      <w:r w:rsidRPr="00822CE9">
        <w:rPr>
          <w:rFonts w:hint="cs"/>
          <w:rtl/>
        </w:rPr>
        <w:t>سيما إذا كانت واضحة جلي</w:t>
      </w:r>
      <w:r w:rsidR="001D12B3">
        <w:rPr>
          <w:rFonts w:hint="cs"/>
          <w:rtl/>
        </w:rPr>
        <w:t>ّ</w:t>
      </w:r>
      <w:r w:rsidRPr="00822CE9">
        <w:rPr>
          <w:rFonts w:hint="cs"/>
          <w:rtl/>
        </w:rPr>
        <w:t>ة كما يدّعي أنصار التحريم؟!</w:t>
      </w:r>
      <w:r w:rsidR="0041753C">
        <w:rPr>
          <w:rFonts w:hint="cs"/>
          <w:rtl/>
        </w:rPr>
        <w:t xml:space="preserve"> فهل يُعقل أنّها صدرت ولم يطّلعوا عليها؟! وهل يعقل أنّهم اطّلعوا وفهموا منها ما فهمه المستدلّ هنا، ومع ذلك خرجوا أو باركوا الخروج؟!</w:t>
      </w:r>
    </w:p>
    <w:p w14:paraId="1E9879FF" w14:textId="77777777" w:rsidR="000A4159" w:rsidRPr="001D12B3" w:rsidRDefault="000A4159" w:rsidP="001D12B3">
      <w:pPr>
        <w:spacing w:line="214" w:lineRule="auto"/>
        <w:rPr>
          <w:b/>
          <w:bCs/>
          <w:rtl/>
        </w:rPr>
      </w:pPr>
      <w:r w:rsidRPr="001D12B3">
        <w:rPr>
          <w:rFonts w:hint="cs"/>
          <w:b/>
          <w:bCs/>
          <w:rtl/>
        </w:rPr>
        <w:lastRenderedPageBreak/>
        <w:t>وهذا الكلام تارةً نستبعد منه الحسين بن علي</w:t>
      </w:r>
      <w:r w:rsidR="001D12B3">
        <w:rPr>
          <w:rFonts w:hint="cs"/>
          <w:b/>
          <w:bCs/>
          <w:rtl/>
        </w:rPr>
        <w:t>،</w:t>
      </w:r>
      <w:r w:rsidRPr="001D12B3">
        <w:rPr>
          <w:rFonts w:hint="cs"/>
          <w:b/>
          <w:bCs/>
          <w:rtl/>
        </w:rPr>
        <w:t xml:space="preserve"> وأخرى نل</w:t>
      </w:r>
      <w:r w:rsidR="001D12B3">
        <w:rPr>
          <w:rFonts w:hint="cs"/>
          <w:b/>
          <w:bCs/>
          <w:rtl/>
        </w:rPr>
        <w:t>ا</w:t>
      </w:r>
      <w:r w:rsidRPr="001D12B3">
        <w:rPr>
          <w:rFonts w:hint="cs"/>
          <w:b/>
          <w:bCs/>
          <w:rtl/>
        </w:rPr>
        <w:t>حظه:</w:t>
      </w:r>
    </w:p>
    <w:p w14:paraId="5A8CE9AD" w14:textId="77777777" w:rsidR="000A4159" w:rsidRPr="00822CE9" w:rsidRDefault="000A4159" w:rsidP="00815130">
      <w:pPr>
        <w:spacing w:line="214" w:lineRule="auto"/>
        <w:rPr>
          <w:rtl/>
        </w:rPr>
      </w:pPr>
      <w:r w:rsidRPr="001D12B3">
        <w:rPr>
          <w:rFonts w:hint="cs"/>
          <w:b/>
          <w:bCs/>
          <w:rtl/>
        </w:rPr>
        <w:t xml:space="preserve">أ ـ </w:t>
      </w:r>
      <w:r w:rsidRPr="00822CE9">
        <w:rPr>
          <w:rFonts w:hint="cs"/>
          <w:rtl/>
        </w:rPr>
        <w:t>فإذا استبعدنا الإمام الحسين، فلا يمثل أيّ دلالة، لأنّ أقصاه أن</w:t>
      </w:r>
      <w:r w:rsidR="001D12B3">
        <w:rPr>
          <w:rFonts w:hint="cs"/>
          <w:rtl/>
        </w:rPr>
        <w:t>ّ</w:t>
      </w:r>
      <w:r w:rsidRPr="00822CE9">
        <w:rPr>
          <w:rFonts w:hint="cs"/>
          <w:rtl/>
        </w:rPr>
        <w:t xml:space="preserve"> أحد الفريقين فهم الإطلاق من هذه النصوص واجتهد في الموضوع</w:t>
      </w:r>
      <w:r w:rsidR="001D12B3">
        <w:rPr>
          <w:rFonts w:hint="cs"/>
          <w:rtl/>
        </w:rPr>
        <w:t>، وخرج بهذا الاستنتاج، فيما تب</w:t>
      </w:r>
      <w:r w:rsidRPr="00822CE9">
        <w:rPr>
          <w:rFonts w:hint="cs"/>
          <w:rtl/>
        </w:rPr>
        <w:t>ن</w:t>
      </w:r>
      <w:r w:rsidR="001D12B3">
        <w:rPr>
          <w:rFonts w:hint="cs"/>
          <w:rtl/>
        </w:rPr>
        <w:t>ّ</w:t>
      </w:r>
      <w:r w:rsidRPr="00822CE9">
        <w:rPr>
          <w:rFonts w:hint="cs"/>
          <w:rtl/>
        </w:rPr>
        <w:t>ى فريق</w:t>
      </w:r>
      <w:r w:rsidR="001D12B3">
        <w:rPr>
          <w:rFonts w:hint="cs"/>
          <w:rtl/>
        </w:rPr>
        <w:t>ٌ</w:t>
      </w:r>
      <w:r w:rsidRPr="00822CE9">
        <w:rPr>
          <w:rFonts w:hint="cs"/>
          <w:rtl/>
        </w:rPr>
        <w:t xml:space="preserve"> آخر فهماً إطلاقي</w:t>
      </w:r>
      <w:r w:rsidR="001D12B3">
        <w:rPr>
          <w:rFonts w:hint="cs"/>
          <w:rtl/>
        </w:rPr>
        <w:t>ّ</w:t>
      </w:r>
      <w:r w:rsidRPr="00822CE9">
        <w:rPr>
          <w:rFonts w:hint="cs"/>
          <w:rtl/>
        </w:rPr>
        <w:t>اً، فغاية ما هناك تعدّد اجتهاداتهم في هذا الموضوع</w:t>
      </w:r>
      <w:r w:rsidR="001D12B3">
        <w:rPr>
          <w:rFonts w:hint="cs"/>
          <w:rtl/>
        </w:rPr>
        <w:t>.</w:t>
      </w:r>
      <w:r w:rsidRPr="00822CE9">
        <w:rPr>
          <w:rFonts w:hint="cs"/>
          <w:rtl/>
        </w:rPr>
        <w:t xml:space="preserve"> وفعلهم ليس بحج</w:t>
      </w:r>
      <w:r w:rsidR="001D12B3">
        <w:rPr>
          <w:rFonts w:hint="cs"/>
          <w:rtl/>
        </w:rPr>
        <w:t>ّ</w:t>
      </w:r>
      <w:r w:rsidRPr="00822CE9">
        <w:rPr>
          <w:rFonts w:hint="cs"/>
          <w:rtl/>
        </w:rPr>
        <w:t>ة</w:t>
      </w:r>
      <w:r w:rsidR="001D12B3">
        <w:rPr>
          <w:rFonts w:hint="cs"/>
          <w:rtl/>
        </w:rPr>
        <w:t>،</w:t>
      </w:r>
      <w:r w:rsidRPr="00822CE9">
        <w:rPr>
          <w:rFonts w:hint="cs"/>
          <w:rtl/>
        </w:rPr>
        <w:t xml:space="preserve"> </w:t>
      </w:r>
      <w:r w:rsidR="001D12B3">
        <w:rPr>
          <w:rFonts w:hint="cs"/>
          <w:rtl/>
        </w:rPr>
        <w:t xml:space="preserve">ولا </w:t>
      </w:r>
      <w:r w:rsidRPr="00822CE9">
        <w:rPr>
          <w:rFonts w:hint="cs"/>
          <w:rtl/>
        </w:rPr>
        <w:t>سيما نحن نتحدّث بعد عصر الخلفاء الأربعة الأوائل، حيث لم يبق</w:t>
      </w:r>
      <w:r w:rsidR="001D12B3">
        <w:rPr>
          <w:rFonts w:hint="cs"/>
          <w:rtl/>
        </w:rPr>
        <w:t>َ</w:t>
      </w:r>
      <w:r w:rsidRPr="00822CE9">
        <w:rPr>
          <w:rFonts w:hint="cs"/>
          <w:rtl/>
        </w:rPr>
        <w:t xml:space="preserve"> هناك سوى عدد قليل من الصحابة، فلا يعارض هذا التاريخ </w:t>
      </w:r>
      <w:r w:rsidR="001D12B3">
        <w:rPr>
          <w:rFonts w:hint="cs"/>
          <w:rtl/>
        </w:rPr>
        <w:t xml:space="preserve">ظواهر النصوص. </w:t>
      </w:r>
      <w:r w:rsidR="00815130">
        <w:rPr>
          <w:rFonts w:hint="cs"/>
          <w:rtl/>
        </w:rPr>
        <w:t xml:space="preserve">أمّا </w:t>
      </w:r>
      <w:r w:rsidRPr="00822CE9">
        <w:rPr>
          <w:rFonts w:hint="cs"/>
          <w:rtl/>
        </w:rPr>
        <w:t>لو انعقدت سيرة المتشرّعة على الخروج</w:t>
      </w:r>
      <w:r w:rsidR="001D12B3">
        <w:rPr>
          <w:rFonts w:hint="cs"/>
          <w:rtl/>
        </w:rPr>
        <w:t>،</w:t>
      </w:r>
      <w:r w:rsidRPr="00822CE9">
        <w:rPr>
          <w:rFonts w:hint="cs"/>
          <w:rtl/>
        </w:rPr>
        <w:t xml:space="preserve"> لشكّ</w:t>
      </w:r>
      <w:r w:rsidR="001D12B3">
        <w:rPr>
          <w:rFonts w:hint="cs"/>
          <w:rtl/>
        </w:rPr>
        <w:t>َ</w:t>
      </w:r>
      <w:r w:rsidRPr="00822CE9">
        <w:rPr>
          <w:rFonts w:hint="cs"/>
          <w:rtl/>
        </w:rPr>
        <w:t>ك</w:t>
      </w:r>
      <w:r w:rsidR="001D12B3">
        <w:rPr>
          <w:rFonts w:hint="cs"/>
          <w:rtl/>
        </w:rPr>
        <w:t>َ</w:t>
      </w:r>
      <w:r w:rsidRPr="00822CE9">
        <w:rPr>
          <w:rFonts w:hint="cs"/>
          <w:rtl/>
        </w:rPr>
        <w:t>ن</w:t>
      </w:r>
      <w:r w:rsidR="001D12B3">
        <w:rPr>
          <w:rFonts w:hint="cs"/>
          <w:rtl/>
        </w:rPr>
        <w:t>َ</w:t>
      </w:r>
      <w:r w:rsidRPr="00822CE9">
        <w:rPr>
          <w:rFonts w:hint="cs"/>
          <w:rtl/>
        </w:rPr>
        <w:t>ا ذلك في الإطلاق الظاهر من هذه النصوص حتى لو لم تكن سيرتهم حج</w:t>
      </w:r>
      <w:r w:rsidR="001D12B3">
        <w:rPr>
          <w:rFonts w:hint="cs"/>
          <w:rtl/>
        </w:rPr>
        <w:t>ّ</w:t>
      </w:r>
      <w:r w:rsidRPr="00822CE9">
        <w:rPr>
          <w:rFonts w:hint="cs"/>
          <w:rtl/>
        </w:rPr>
        <w:t>ة</w:t>
      </w:r>
      <w:r w:rsidR="001D12B3">
        <w:rPr>
          <w:rFonts w:hint="cs"/>
          <w:rtl/>
        </w:rPr>
        <w:t>ً</w:t>
      </w:r>
      <w:r w:rsidRPr="00822CE9">
        <w:rPr>
          <w:rFonts w:hint="cs"/>
          <w:rtl/>
        </w:rPr>
        <w:t xml:space="preserve"> أحياناً، لكن</w:t>
      </w:r>
      <w:r w:rsidR="001D12B3">
        <w:rPr>
          <w:rFonts w:hint="cs"/>
          <w:rtl/>
        </w:rPr>
        <w:t>ّ</w:t>
      </w:r>
      <w:r w:rsidRPr="00822CE9">
        <w:rPr>
          <w:rFonts w:hint="cs"/>
          <w:rtl/>
        </w:rPr>
        <w:t xml:space="preserve"> هذا غير واضح إطلاقاً</w:t>
      </w:r>
      <w:r w:rsidR="00815130">
        <w:rPr>
          <w:rFonts w:hint="cs"/>
          <w:rtl/>
        </w:rPr>
        <w:t xml:space="preserve"> هنا</w:t>
      </w:r>
      <w:r w:rsidRPr="00822CE9">
        <w:rPr>
          <w:rFonts w:hint="cs"/>
          <w:rtl/>
        </w:rPr>
        <w:t>.</w:t>
      </w:r>
    </w:p>
    <w:p w14:paraId="6AED7AF8" w14:textId="77777777" w:rsidR="000A4159" w:rsidRPr="00822CE9" w:rsidRDefault="000A4159" w:rsidP="00815130">
      <w:pPr>
        <w:spacing w:line="214" w:lineRule="auto"/>
        <w:rPr>
          <w:rtl/>
        </w:rPr>
      </w:pPr>
      <w:r w:rsidRPr="001D12B3">
        <w:rPr>
          <w:rFonts w:hint="cs"/>
          <w:b/>
          <w:bCs/>
          <w:rtl/>
        </w:rPr>
        <w:t>ب ـ</w:t>
      </w:r>
      <w:r w:rsidRPr="00822CE9">
        <w:rPr>
          <w:rFonts w:hint="cs"/>
          <w:rtl/>
        </w:rPr>
        <w:t xml:space="preserve"> وأم</w:t>
      </w:r>
      <w:r w:rsidR="001D12B3">
        <w:rPr>
          <w:rFonts w:hint="cs"/>
          <w:rtl/>
        </w:rPr>
        <w:t>ّ</w:t>
      </w:r>
      <w:r w:rsidRPr="00822CE9">
        <w:rPr>
          <w:rFonts w:hint="cs"/>
          <w:rtl/>
        </w:rPr>
        <w:t xml:space="preserve">ا إذا أخذنا بنظر الاعتبار </w:t>
      </w:r>
      <w:r w:rsidR="00815130">
        <w:rPr>
          <w:rFonts w:hint="cs"/>
          <w:rtl/>
        </w:rPr>
        <w:t xml:space="preserve">حركة </w:t>
      </w:r>
      <w:r w:rsidRPr="00822CE9">
        <w:rPr>
          <w:rFonts w:hint="cs"/>
          <w:rtl/>
        </w:rPr>
        <w:t>الحسين، فالأمر كذلك بالنسبة لمن لا يعتقد بعصمته وإمامته ومرجعي</w:t>
      </w:r>
      <w:r w:rsidR="001D12B3">
        <w:rPr>
          <w:rFonts w:hint="cs"/>
          <w:rtl/>
        </w:rPr>
        <w:t>ّ</w:t>
      </w:r>
      <w:r w:rsidRPr="00822CE9">
        <w:rPr>
          <w:rFonts w:hint="cs"/>
          <w:rtl/>
        </w:rPr>
        <w:t>ته المطلقة، أم</w:t>
      </w:r>
      <w:r w:rsidR="001D12B3">
        <w:rPr>
          <w:rFonts w:hint="cs"/>
          <w:rtl/>
        </w:rPr>
        <w:t>ّ</w:t>
      </w:r>
      <w:r w:rsidRPr="00822CE9">
        <w:rPr>
          <w:rFonts w:hint="cs"/>
          <w:rtl/>
        </w:rPr>
        <w:t xml:space="preserve">ا بالنسبة للشيعي المعتقد بإمامته </w:t>
      </w:r>
      <w:r w:rsidR="001D12B3">
        <w:rPr>
          <w:rFonts w:hint="cs"/>
          <w:rtl/>
        </w:rPr>
        <w:t xml:space="preserve">وعصمته، </w:t>
      </w:r>
      <w:r w:rsidRPr="00822CE9">
        <w:rPr>
          <w:rFonts w:hint="cs"/>
          <w:rtl/>
        </w:rPr>
        <w:t>فالكلام معه يرجع إلى ما أسلفناه في بحث نظري</w:t>
      </w:r>
      <w:r w:rsidR="001D12B3">
        <w:rPr>
          <w:rFonts w:hint="cs"/>
          <w:rtl/>
        </w:rPr>
        <w:t>ّ</w:t>
      </w:r>
      <w:r w:rsidRPr="00822CE9">
        <w:rPr>
          <w:rFonts w:hint="cs"/>
          <w:rtl/>
        </w:rPr>
        <w:t>ة شرعي</w:t>
      </w:r>
      <w:r w:rsidR="001D12B3">
        <w:rPr>
          <w:rFonts w:hint="cs"/>
          <w:rtl/>
        </w:rPr>
        <w:t>ّ</w:t>
      </w:r>
      <w:r w:rsidRPr="00822CE9">
        <w:rPr>
          <w:rFonts w:hint="cs"/>
          <w:rtl/>
        </w:rPr>
        <w:t>ة الخروج، وقد ذكرنا هناك عد</w:t>
      </w:r>
      <w:r w:rsidR="001D12B3">
        <w:rPr>
          <w:rFonts w:hint="cs"/>
          <w:rtl/>
        </w:rPr>
        <w:t>ّ</w:t>
      </w:r>
      <w:r w:rsidRPr="00822CE9">
        <w:rPr>
          <w:rFonts w:hint="cs"/>
          <w:rtl/>
        </w:rPr>
        <w:t>ة نظري</w:t>
      </w:r>
      <w:r w:rsidR="001D12B3">
        <w:rPr>
          <w:rFonts w:hint="cs"/>
          <w:rtl/>
        </w:rPr>
        <w:t>ّ</w:t>
      </w:r>
      <w:r w:rsidRPr="00822CE9">
        <w:rPr>
          <w:rFonts w:hint="cs"/>
          <w:rtl/>
        </w:rPr>
        <w:t>ات بعضها يسمح بالاستدلال ب</w:t>
      </w:r>
      <w:r w:rsidR="00815130">
        <w:rPr>
          <w:rFonts w:hint="cs"/>
          <w:rtl/>
        </w:rPr>
        <w:t>خروجه</w:t>
      </w:r>
      <w:r w:rsidR="009A1626" w:rsidRPr="00822CE9">
        <w:rPr>
          <w:rFonts w:hint="cs"/>
          <w:rtl/>
        </w:rPr>
        <w:t>×</w:t>
      </w:r>
      <w:r w:rsidRPr="00822CE9">
        <w:rPr>
          <w:rFonts w:hint="cs"/>
          <w:rtl/>
        </w:rPr>
        <w:t xml:space="preserve"> هنا وبعضها لا يسمح، وقد ذكرنا إمكاني</w:t>
      </w:r>
      <w:r w:rsidR="001D12B3">
        <w:rPr>
          <w:rFonts w:hint="cs"/>
          <w:rtl/>
        </w:rPr>
        <w:t>ّ</w:t>
      </w:r>
      <w:r w:rsidRPr="00822CE9">
        <w:rPr>
          <w:rFonts w:hint="cs"/>
          <w:rtl/>
        </w:rPr>
        <w:t>ة هذا الاستدلال هنا لكن في نطاق محدود.</w:t>
      </w:r>
    </w:p>
    <w:p w14:paraId="3393763A" w14:textId="77777777" w:rsidR="000A4159" w:rsidRDefault="000A4159" w:rsidP="000E47B2">
      <w:pPr>
        <w:pStyle w:val="normal84"/>
        <w:rPr>
          <w:rtl/>
        </w:rPr>
      </w:pPr>
      <w:r w:rsidRPr="00822CE9">
        <w:rPr>
          <w:rFonts w:hint="cs"/>
          <w:rtl/>
        </w:rPr>
        <w:t>وطبقاً لنظري</w:t>
      </w:r>
      <w:r w:rsidR="001D12B3">
        <w:rPr>
          <w:rFonts w:hint="cs"/>
          <w:rtl/>
        </w:rPr>
        <w:t>ّ</w:t>
      </w:r>
      <w:r w:rsidRPr="00822CE9">
        <w:rPr>
          <w:rFonts w:hint="cs"/>
          <w:rtl/>
        </w:rPr>
        <w:t>تنا في الجمع بين نصوص الطاعة هنا وما خرجنا به من نتائج في بحث شرعي</w:t>
      </w:r>
      <w:r w:rsidR="001D12B3">
        <w:rPr>
          <w:rFonts w:hint="cs"/>
          <w:rtl/>
        </w:rPr>
        <w:t>ّ</w:t>
      </w:r>
      <w:r w:rsidRPr="00822CE9">
        <w:rPr>
          <w:rFonts w:hint="cs"/>
          <w:rtl/>
        </w:rPr>
        <w:t>ة الخروج سابقاً يمكن تفسير الثورات المسلّحة في القرن الأو</w:t>
      </w:r>
      <w:r w:rsidR="001D12B3">
        <w:rPr>
          <w:rFonts w:hint="cs"/>
          <w:rtl/>
        </w:rPr>
        <w:t>ّ</w:t>
      </w:r>
      <w:r w:rsidRPr="00822CE9">
        <w:rPr>
          <w:rFonts w:hint="cs"/>
          <w:rtl/>
        </w:rPr>
        <w:t>ل، تفسيراً إمكاني</w:t>
      </w:r>
      <w:r w:rsidR="001D12B3">
        <w:rPr>
          <w:rFonts w:hint="cs"/>
          <w:rtl/>
        </w:rPr>
        <w:t>ّ</w:t>
      </w:r>
      <w:r w:rsidRPr="00822CE9">
        <w:rPr>
          <w:rFonts w:hint="cs"/>
          <w:rtl/>
        </w:rPr>
        <w:t>اً، بأنّ من خرج كان يرى خروجه مصداقاً لدليل الرخصة والجواز، فيما كان يرى الآخرون أن</w:t>
      </w:r>
      <w:r w:rsidR="001D12B3">
        <w:rPr>
          <w:rFonts w:hint="cs"/>
          <w:rtl/>
        </w:rPr>
        <w:t>ّ</w:t>
      </w:r>
      <w:r w:rsidRPr="00822CE9">
        <w:rPr>
          <w:rFonts w:hint="cs"/>
          <w:rtl/>
        </w:rPr>
        <w:t>ه ما يزال تحت عمومات النهي عن القت</w:t>
      </w:r>
      <w:r w:rsidR="00D645B8">
        <w:rPr>
          <w:rFonts w:hint="cs"/>
          <w:rtl/>
        </w:rPr>
        <w:t>ا</w:t>
      </w:r>
      <w:r w:rsidRPr="00822CE9">
        <w:rPr>
          <w:rFonts w:hint="cs"/>
          <w:rtl/>
        </w:rPr>
        <w:t>ل بين المسلمين.</w:t>
      </w:r>
    </w:p>
    <w:p w14:paraId="3B2B6BE8" w14:textId="77777777" w:rsidR="00BA61D6" w:rsidRPr="00BA61D6" w:rsidRDefault="00BA61D6" w:rsidP="0096148C">
      <w:pPr>
        <w:pStyle w:val="Heading4"/>
        <w:rPr>
          <w:rtl/>
        </w:rPr>
      </w:pPr>
      <w:bookmarkStart w:id="209" w:name="_Toc143804184"/>
      <w:bookmarkStart w:id="210" w:name="_Toc238123309"/>
      <w:r w:rsidRPr="00BA61D6">
        <w:rPr>
          <w:rFonts w:hint="cs"/>
          <w:rtl/>
        </w:rPr>
        <w:t>1 ـ 3 ـ 3 ـ وقفة</w:t>
      </w:r>
      <w:r>
        <w:rPr>
          <w:rFonts w:hint="cs"/>
          <w:rtl/>
        </w:rPr>
        <w:t>ٌ</w:t>
      </w:r>
      <w:r w:rsidRPr="00BA61D6">
        <w:rPr>
          <w:rFonts w:hint="cs"/>
          <w:rtl/>
        </w:rPr>
        <w:t xml:space="preserve"> نقديّ</w:t>
      </w:r>
      <w:r>
        <w:rPr>
          <w:rFonts w:hint="cs"/>
          <w:rtl/>
        </w:rPr>
        <w:t>ة</w:t>
      </w:r>
      <w:r w:rsidRPr="00BA61D6">
        <w:rPr>
          <w:rFonts w:hint="cs"/>
          <w:rtl/>
        </w:rPr>
        <w:t xml:space="preserve"> مع ادّعاء الإجماع في موضوع</w:t>
      </w:r>
      <w:r>
        <w:rPr>
          <w:rFonts w:hint="cs"/>
          <w:rtl/>
        </w:rPr>
        <w:t>ٍ</w:t>
      </w:r>
      <w:r w:rsidRPr="00BA61D6">
        <w:rPr>
          <w:rFonts w:hint="cs"/>
          <w:rtl/>
        </w:rPr>
        <w:t xml:space="preserve"> خلافي</w:t>
      </w:r>
      <w:r>
        <w:rPr>
          <w:rFonts w:hint="cs"/>
          <w:rtl/>
        </w:rPr>
        <w:t>ّ</w:t>
      </w:r>
      <w:r w:rsidRPr="00BA61D6">
        <w:rPr>
          <w:rFonts w:hint="cs"/>
          <w:rtl/>
        </w:rPr>
        <w:t xml:space="preserve"> بامتياز</w:t>
      </w:r>
      <w:r>
        <w:rPr>
          <w:rFonts w:hint="cs"/>
          <w:rtl/>
        </w:rPr>
        <w:t>!</w:t>
      </w:r>
      <w:bookmarkEnd w:id="209"/>
      <w:bookmarkEnd w:id="210"/>
    </w:p>
    <w:p w14:paraId="0BD77F26" w14:textId="77777777" w:rsidR="000A4159" w:rsidRPr="00822CE9" w:rsidRDefault="000A4159" w:rsidP="000E47B2">
      <w:pPr>
        <w:pStyle w:val="normal84"/>
        <w:rPr>
          <w:rtl/>
        </w:rPr>
      </w:pPr>
      <w:r w:rsidRPr="00822CE9">
        <w:rPr>
          <w:rFonts w:hint="cs"/>
          <w:rtl/>
        </w:rPr>
        <w:t>إنّ الحديث عن إجماع المسلمين هنا مثير</w:t>
      </w:r>
      <w:r w:rsidR="00F24CDA">
        <w:rPr>
          <w:rFonts w:hint="cs"/>
          <w:rtl/>
        </w:rPr>
        <w:t>ٌ</w:t>
      </w:r>
      <w:r w:rsidRPr="00822CE9">
        <w:rPr>
          <w:rFonts w:hint="cs"/>
          <w:rtl/>
        </w:rPr>
        <w:t xml:space="preserve"> للاستغراب، فكيف حصل إجماع المسلمين مع كل</w:t>
      </w:r>
      <w:r w:rsidR="00F24CDA">
        <w:rPr>
          <w:rFonts w:hint="cs"/>
          <w:rtl/>
        </w:rPr>
        <w:t>ّ</w:t>
      </w:r>
      <w:r w:rsidRPr="00822CE9">
        <w:rPr>
          <w:rFonts w:hint="cs"/>
          <w:rtl/>
        </w:rPr>
        <w:t xml:space="preserve"> هذه الثورات التي حصلت في القرون الهجري</w:t>
      </w:r>
      <w:r w:rsidR="00F24CDA">
        <w:rPr>
          <w:rFonts w:hint="cs"/>
          <w:rtl/>
        </w:rPr>
        <w:t>ّ</w:t>
      </w:r>
      <w:r w:rsidRPr="00822CE9">
        <w:rPr>
          <w:rFonts w:hint="cs"/>
          <w:rtl/>
        </w:rPr>
        <w:t>ة الثلاثة الأولى مدعومةً بفهم</w:t>
      </w:r>
      <w:r w:rsidR="00F24CDA">
        <w:rPr>
          <w:rFonts w:hint="cs"/>
          <w:rtl/>
        </w:rPr>
        <w:t>ٍ</w:t>
      </w:r>
      <w:r w:rsidRPr="00822CE9">
        <w:rPr>
          <w:rFonts w:hint="cs"/>
          <w:rtl/>
        </w:rPr>
        <w:t xml:space="preserve"> ديني ـ في الكثير منها ـ ليبرّرها؟ بل حتى الخوارج ومعاوية وعائشة أم</w:t>
      </w:r>
      <w:r w:rsidR="00F24CDA">
        <w:rPr>
          <w:rFonts w:hint="cs"/>
          <w:rtl/>
        </w:rPr>
        <w:t>ّ</w:t>
      </w:r>
      <w:r w:rsidRPr="00822CE9">
        <w:rPr>
          <w:rFonts w:hint="cs"/>
          <w:rtl/>
        </w:rPr>
        <w:t xml:space="preserve"> المؤمنين وأنصارهم</w:t>
      </w:r>
      <w:r w:rsidR="00F24CDA">
        <w:rPr>
          <w:rFonts w:hint="cs"/>
          <w:rtl/>
        </w:rPr>
        <w:t>،</w:t>
      </w:r>
      <w:r w:rsidRPr="00822CE9">
        <w:rPr>
          <w:rFonts w:hint="cs"/>
          <w:rtl/>
        </w:rPr>
        <w:t xml:space="preserve"> كيف خرجوا لولا أن</w:t>
      </w:r>
      <w:r w:rsidR="00F24CDA">
        <w:rPr>
          <w:rFonts w:hint="cs"/>
          <w:rtl/>
        </w:rPr>
        <w:t>ّ</w:t>
      </w:r>
      <w:r w:rsidRPr="00822CE9">
        <w:rPr>
          <w:rFonts w:hint="cs"/>
          <w:rtl/>
        </w:rPr>
        <w:t>هم تأوّلوا النصوص وأقنعوا الآخرين بهذا التأويل حتى لو تابوا بعد ذلك؟ وكيف انعقد إجماع المسلمين وثورات المدينة والحسين، وابن الزبير، وزيد الشهيد الفقيه، وموقف أبي ح</w:t>
      </w:r>
      <w:r w:rsidR="00F24CDA">
        <w:rPr>
          <w:rFonts w:hint="cs"/>
          <w:rtl/>
        </w:rPr>
        <w:t xml:space="preserve">نيفة </w:t>
      </w:r>
      <w:r w:rsidRPr="00822CE9">
        <w:rPr>
          <w:rFonts w:hint="cs"/>
          <w:rtl/>
        </w:rPr>
        <w:lastRenderedPageBreak/>
        <w:t>المعروف في دعمه و.. معالم واضحة على عدم وجود وجهة نظر واحدة عند</w:t>
      </w:r>
      <w:r w:rsidR="00F24CDA">
        <w:rPr>
          <w:rFonts w:hint="cs"/>
          <w:rtl/>
        </w:rPr>
        <w:t xml:space="preserve"> </w:t>
      </w:r>
      <w:r w:rsidRPr="00822CE9">
        <w:rPr>
          <w:rFonts w:hint="cs"/>
          <w:rtl/>
        </w:rPr>
        <w:t>المسلمين في القرون الأولى؟ بل ما معنى ثورة العباسي</w:t>
      </w:r>
      <w:r w:rsidR="00F24CDA">
        <w:rPr>
          <w:rFonts w:hint="cs"/>
          <w:rtl/>
        </w:rPr>
        <w:t>ّ</w:t>
      </w:r>
      <w:r w:rsidRPr="00822CE9">
        <w:rPr>
          <w:rFonts w:hint="cs"/>
          <w:rtl/>
        </w:rPr>
        <w:t>ين المدعومة بأفهام فقهي</w:t>
      </w:r>
      <w:r w:rsidR="00F24CDA">
        <w:rPr>
          <w:rFonts w:hint="cs"/>
          <w:rtl/>
        </w:rPr>
        <w:t>ّ</w:t>
      </w:r>
      <w:r w:rsidRPr="00822CE9">
        <w:rPr>
          <w:rFonts w:hint="cs"/>
          <w:rtl/>
        </w:rPr>
        <w:t>ة ضدّ الخلافة الأموي</w:t>
      </w:r>
      <w:r w:rsidR="00F24CDA">
        <w:rPr>
          <w:rFonts w:hint="cs"/>
          <w:rtl/>
        </w:rPr>
        <w:t>ّ</w:t>
      </w:r>
      <w:r w:rsidRPr="00822CE9">
        <w:rPr>
          <w:rFonts w:hint="cs"/>
          <w:rtl/>
        </w:rPr>
        <w:t xml:space="preserve">ة نفسها؟ </w:t>
      </w:r>
      <w:r w:rsidR="00274680">
        <w:rPr>
          <w:rFonts w:hint="cs"/>
          <w:rtl/>
        </w:rPr>
        <w:t xml:space="preserve">وما معنى ثورات الزيدية والحسنيّين؟! </w:t>
      </w:r>
      <w:r w:rsidRPr="00822CE9">
        <w:rPr>
          <w:rFonts w:hint="cs"/>
          <w:rtl/>
        </w:rPr>
        <w:t>والأمثلة لا تعدّ ولا تحص</w:t>
      </w:r>
      <w:r w:rsidR="00F24CDA">
        <w:rPr>
          <w:rFonts w:hint="cs"/>
          <w:rtl/>
        </w:rPr>
        <w:t>ى</w:t>
      </w:r>
      <w:r w:rsidRPr="00822CE9">
        <w:rPr>
          <w:rFonts w:hint="cs"/>
          <w:rtl/>
        </w:rPr>
        <w:t xml:space="preserve">، </w:t>
      </w:r>
      <w:r w:rsidR="00F24CDA">
        <w:rPr>
          <w:rFonts w:hint="cs"/>
          <w:rtl/>
        </w:rPr>
        <w:t xml:space="preserve">ولا </w:t>
      </w:r>
      <w:r w:rsidRPr="00822CE9">
        <w:rPr>
          <w:rFonts w:hint="cs"/>
          <w:rtl/>
        </w:rPr>
        <w:t>سيما أن</w:t>
      </w:r>
      <w:r w:rsidR="00F24CDA">
        <w:rPr>
          <w:rFonts w:hint="cs"/>
          <w:rtl/>
        </w:rPr>
        <w:t>ّ</w:t>
      </w:r>
      <w:r w:rsidRPr="00822CE9">
        <w:rPr>
          <w:rFonts w:hint="cs"/>
          <w:rtl/>
        </w:rPr>
        <w:t xml:space="preserve"> الثورات في تلك العصور في الوسط الإسلامي كانت تحمل معها ـ ولو ظاهراً ـ تفسيراً دين</w:t>
      </w:r>
      <w:r w:rsidR="00F24CDA">
        <w:rPr>
          <w:rFonts w:hint="cs"/>
          <w:rtl/>
        </w:rPr>
        <w:t>يّ</w:t>
      </w:r>
      <w:r w:rsidRPr="00822CE9">
        <w:rPr>
          <w:rFonts w:hint="cs"/>
          <w:rtl/>
        </w:rPr>
        <w:t>اً يبرّرها، وإلا لما خرج الناس معها، فكيف نفسّر كل</w:t>
      </w:r>
      <w:r w:rsidR="00F24CDA">
        <w:rPr>
          <w:rFonts w:hint="cs"/>
          <w:rtl/>
        </w:rPr>
        <w:t>ّ</w:t>
      </w:r>
      <w:r w:rsidRPr="00822CE9">
        <w:rPr>
          <w:rFonts w:hint="cs"/>
          <w:rtl/>
        </w:rPr>
        <w:t xml:space="preserve"> هذه الثورات يا ت</w:t>
      </w:r>
      <w:r w:rsidR="00F24CDA">
        <w:rPr>
          <w:rFonts w:hint="cs"/>
          <w:rtl/>
        </w:rPr>
        <w:t>ُ</w:t>
      </w:r>
      <w:r w:rsidRPr="00822CE9">
        <w:rPr>
          <w:rFonts w:hint="cs"/>
          <w:rtl/>
        </w:rPr>
        <w:t>رى؟!</w:t>
      </w:r>
    </w:p>
    <w:p w14:paraId="65357C71" w14:textId="77777777" w:rsidR="000A4159" w:rsidRDefault="000A4159" w:rsidP="000E47B2">
      <w:pPr>
        <w:pStyle w:val="normal84"/>
        <w:rPr>
          <w:rtl/>
        </w:rPr>
      </w:pPr>
      <w:r w:rsidRPr="00822CE9">
        <w:rPr>
          <w:rFonts w:hint="cs"/>
          <w:rtl/>
        </w:rPr>
        <w:t>وحتى لو نظرنا في المواقف الفقهي</w:t>
      </w:r>
      <w:r w:rsidR="00F24CDA">
        <w:rPr>
          <w:rFonts w:hint="cs"/>
          <w:rtl/>
        </w:rPr>
        <w:t>ّ</w:t>
      </w:r>
      <w:r w:rsidRPr="00822CE9">
        <w:rPr>
          <w:rFonts w:hint="cs"/>
          <w:rtl/>
        </w:rPr>
        <w:t>ة اللاحقة لم نج</w:t>
      </w:r>
      <w:r w:rsidR="006744AE">
        <w:rPr>
          <w:rFonts w:hint="cs"/>
          <w:rtl/>
        </w:rPr>
        <w:t xml:space="preserve">د أيّ إجماع إسلامي، فقد أسلفنا بيان موقف </w:t>
      </w:r>
      <w:r w:rsidRPr="00822CE9">
        <w:rPr>
          <w:rFonts w:hint="cs"/>
          <w:rtl/>
        </w:rPr>
        <w:t>الزيدية، والخوارج، والمعتزلة، وجملة من المرجئة، وأب</w:t>
      </w:r>
      <w:r w:rsidR="00815130">
        <w:rPr>
          <w:rFonts w:hint="cs"/>
          <w:rtl/>
        </w:rPr>
        <w:t>ي</w:t>
      </w:r>
      <w:r w:rsidRPr="00822CE9">
        <w:rPr>
          <w:rFonts w:hint="cs"/>
          <w:rtl/>
        </w:rPr>
        <w:t xml:space="preserve"> بكر الأصم في الجملة، </w:t>
      </w:r>
      <w:r w:rsidR="00694F86">
        <w:rPr>
          <w:rFonts w:hint="cs"/>
          <w:rtl/>
        </w:rPr>
        <w:t xml:space="preserve">والجهم بن صفوان، </w:t>
      </w:r>
      <w:r w:rsidRPr="00822CE9">
        <w:rPr>
          <w:rFonts w:hint="cs"/>
          <w:rtl/>
        </w:rPr>
        <w:t>وجملة أساسي</w:t>
      </w:r>
      <w:r w:rsidR="00F24CDA">
        <w:rPr>
          <w:rFonts w:hint="cs"/>
          <w:rtl/>
        </w:rPr>
        <w:t>ّ</w:t>
      </w:r>
      <w:r w:rsidRPr="00822CE9">
        <w:rPr>
          <w:rFonts w:hint="cs"/>
          <w:rtl/>
        </w:rPr>
        <w:t>ة من الظاهري</w:t>
      </w:r>
      <w:r w:rsidR="00F24CDA">
        <w:rPr>
          <w:rFonts w:hint="cs"/>
          <w:rtl/>
        </w:rPr>
        <w:t>ّ</w:t>
      </w:r>
      <w:r w:rsidRPr="00822CE9">
        <w:rPr>
          <w:rFonts w:hint="cs"/>
          <w:rtl/>
        </w:rPr>
        <w:t>ة على رأسهم ابن حزم الذي حكم بوجوب الخروج، وحتى الإمامي</w:t>
      </w:r>
      <w:r w:rsidR="00F24CDA">
        <w:rPr>
          <w:rFonts w:hint="cs"/>
          <w:rtl/>
        </w:rPr>
        <w:t>ّ</w:t>
      </w:r>
      <w:r w:rsidRPr="00822CE9">
        <w:rPr>
          <w:rFonts w:hint="cs"/>
          <w:rtl/>
        </w:rPr>
        <w:t>ة</w:t>
      </w:r>
      <w:r w:rsidR="006744AE">
        <w:rPr>
          <w:rFonts w:hint="cs"/>
          <w:rtl/>
        </w:rPr>
        <w:t>،</w:t>
      </w:r>
      <w:r w:rsidRPr="00822CE9">
        <w:rPr>
          <w:rFonts w:hint="cs"/>
          <w:rtl/>
        </w:rPr>
        <w:t xml:space="preserve"> لا يحرّمون الخروج بنفسه بل يربطونه بالمعصوم، كما ذكرنا آنفاً، ومع هذا </w:t>
      </w:r>
      <w:r w:rsidR="006744AE">
        <w:rPr>
          <w:rFonts w:hint="cs"/>
          <w:rtl/>
        </w:rPr>
        <w:t xml:space="preserve">كلّه </w:t>
      </w:r>
      <w:r w:rsidRPr="00822CE9">
        <w:rPr>
          <w:rFonts w:hint="cs"/>
          <w:rtl/>
        </w:rPr>
        <w:t>كيف يصحّ القول بانعقاد إجماع</w:t>
      </w:r>
      <w:r w:rsidR="00F24CDA">
        <w:rPr>
          <w:rFonts w:hint="cs"/>
          <w:rtl/>
        </w:rPr>
        <w:t>ٍ</w:t>
      </w:r>
      <w:r w:rsidRPr="00822CE9">
        <w:rPr>
          <w:rFonts w:hint="cs"/>
          <w:rtl/>
        </w:rPr>
        <w:t xml:space="preserve"> إسلامي في الموضوع؟! فالإنصاف أن</w:t>
      </w:r>
      <w:r w:rsidR="00F24CDA">
        <w:rPr>
          <w:rFonts w:hint="cs"/>
          <w:rtl/>
        </w:rPr>
        <w:t>ّ</w:t>
      </w:r>
      <w:r w:rsidRPr="00822CE9">
        <w:rPr>
          <w:rFonts w:hint="cs"/>
          <w:rtl/>
        </w:rPr>
        <w:t xml:space="preserve"> القضية مشكلة مختلف عليها تعدّدت فيها الاجتهادات وكثرت فيها المواقف، فلا يصحّ الاستناد إلى الإجماع هنا، وحتى لو سلّمناه فهو واضح المدركي</w:t>
      </w:r>
      <w:r w:rsidR="00F24CDA">
        <w:rPr>
          <w:rFonts w:hint="cs"/>
          <w:rtl/>
        </w:rPr>
        <w:t>ّ</w:t>
      </w:r>
      <w:r w:rsidRPr="00822CE9">
        <w:rPr>
          <w:rFonts w:hint="cs"/>
          <w:rtl/>
        </w:rPr>
        <w:t>ة، كونه يعتمد على النصوص والأدلّة المتقدّمة فلا يكون حج</w:t>
      </w:r>
      <w:r w:rsidR="00F24CDA">
        <w:rPr>
          <w:rFonts w:hint="cs"/>
          <w:rtl/>
        </w:rPr>
        <w:t>ّ</w:t>
      </w:r>
      <w:r w:rsidRPr="00822CE9">
        <w:rPr>
          <w:rFonts w:hint="cs"/>
          <w:rtl/>
        </w:rPr>
        <w:t>ةً حينئذ.</w:t>
      </w:r>
    </w:p>
    <w:p w14:paraId="4FF3D843" w14:textId="77777777" w:rsidR="007F2A7F" w:rsidRDefault="007F2A7F" w:rsidP="000E47B2">
      <w:pPr>
        <w:rPr>
          <w:rtl/>
        </w:rPr>
      </w:pPr>
      <w:r>
        <w:rPr>
          <w:rFonts w:hint="cs"/>
          <w:rtl/>
        </w:rPr>
        <w:t xml:space="preserve">والمشكلة هنا هو في طريقة بعض العلماء ـ وبخاصّة </w:t>
      </w:r>
      <w:r w:rsidR="00815130">
        <w:rPr>
          <w:rFonts w:hint="cs"/>
          <w:rtl/>
        </w:rPr>
        <w:t xml:space="preserve">بعض من </w:t>
      </w:r>
      <w:r>
        <w:rPr>
          <w:rFonts w:hint="cs"/>
          <w:rtl/>
        </w:rPr>
        <w:t>في الوسط السلفي ـ الذين يملكون تعريفهم الخاصّ لمفهوم "أهل السنّة والجماعة"، فيُخرجون من الأوّل كلَّ التيارات التي يختلفون معها، من شيعةٍ ومعتزلةٍ وخوارج وكثير غيرهم، ثم يدّعون انحصار عنوان أهل السنّة والجماعة بغيرهم، فتظهر في كلماتهم دعاوى الإجماع الإسلامي، في مقابل المبتدعة والمنحرفين!</w:t>
      </w:r>
    </w:p>
    <w:p w14:paraId="58BC5AAE" w14:textId="77777777" w:rsidR="00C933C2" w:rsidRDefault="001D298F" w:rsidP="003E498E">
      <w:pPr>
        <w:spacing w:line="214" w:lineRule="auto"/>
        <w:rPr>
          <w:rtl/>
        </w:rPr>
      </w:pPr>
      <w:r w:rsidRPr="00815130">
        <w:rPr>
          <w:rFonts w:hint="cs"/>
          <w:b/>
          <w:bCs/>
          <w:rtl/>
        </w:rPr>
        <w:t>واللافت أنّ ابن تيمية ينسب هذا القول لمذهب أهل الحديث، ولا ينسبه لعامّة المسلمين، فيقول:</w:t>
      </w:r>
      <w:r>
        <w:rPr>
          <w:rFonts w:hint="cs"/>
          <w:rtl/>
        </w:rPr>
        <w:t xml:space="preserve"> </w:t>
      </w:r>
      <w:r>
        <w:rPr>
          <w:rFonts w:hint="eastAsia"/>
          <w:rtl/>
        </w:rPr>
        <w:t>«</w:t>
      </w:r>
      <w:r w:rsidR="00C933C2">
        <w:rPr>
          <w:rFonts w:hint="cs"/>
          <w:rtl/>
        </w:rPr>
        <w:t>مذهب أهل الحديث ترك الخروج بالقتال على الملوك البغاة والصبر على ظلمهم إلى أن يستريح بَرٌّ أو يُستراح من فاجر</w:t>
      </w:r>
      <w:r w:rsidR="00C933C2">
        <w:rPr>
          <w:rFonts w:hint="eastAsia"/>
          <w:rtl/>
        </w:rPr>
        <w:t>»</w:t>
      </w:r>
      <w:r w:rsidR="00C933C2" w:rsidRPr="000A4159">
        <w:rPr>
          <w:rFonts w:cs="Taher"/>
          <w:vertAlign w:val="superscript"/>
          <w:rtl/>
        </w:rPr>
        <w:t>(</w:t>
      </w:r>
      <w:r w:rsidR="00C933C2" w:rsidRPr="000A4159">
        <w:rPr>
          <w:rStyle w:val="FootnoteReference"/>
          <w:rFonts w:cs="Taher"/>
          <w:rtl/>
        </w:rPr>
        <w:footnoteReference w:id="361"/>
      </w:r>
      <w:r w:rsidR="00C933C2" w:rsidRPr="000A4159">
        <w:rPr>
          <w:rFonts w:cs="Taher"/>
          <w:vertAlign w:val="superscript"/>
          <w:rtl/>
        </w:rPr>
        <w:t>)</w:t>
      </w:r>
      <w:r w:rsidR="00C933C2">
        <w:rPr>
          <w:rFonts w:hint="cs"/>
          <w:rtl/>
        </w:rPr>
        <w:t>.</w:t>
      </w:r>
    </w:p>
    <w:p w14:paraId="4CEFA4F8" w14:textId="77777777" w:rsidR="003F4BD8" w:rsidRDefault="008954D4" w:rsidP="000E47B2">
      <w:pPr>
        <w:rPr>
          <w:rtl/>
        </w:rPr>
      </w:pPr>
      <w:r>
        <w:rPr>
          <w:rFonts w:hint="cs"/>
          <w:rtl/>
        </w:rPr>
        <w:t xml:space="preserve">ولا نريد الإطالة في الحديث عن صغرى الإجماع، لكن فلنلاحظ ما قاله ابن حجر العسقلاني، </w:t>
      </w:r>
      <w:r w:rsidR="00F51EF7">
        <w:rPr>
          <w:rFonts w:hint="cs"/>
          <w:rtl/>
        </w:rPr>
        <w:t>في ترجمة الحسن بن صالح</w:t>
      </w:r>
      <w:r>
        <w:rPr>
          <w:rFonts w:hint="cs"/>
          <w:rtl/>
        </w:rPr>
        <w:t xml:space="preserve">: </w:t>
      </w:r>
      <w:r>
        <w:rPr>
          <w:rFonts w:hint="eastAsia"/>
          <w:rtl/>
        </w:rPr>
        <w:t>«</w:t>
      </w:r>
      <w:r w:rsidRPr="008954D4">
        <w:rPr>
          <w:rtl/>
        </w:rPr>
        <w:t>وقولهم كان يرى السيف</w:t>
      </w:r>
      <w:r w:rsidR="00510244">
        <w:rPr>
          <w:rFonts w:hint="cs"/>
          <w:rtl/>
        </w:rPr>
        <w:t>،</w:t>
      </w:r>
      <w:r w:rsidRPr="008954D4">
        <w:rPr>
          <w:rtl/>
        </w:rPr>
        <w:t xml:space="preserve"> يعني كان يرى الخروج بالسيف على أئم</w:t>
      </w:r>
      <w:r w:rsidR="00510244">
        <w:rPr>
          <w:rFonts w:hint="cs"/>
          <w:rtl/>
        </w:rPr>
        <w:t>ّ</w:t>
      </w:r>
      <w:r w:rsidRPr="008954D4">
        <w:rPr>
          <w:rtl/>
        </w:rPr>
        <w:t>ة الجور</w:t>
      </w:r>
      <w:r w:rsidR="00510244">
        <w:rPr>
          <w:rFonts w:hint="cs"/>
          <w:rtl/>
        </w:rPr>
        <w:t xml:space="preserve">. </w:t>
      </w:r>
      <w:r w:rsidRPr="008954D4">
        <w:rPr>
          <w:rtl/>
        </w:rPr>
        <w:t>وهذا مذهب</w:t>
      </w:r>
      <w:r w:rsidR="00510244">
        <w:rPr>
          <w:rFonts w:hint="cs"/>
          <w:rtl/>
        </w:rPr>
        <w:t>ٌ</w:t>
      </w:r>
      <w:r w:rsidRPr="008954D4">
        <w:rPr>
          <w:rtl/>
        </w:rPr>
        <w:t xml:space="preserve"> للسلف قديم</w:t>
      </w:r>
      <w:r w:rsidR="00510244">
        <w:rPr>
          <w:rFonts w:hint="cs"/>
          <w:rtl/>
        </w:rPr>
        <w:t>،</w:t>
      </w:r>
      <w:r w:rsidRPr="008954D4">
        <w:rPr>
          <w:rtl/>
        </w:rPr>
        <w:t xml:space="preserve"> لكن استقر</w:t>
      </w:r>
      <w:r w:rsidR="00510244">
        <w:rPr>
          <w:rFonts w:hint="cs"/>
          <w:rtl/>
        </w:rPr>
        <w:t>ّ</w:t>
      </w:r>
      <w:r w:rsidR="00510244">
        <w:rPr>
          <w:rtl/>
        </w:rPr>
        <w:t xml:space="preserve"> ال</w:t>
      </w:r>
      <w:r w:rsidR="00510244">
        <w:rPr>
          <w:rFonts w:hint="cs"/>
          <w:rtl/>
        </w:rPr>
        <w:t>أ</w:t>
      </w:r>
      <w:r w:rsidRPr="008954D4">
        <w:rPr>
          <w:rtl/>
        </w:rPr>
        <w:t>مر على ترك ذلك</w:t>
      </w:r>
      <w:r w:rsidR="00510244">
        <w:rPr>
          <w:rFonts w:hint="cs"/>
          <w:rtl/>
        </w:rPr>
        <w:t>؛</w:t>
      </w:r>
      <w:r w:rsidRPr="008954D4">
        <w:rPr>
          <w:rtl/>
        </w:rPr>
        <w:t xml:space="preserve"> لما رأوه قد أفضى إلى أشد</w:t>
      </w:r>
      <w:r w:rsidR="00510244">
        <w:rPr>
          <w:rFonts w:hint="cs"/>
          <w:rtl/>
        </w:rPr>
        <w:t>ّ</w:t>
      </w:r>
      <w:r w:rsidRPr="008954D4">
        <w:rPr>
          <w:rtl/>
        </w:rPr>
        <w:t xml:space="preserve"> منه</w:t>
      </w:r>
      <w:r w:rsidR="00510244">
        <w:rPr>
          <w:rFonts w:hint="cs"/>
          <w:rtl/>
        </w:rPr>
        <w:t xml:space="preserve">، </w:t>
      </w:r>
      <w:r w:rsidRPr="008954D4">
        <w:rPr>
          <w:rtl/>
        </w:rPr>
        <w:t>ففي وقعة الحر</w:t>
      </w:r>
      <w:r w:rsidR="00510244">
        <w:rPr>
          <w:rFonts w:hint="cs"/>
          <w:rtl/>
        </w:rPr>
        <w:t>ّ</w:t>
      </w:r>
      <w:r w:rsidRPr="008954D4">
        <w:rPr>
          <w:rtl/>
        </w:rPr>
        <w:t>ة ووقعة ابن الأشعث وغيرهما عظة</w:t>
      </w:r>
      <w:r w:rsidR="00510244">
        <w:rPr>
          <w:rFonts w:hint="cs"/>
          <w:rtl/>
        </w:rPr>
        <w:t>ٌ</w:t>
      </w:r>
      <w:r w:rsidRPr="008954D4">
        <w:rPr>
          <w:rtl/>
        </w:rPr>
        <w:t xml:space="preserve"> لمن تدب</w:t>
      </w:r>
      <w:r w:rsidR="00510244">
        <w:rPr>
          <w:rFonts w:hint="cs"/>
          <w:rtl/>
        </w:rPr>
        <w:t>ّ</w:t>
      </w:r>
      <w:r w:rsidRPr="008954D4">
        <w:rPr>
          <w:rtl/>
        </w:rPr>
        <w:t>ر</w:t>
      </w:r>
      <w:r w:rsidR="00510244">
        <w:rPr>
          <w:rFonts w:hint="cs"/>
          <w:rtl/>
        </w:rPr>
        <w:t>،</w:t>
      </w:r>
      <w:r w:rsidRPr="008954D4">
        <w:rPr>
          <w:rtl/>
        </w:rPr>
        <w:t xml:space="preserve"> وبمثل هذا </w:t>
      </w:r>
      <w:r w:rsidRPr="008954D4">
        <w:rPr>
          <w:rtl/>
        </w:rPr>
        <w:lastRenderedPageBreak/>
        <w:t>الرأي لا يقدح في رجل</w:t>
      </w:r>
      <w:r w:rsidR="00510244">
        <w:rPr>
          <w:rFonts w:hint="cs"/>
          <w:rtl/>
        </w:rPr>
        <w:t xml:space="preserve"> </w:t>
      </w:r>
      <w:r w:rsidRPr="008954D4">
        <w:rPr>
          <w:rtl/>
        </w:rPr>
        <w:t>قد ثبتت عدالته واشتهر بالحفظ والاتقان والورع التام</w:t>
      </w:r>
      <w:r w:rsidR="00510244">
        <w:rPr>
          <w:rFonts w:hint="eastAsia"/>
          <w:rtl/>
        </w:rPr>
        <w:t>»</w:t>
      </w:r>
      <w:r w:rsidR="00F51EF7" w:rsidRPr="000A4159">
        <w:rPr>
          <w:rFonts w:cs="Taher"/>
          <w:vertAlign w:val="superscript"/>
          <w:rtl/>
        </w:rPr>
        <w:t>(</w:t>
      </w:r>
      <w:r w:rsidR="00F51EF7" w:rsidRPr="000A4159">
        <w:rPr>
          <w:rStyle w:val="FootnoteReference"/>
          <w:rFonts w:cs="Taher"/>
          <w:rtl/>
        </w:rPr>
        <w:footnoteReference w:id="362"/>
      </w:r>
      <w:r w:rsidR="00F51EF7" w:rsidRPr="000A4159">
        <w:rPr>
          <w:rFonts w:cs="Taher"/>
          <w:vertAlign w:val="superscript"/>
          <w:rtl/>
        </w:rPr>
        <w:t>)</w:t>
      </w:r>
      <w:r w:rsidR="00510244">
        <w:rPr>
          <w:rFonts w:hint="cs"/>
          <w:rtl/>
        </w:rPr>
        <w:t>.</w:t>
      </w:r>
      <w:r w:rsidR="003F4BD8">
        <w:rPr>
          <w:rFonts w:hint="cs"/>
          <w:rtl/>
        </w:rPr>
        <w:t xml:space="preserve"> فابن حجر يقرّ بأنّه مذهبُ بعض من السلف، لكنّه يرى أنّ الأمر استقرّ على تركه، واللافت أنّه يبيّن منطلق الترك بقواعد فقه المصلحة عبر مبرّرات تجربيّة عقلانيّة، وليس لأجل النصوص الحديثيّة، وهذا ما يستحقّ التوقّف عنده</w:t>
      </w:r>
      <w:r w:rsidR="00815130">
        <w:rPr>
          <w:rFonts w:hint="cs"/>
          <w:rtl/>
        </w:rPr>
        <w:t xml:space="preserve"> أيضاً</w:t>
      </w:r>
      <w:r w:rsidR="003F4BD8">
        <w:rPr>
          <w:rFonts w:hint="cs"/>
          <w:rtl/>
        </w:rPr>
        <w:t>!</w:t>
      </w:r>
    </w:p>
    <w:p w14:paraId="20989D2E" w14:textId="77777777" w:rsidR="003F4BD8" w:rsidRPr="003F4BD8" w:rsidRDefault="003F4BD8" w:rsidP="0096148C">
      <w:pPr>
        <w:pStyle w:val="Heading4"/>
        <w:rPr>
          <w:rtl/>
        </w:rPr>
      </w:pPr>
      <w:bookmarkStart w:id="211" w:name="_Toc143804185"/>
      <w:bookmarkStart w:id="212" w:name="_Toc238123310"/>
      <w:r w:rsidRPr="003F4BD8">
        <w:rPr>
          <w:rFonts w:hint="cs"/>
          <w:rtl/>
        </w:rPr>
        <w:t>1 ـ 3 ـ 4 ـ وقفة نقدي</w:t>
      </w:r>
      <w:r>
        <w:rPr>
          <w:rFonts w:hint="cs"/>
          <w:rtl/>
        </w:rPr>
        <w:t>ّ</w:t>
      </w:r>
      <w:r w:rsidRPr="003F4BD8">
        <w:rPr>
          <w:rFonts w:hint="cs"/>
          <w:rtl/>
        </w:rPr>
        <w:t>ة مع منطلقات فقه المص</w:t>
      </w:r>
      <w:r>
        <w:rPr>
          <w:rFonts w:hint="cs"/>
          <w:rtl/>
        </w:rPr>
        <w:t>ل</w:t>
      </w:r>
      <w:r w:rsidRPr="003F4BD8">
        <w:rPr>
          <w:rFonts w:hint="cs"/>
          <w:rtl/>
        </w:rPr>
        <w:t>حة في تحريم الخروج مطلقاً</w:t>
      </w:r>
      <w:bookmarkEnd w:id="211"/>
      <w:bookmarkEnd w:id="212"/>
    </w:p>
    <w:p w14:paraId="19D2B472" w14:textId="77777777" w:rsidR="000A4159" w:rsidRPr="00F24CDA" w:rsidRDefault="000A4159" w:rsidP="003F4BD8">
      <w:pPr>
        <w:spacing w:line="214" w:lineRule="auto"/>
        <w:rPr>
          <w:b/>
          <w:bCs/>
          <w:rtl/>
        </w:rPr>
      </w:pPr>
      <w:r w:rsidRPr="00F24CDA">
        <w:rPr>
          <w:rFonts w:hint="cs"/>
          <w:b/>
          <w:bCs/>
          <w:rtl/>
        </w:rPr>
        <w:t>المناقشة الرابعة</w:t>
      </w:r>
      <w:r w:rsidR="003F4BD8">
        <w:rPr>
          <w:rFonts w:hint="cs"/>
          <w:b/>
          <w:bCs/>
          <w:rtl/>
        </w:rPr>
        <w:t xml:space="preserve"> هنا هو </w:t>
      </w:r>
      <w:r w:rsidR="003F4BD8" w:rsidRPr="003F4BD8">
        <w:rPr>
          <w:rFonts w:hint="cs"/>
          <w:rtl/>
        </w:rPr>
        <w:t>أنّ</w:t>
      </w:r>
      <w:r w:rsidRPr="003F4BD8">
        <w:rPr>
          <w:rFonts w:hint="cs"/>
          <w:rtl/>
        </w:rPr>
        <w:t xml:space="preserve"> </w:t>
      </w:r>
      <w:r w:rsidRPr="00822CE9">
        <w:rPr>
          <w:rFonts w:hint="cs"/>
          <w:rtl/>
        </w:rPr>
        <w:t xml:space="preserve">الحديث عن حصول مفسدة في الخروج على الظالم أكثر من مفسدة بقائه، ولزوم ذلك للتقاتل بين المسلمين </w:t>
      </w:r>
      <w:r w:rsidR="00F24CDA">
        <w:rPr>
          <w:rFonts w:hint="cs"/>
          <w:rtl/>
        </w:rPr>
        <w:t>و</w:t>
      </w:r>
      <w:r w:rsidRPr="00822CE9">
        <w:rPr>
          <w:rFonts w:hint="cs"/>
          <w:rtl/>
        </w:rPr>
        <w:t>وقوع الفتنة بينهم</w:t>
      </w:r>
      <w:r w:rsidR="00F24CDA">
        <w:rPr>
          <w:rFonts w:hint="cs"/>
          <w:rtl/>
        </w:rPr>
        <w:t>،</w:t>
      </w:r>
      <w:r w:rsidRPr="00822CE9">
        <w:rPr>
          <w:rFonts w:hint="cs"/>
          <w:rtl/>
        </w:rPr>
        <w:t xml:space="preserve"> محلّ نظر</w:t>
      </w:r>
      <w:r w:rsidR="00F24CDA">
        <w:rPr>
          <w:rFonts w:hint="cs"/>
          <w:rtl/>
        </w:rPr>
        <w:t>؛</w:t>
      </w:r>
      <w:r w:rsidRPr="00822CE9">
        <w:rPr>
          <w:rFonts w:hint="cs"/>
          <w:rtl/>
        </w:rPr>
        <w:t xml:space="preserve"> وذلك أن</w:t>
      </w:r>
      <w:r w:rsidR="00F24CDA">
        <w:rPr>
          <w:rFonts w:hint="cs"/>
          <w:rtl/>
        </w:rPr>
        <w:t>ّ</w:t>
      </w:r>
      <w:r w:rsidRPr="00822CE9">
        <w:rPr>
          <w:rFonts w:hint="cs"/>
          <w:rtl/>
        </w:rPr>
        <w:t xml:space="preserve"> القائل بشرعي</w:t>
      </w:r>
      <w:r w:rsidR="00F24CDA">
        <w:rPr>
          <w:rFonts w:hint="cs"/>
          <w:rtl/>
        </w:rPr>
        <w:t>ّ</w:t>
      </w:r>
      <w:r w:rsidRPr="00822CE9">
        <w:rPr>
          <w:rFonts w:hint="cs"/>
          <w:rtl/>
        </w:rPr>
        <w:t>ة الخروج يمكنه أن يقيّد هذه الشرعي</w:t>
      </w:r>
      <w:r w:rsidR="00F24CDA">
        <w:rPr>
          <w:rFonts w:hint="cs"/>
          <w:rtl/>
        </w:rPr>
        <w:t>ّ</w:t>
      </w:r>
      <w:r w:rsidRPr="00822CE9">
        <w:rPr>
          <w:rFonts w:hint="cs"/>
          <w:rtl/>
        </w:rPr>
        <w:t>ة بقيدين سبق أن ذكرناهما في دليل الشرعي</w:t>
      </w:r>
      <w:r w:rsidR="00F24CDA">
        <w:rPr>
          <w:rFonts w:hint="cs"/>
          <w:rtl/>
        </w:rPr>
        <w:t>ّ</w:t>
      </w:r>
      <w:r w:rsidRPr="00822CE9">
        <w:rPr>
          <w:rFonts w:hint="cs"/>
          <w:rtl/>
        </w:rPr>
        <w:t>ة</w:t>
      </w:r>
      <w:r w:rsidR="00F24CDA">
        <w:rPr>
          <w:rFonts w:hint="cs"/>
          <w:rtl/>
        </w:rPr>
        <w:t>،</w:t>
      </w:r>
      <w:r w:rsidRPr="00822CE9">
        <w:rPr>
          <w:rFonts w:hint="cs"/>
          <w:rtl/>
        </w:rPr>
        <w:t xml:space="preserve"> </w:t>
      </w:r>
      <w:r w:rsidRPr="00F24CDA">
        <w:rPr>
          <w:rFonts w:hint="cs"/>
          <w:b/>
          <w:bCs/>
          <w:rtl/>
        </w:rPr>
        <w:t>وهما:</w:t>
      </w:r>
    </w:p>
    <w:p w14:paraId="43613EDF" w14:textId="77777777" w:rsidR="000A4159" w:rsidRPr="00822CE9" w:rsidRDefault="000A4159" w:rsidP="00A079D6">
      <w:pPr>
        <w:spacing w:line="214" w:lineRule="auto"/>
        <w:rPr>
          <w:rtl/>
        </w:rPr>
      </w:pPr>
      <w:r w:rsidRPr="00F24CDA">
        <w:rPr>
          <w:rFonts w:hint="cs"/>
          <w:b/>
          <w:bCs/>
          <w:rtl/>
        </w:rPr>
        <w:t>1 ـ</w:t>
      </w:r>
      <w:r w:rsidRPr="00822CE9">
        <w:rPr>
          <w:rFonts w:hint="cs"/>
          <w:rtl/>
        </w:rPr>
        <w:t xml:space="preserve"> أن يفقد الخارج على</w:t>
      </w:r>
      <w:r w:rsidR="00F24CDA">
        <w:rPr>
          <w:rFonts w:hint="cs"/>
          <w:rtl/>
        </w:rPr>
        <w:t xml:space="preserve"> الإ</w:t>
      </w:r>
      <w:r w:rsidRPr="00822CE9">
        <w:rPr>
          <w:rFonts w:hint="cs"/>
          <w:rtl/>
        </w:rPr>
        <w:t>مام تمام وسائل الإصلاح الأخرى والتغيير، بحيث ينسد</w:t>
      </w:r>
      <w:r w:rsidR="00F24CDA">
        <w:rPr>
          <w:rFonts w:hint="cs"/>
          <w:rtl/>
        </w:rPr>
        <w:t>ّ</w:t>
      </w:r>
      <w:r w:rsidRPr="00822CE9">
        <w:rPr>
          <w:rFonts w:hint="cs"/>
          <w:rtl/>
        </w:rPr>
        <w:t xml:space="preserve"> باب الإصلاح السلمي.</w:t>
      </w:r>
    </w:p>
    <w:p w14:paraId="04B5D977" w14:textId="77777777" w:rsidR="000A4159" w:rsidRPr="00822CE9" w:rsidRDefault="000A4159" w:rsidP="00A079D6">
      <w:pPr>
        <w:spacing w:line="214" w:lineRule="auto"/>
        <w:rPr>
          <w:rtl/>
        </w:rPr>
      </w:pPr>
      <w:r w:rsidRPr="00F24CDA">
        <w:rPr>
          <w:rFonts w:hint="cs"/>
          <w:b/>
          <w:bCs/>
          <w:rtl/>
        </w:rPr>
        <w:t>2 ـ</w:t>
      </w:r>
      <w:r w:rsidRPr="00822CE9">
        <w:rPr>
          <w:rFonts w:hint="cs"/>
          <w:rtl/>
        </w:rPr>
        <w:t xml:space="preserve"> أن لا يطرأ عنوان ثانوي يجعل الخروج حراماً، كما لو لزم من الخروج حلول الفوضى مع عدم إحراز النصر أو الظن</w:t>
      </w:r>
      <w:r w:rsidR="00F24CDA">
        <w:rPr>
          <w:rFonts w:hint="cs"/>
          <w:rtl/>
        </w:rPr>
        <w:t>ّ</w:t>
      </w:r>
      <w:r w:rsidRPr="00822CE9">
        <w:rPr>
          <w:rFonts w:hint="cs"/>
          <w:rtl/>
        </w:rPr>
        <w:t xml:space="preserve"> به ظن</w:t>
      </w:r>
      <w:r w:rsidR="00F24CDA">
        <w:rPr>
          <w:rFonts w:hint="cs"/>
          <w:rtl/>
        </w:rPr>
        <w:t>ّ</w:t>
      </w:r>
      <w:r w:rsidRPr="00822CE9">
        <w:rPr>
          <w:rFonts w:hint="cs"/>
          <w:rtl/>
        </w:rPr>
        <w:t>اً عقلائياً، فمفهوم الخروج ليس مفهوماً فوضوي</w:t>
      </w:r>
      <w:r w:rsidR="00900C5F">
        <w:rPr>
          <w:rFonts w:hint="cs"/>
          <w:rtl/>
        </w:rPr>
        <w:t>ّ</w:t>
      </w:r>
      <w:r w:rsidRPr="00822CE9">
        <w:rPr>
          <w:rFonts w:hint="cs"/>
          <w:rtl/>
        </w:rPr>
        <w:t>اً</w:t>
      </w:r>
      <w:r w:rsidR="00900C5F">
        <w:rPr>
          <w:rFonts w:hint="cs"/>
          <w:rtl/>
        </w:rPr>
        <w:t>،</w:t>
      </w:r>
      <w:r w:rsidRPr="00822CE9">
        <w:rPr>
          <w:rFonts w:hint="cs"/>
          <w:rtl/>
        </w:rPr>
        <w:t xml:space="preserve"> وإن</w:t>
      </w:r>
      <w:r w:rsidR="00900C5F">
        <w:rPr>
          <w:rFonts w:hint="cs"/>
          <w:rtl/>
        </w:rPr>
        <w:t>ّ</w:t>
      </w:r>
      <w:r w:rsidRPr="00822CE9">
        <w:rPr>
          <w:rFonts w:hint="cs"/>
          <w:rtl/>
        </w:rPr>
        <w:t>ما هو كسائر أنواع العمل الجهادي المنظ</w:t>
      </w:r>
      <w:r w:rsidR="00900C5F">
        <w:rPr>
          <w:rFonts w:hint="cs"/>
          <w:rtl/>
        </w:rPr>
        <w:t>ّ</w:t>
      </w:r>
      <w:r w:rsidRPr="00822CE9">
        <w:rPr>
          <w:rFonts w:hint="cs"/>
          <w:rtl/>
        </w:rPr>
        <w:t>م الخاضع للأطر العقلائي</w:t>
      </w:r>
      <w:r w:rsidR="00900C5F">
        <w:rPr>
          <w:rFonts w:hint="cs"/>
          <w:rtl/>
        </w:rPr>
        <w:t>ّ</w:t>
      </w:r>
      <w:r w:rsidRPr="00822CE9">
        <w:rPr>
          <w:rFonts w:hint="cs"/>
          <w:rtl/>
        </w:rPr>
        <w:t>ة والشرعي</w:t>
      </w:r>
      <w:r w:rsidR="00900C5F">
        <w:rPr>
          <w:rFonts w:hint="cs"/>
          <w:rtl/>
        </w:rPr>
        <w:t>ّ</w:t>
      </w:r>
      <w:r w:rsidRPr="00822CE9">
        <w:rPr>
          <w:rFonts w:hint="cs"/>
          <w:rtl/>
        </w:rPr>
        <w:t>ة.</w:t>
      </w:r>
    </w:p>
    <w:p w14:paraId="4F6465A6" w14:textId="77777777" w:rsidR="000A4159" w:rsidRDefault="000A4159" w:rsidP="00900C5F">
      <w:pPr>
        <w:spacing w:line="214" w:lineRule="auto"/>
        <w:rPr>
          <w:rtl/>
        </w:rPr>
      </w:pPr>
      <w:r w:rsidRPr="00822CE9">
        <w:rPr>
          <w:rFonts w:hint="cs"/>
          <w:rtl/>
        </w:rPr>
        <w:t>ومعه، فلا معنى لإطلاق أن</w:t>
      </w:r>
      <w:r w:rsidR="00900C5F">
        <w:rPr>
          <w:rFonts w:hint="cs"/>
          <w:rtl/>
        </w:rPr>
        <w:t>ّ</w:t>
      </w:r>
      <w:r w:rsidRPr="00822CE9">
        <w:rPr>
          <w:rFonts w:hint="cs"/>
          <w:rtl/>
        </w:rPr>
        <w:t xml:space="preserve"> مفسدة الخروج أكبر مطلقاً ودائماً من مفسدة بقاء الحاكم، كما أن</w:t>
      </w:r>
      <w:r w:rsidR="00900C5F">
        <w:rPr>
          <w:rFonts w:hint="cs"/>
          <w:rtl/>
        </w:rPr>
        <w:t xml:space="preserve">ّ أصل </w:t>
      </w:r>
      <w:r w:rsidRPr="00822CE9">
        <w:rPr>
          <w:rFonts w:hint="cs"/>
          <w:rtl/>
        </w:rPr>
        <w:t>حصول تقاتل بين المسلمين هو محلّ بحثنا</w:t>
      </w:r>
      <w:r w:rsidR="00900C5F">
        <w:rPr>
          <w:rFonts w:hint="cs"/>
          <w:rtl/>
        </w:rPr>
        <w:t>،</w:t>
      </w:r>
      <w:r w:rsidRPr="00822CE9">
        <w:rPr>
          <w:rFonts w:hint="cs"/>
          <w:rtl/>
        </w:rPr>
        <w:t xml:space="preserve"> فلا يصلح أن يكون دليلاً بعد فرض وجود أدلّة سابقة متقد</w:t>
      </w:r>
      <w:r w:rsidR="00900C5F">
        <w:rPr>
          <w:rFonts w:hint="cs"/>
          <w:rtl/>
        </w:rPr>
        <w:t>ّ</w:t>
      </w:r>
      <w:r w:rsidRPr="00822CE9">
        <w:rPr>
          <w:rFonts w:hint="cs"/>
          <w:rtl/>
        </w:rPr>
        <w:t>مة على دليل حرمة الفتنة وسفك دماء المسلمين</w:t>
      </w:r>
      <w:r w:rsidR="00900C5F">
        <w:rPr>
          <w:rFonts w:hint="cs"/>
          <w:rtl/>
        </w:rPr>
        <w:t>،</w:t>
      </w:r>
      <w:r w:rsidRPr="00822CE9">
        <w:rPr>
          <w:rFonts w:hint="cs"/>
          <w:rtl/>
        </w:rPr>
        <w:t xml:space="preserve"> وإلا فكيف صار قتال البغاة</w:t>
      </w:r>
      <w:r w:rsidR="00900C5F">
        <w:rPr>
          <w:rFonts w:hint="cs"/>
          <w:rtl/>
        </w:rPr>
        <w:t>؟!</w:t>
      </w:r>
    </w:p>
    <w:p w14:paraId="599C6CB7" w14:textId="77777777" w:rsidR="00DB2E5B" w:rsidRDefault="00DB2E5B" w:rsidP="00DB2E5B">
      <w:pPr>
        <w:spacing w:line="214" w:lineRule="auto"/>
        <w:rPr>
          <w:rtl/>
        </w:rPr>
      </w:pPr>
      <w:r w:rsidRPr="00815130">
        <w:rPr>
          <w:rFonts w:hint="cs"/>
          <w:b/>
          <w:bCs/>
          <w:rtl/>
        </w:rPr>
        <w:t>يضاف إلى ذلك أنّ القول بأنّ كلّ الانتفاضات التي حصلت في التاريخ الإسلامي كانت مُفْسِدةً أكثر من كونها مُصلحة، غير واضح؛</w:t>
      </w:r>
      <w:r>
        <w:rPr>
          <w:rFonts w:hint="cs"/>
          <w:rtl/>
        </w:rPr>
        <w:t xml:space="preserve"> فلعلّ وجود هذه الانتفاضات أو بعضها كان سبباً في الحدّ من إغراق الحكّام في الفساد وإبادة الدين يوماً بعد يوم، وبقاء الخوف والقلق من قبلهم تجاه جمهور المسلمين، بحيث منعهم ذلك من بعض ما هو أفسد، فكيف لنا التكهّن بالمشهد التاريخي على تقدير عدم وجود هذه الحركات الثوريّة عبر التاريخ؟! فلعله كان أسوأ وليس </w:t>
      </w:r>
      <w:r>
        <w:rPr>
          <w:rFonts w:hint="cs"/>
          <w:rtl/>
        </w:rPr>
        <w:lastRenderedPageBreak/>
        <w:t>أحسن حالاً.</w:t>
      </w:r>
    </w:p>
    <w:p w14:paraId="61039965" w14:textId="77777777" w:rsidR="00DB2E5B" w:rsidRPr="00DB2E5B" w:rsidRDefault="00DB2E5B" w:rsidP="0096148C">
      <w:pPr>
        <w:pStyle w:val="Heading4"/>
        <w:rPr>
          <w:rtl/>
        </w:rPr>
      </w:pPr>
      <w:bookmarkStart w:id="213" w:name="_Toc143804186"/>
      <w:bookmarkStart w:id="214" w:name="_Toc238123311"/>
      <w:r w:rsidRPr="00DB2E5B">
        <w:rPr>
          <w:rFonts w:hint="cs"/>
          <w:rtl/>
        </w:rPr>
        <w:t>1 ـ 3 ـ 5 ـ تطبيق م</w:t>
      </w:r>
      <w:r>
        <w:rPr>
          <w:rFonts w:hint="cs"/>
          <w:rtl/>
        </w:rPr>
        <w:t xml:space="preserve">قولة </w:t>
      </w:r>
      <w:r w:rsidRPr="00DB2E5B">
        <w:rPr>
          <w:rFonts w:hint="cs"/>
          <w:rtl/>
        </w:rPr>
        <w:t xml:space="preserve">نسخ التحريم بنصوص الجهاد، </w:t>
      </w:r>
      <w:r>
        <w:rPr>
          <w:rFonts w:hint="cs"/>
          <w:rtl/>
        </w:rPr>
        <w:t>نقدُ رأيِ ابن ح</w:t>
      </w:r>
      <w:r w:rsidRPr="00DB2E5B">
        <w:rPr>
          <w:rFonts w:hint="cs"/>
          <w:rtl/>
        </w:rPr>
        <w:t>زم</w:t>
      </w:r>
      <w:r>
        <w:rPr>
          <w:rFonts w:hint="cs"/>
          <w:rtl/>
        </w:rPr>
        <w:t xml:space="preserve"> الأ</w:t>
      </w:r>
      <w:r w:rsidRPr="00DB2E5B">
        <w:rPr>
          <w:rFonts w:hint="cs"/>
          <w:rtl/>
        </w:rPr>
        <w:t>ندلسي</w:t>
      </w:r>
      <w:bookmarkEnd w:id="213"/>
      <w:bookmarkEnd w:id="214"/>
    </w:p>
    <w:p w14:paraId="6220ADA0" w14:textId="77777777" w:rsidR="000A4159" w:rsidRPr="00822CE9" w:rsidRDefault="00900C5F" w:rsidP="000E47B2">
      <w:pPr>
        <w:pStyle w:val="normal84"/>
        <w:rPr>
          <w:rtl/>
        </w:rPr>
      </w:pPr>
      <w:r>
        <w:rPr>
          <w:rFonts w:hint="cs"/>
          <w:rtl/>
        </w:rPr>
        <w:t>ذكر ابن حزم الأ</w:t>
      </w:r>
      <w:r w:rsidR="000A4159" w:rsidRPr="00822CE9">
        <w:rPr>
          <w:rFonts w:hint="cs"/>
          <w:rtl/>
        </w:rPr>
        <w:t>ندلسي</w:t>
      </w:r>
      <w:r w:rsidR="00DB2E5B">
        <w:rPr>
          <w:rFonts w:hint="cs"/>
          <w:rtl/>
        </w:rPr>
        <w:t xml:space="preserve"> هنا مداخلة نقديّة </w:t>
      </w:r>
      <w:r w:rsidR="000A4159" w:rsidRPr="00822CE9">
        <w:rPr>
          <w:rFonts w:hint="cs"/>
          <w:rtl/>
        </w:rPr>
        <w:t>خلاص</w:t>
      </w:r>
      <w:r>
        <w:rPr>
          <w:rFonts w:hint="cs"/>
          <w:rtl/>
        </w:rPr>
        <w:t>ته</w:t>
      </w:r>
      <w:r w:rsidR="00DB2E5B">
        <w:rPr>
          <w:rFonts w:hint="cs"/>
          <w:rtl/>
        </w:rPr>
        <w:t>ا</w:t>
      </w:r>
      <w:r w:rsidR="000A4159" w:rsidRPr="00822CE9">
        <w:rPr>
          <w:rFonts w:hint="cs"/>
          <w:rtl/>
        </w:rPr>
        <w:t xml:space="preserve"> أن</w:t>
      </w:r>
      <w:r>
        <w:rPr>
          <w:rFonts w:hint="cs"/>
          <w:rtl/>
        </w:rPr>
        <w:t>ّ</w:t>
      </w:r>
      <w:r w:rsidR="000A4159" w:rsidRPr="00822CE9">
        <w:rPr>
          <w:rFonts w:hint="cs"/>
          <w:rtl/>
        </w:rPr>
        <w:t xml:space="preserve"> هذه الروايات كلّها الدالّة على لزوم إطاعة الحاكم وعدم جواز مقاتلته</w:t>
      </w:r>
      <w:r>
        <w:rPr>
          <w:rFonts w:hint="cs"/>
          <w:rtl/>
        </w:rPr>
        <w:t>،</w:t>
      </w:r>
      <w:r w:rsidR="000A4159" w:rsidRPr="00822CE9">
        <w:rPr>
          <w:rFonts w:hint="cs"/>
          <w:rtl/>
        </w:rPr>
        <w:t xml:space="preserve"> إن</w:t>
      </w:r>
      <w:r>
        <w:rPr>
          <w:rFonts w:hint="cs"/>
          <w:rtl/>
        </w:rPr>
        <w:t>ّ</w:t>
      </w:r>
      <w:r w:rsidR="000A4159" w:rsidRPr="00822CE9">
        <w:rPr>
          <w:rFonts w:hint="cs"/>
          <w:rtl/>
        </w:rPr>
        <w:t xml:space="preserve">ما تنسجم مع حال الدين الإسلامي قبل تشريع الجهاد بعد الهجرة، فهي مثل ما دلّ على عدم القتال </w:t>
      </w:r>
      <w:r>
        <w:rPr>
          <w:rFonts w:hint="cs"/>
          <w:rtl/>
        </w:rPr>
        <w:t>أ</w:t>
      </w:r>
      <w:r w:rsidR="000A4159" w:rsidRPr="00822CE9">
        <w:rPr>
          <w:rFonts w:hint="cs"/>
          <w:rtl/>
        </w:rPr>
        <w:t>ثناء ما كان المسلمون في مكّة؛ إذ لها الروح نفسها والجوّ نفسه، ومعنى ذلك أن</w:t>
      </w:r>
      <w:r>
        <w:rPr>
          <w:rFonts w:hint="cs"/>
          <w:rtl/>
        </w:rPr>
        <w:t>ّ</w:t>
      </w:r>
      <w:r w:rsidR="000A4159" w:rsidRPr="00822CE9">
        <w:rPr>
          <w:rFonts w:hint="cs"/>
          <w:rtl/>
        </w:rPr>
        <w:t xml:space="preserve">ها تكون قد </w:t>
      </w:r>
      <w:r>
        <w:rPr>
          <w:rFonts w:hint="cs"/>
          <w:rtl/>
        </w:rPr>
        <w:t>ُ</w:t>
      </w:r>
      <w:r w:rsidR="000A4159" w:rsidRPr="00822CE9">
        <w:rPr>
          <w:rFonts w:hint="cs"/>
          <w:rtl/>
        </w:rPr>
        <w:t>نسخت بآيات الجهاد وتشريع القتال، فلم ينسخ الجهاد ولا الأمر بالمعروف والنهي عن المنكر، فتكون هذه النصوص منسوخة</w:t>
      </w:r>
      <w:r>
        <w:rPr>
          <w:rFonts w:hint="cs"/>
          <w:rtl/>
        </w:rPr>
        <w:t>ً</w:t>
      </w:r>
      <w:r w:rsidR="000A4159" w:rsidRPr="00822CE9">
        <w:rPr>
          <w:rFonts w:hint="cs"/>
          <w:rtl/>
        </w:rPr>
        <w:t xml:space="preserve"> لا ي</w:t>
      </w:r>
      <w:r>
        <w:rPr>
          <w:rFonts w:hint="cs"/>
          <w:rtl/>
        </w:rPr>
        <w:t>ُ</w:t>
      </w:r>
      <w:r w:rsidR="000A4159" w:rsidRPr="00822CE9">
        <w:rPr>
          <w:rFonts w:hint="cs"/>
          <w:rtl/>
        </w:rPr>
        <w:t>عمل بها ولا يحتج</w:t>
      </w:r>
      <w:r>
        <w:rPr>
          <w:rFonts w:hint="cs"/>
          <w:rtl/>
        </w:rPr>
        <w:t>ّ</w:t>
      </w:r>
      <w:r w:rsidR="003E498E" w:rsidRPr="000A4159">
        <w:rPr>
          <w:rFonts w:cs="Taher"/>
          <w:vertAlign w:val="superscript"/>
          <w:rtl/>
        </w:rPr>
        <w:t>(</w:t>
      </w:r>
      <w:r w:rsidR="003E498E" w:rsidRPr="000A4159">
        <w:rPr>
          <w:rStyle w:val="FootnoteReference"/>
          <w:rFonts w:cs="Taher"/>
          <w:rtl/>
        </w:rPr>
        <w:footnoteReference w:id="363"/>
      </w:r>
      <w:r w:rsidR="003E498E" w:rsidRPr="000A4159">
        <w:rPr>
          <w:rFonts w:cs="Taher"/>
          <w:vertAlign w:val="superscript"/>
          <w:rtl/>
        </w:rPr>
        <w:t>)</w:t>
      </w:r>
      <w:r w:rsidR="000A4159" w:rsidRPr="00822CE9">
        <w:rPr>
          <w:rFonts w:hint="cs"/>
          <w:rtl/>
        </w:rPr>
        <w:t>.</w:t>
      </w:r>
      <w:r w:rsidR="0090724C">
        <w:rPr>
          <w:rFonts w:hint="cs"/>
          <w:rtl/>
        </w:rPr>
        <w:t xml:space="preserve"> فكأنّه يعتبرها ضمن منظومة الفقه المكّي الذي نسخت بعض أحكامه في المدينة على مستوى قضايا الجهاد.</w:t>
      </w:r>
    </w:p>
    <w:p w14:paraId="1AB1CF95" w14:textId="77777777" w:rsidR="000A4159" w:rsidRPr="00822CE9" w:rsidRDefault="000A4159" w:rsidP="00BA59D7">
      <w:pPr>
        <w:spacing w:line="214" w:lineRule="auto"/>
        <w:rPr>
          <w:rtl/>
        </w:rPr>
      </w:pPr>
      <w:r w:rsidRPr="00900C5F">
        <w:rPr>
          <w:rFonts w:hint="cs"/>
          <w:b/>
          <w:bCs/>
          <w:rtl/>
        </w:rPr>
        <w:t>و</w:t>
      </w:r>
      <w:r w:rsidR="00900C5F">
        <w:rPr>
          <w:rFonts w:hint="cs"/>
          <w:b/>
          <w:bCs/>
          <w:rtl/>
        </w:rPr>
        <w:t xml:space="preserve">لكنّ </w:t>
      </w:r>
      <w:r w:rsidRPr="00900C5F">
        <w:rPr>
          <w:rFonts w:hint="cs"/>
          <w:b/>
          <w:bCs/>
          <w:rtl/>
        </w:rPr>
        <w:t>دعوى النسخ هنا غير دقيقة؛</w:t>
      </w:r>
      <w:r w:rsidRPr="00822CE9">
        <w:rPr>
          <w:rFonts w:hint="cs"/>
          <w:rtl/>
        </w:rPr>
        <w:t xml:space="preserve"> إذ تتحدّث الرواي</w:t>
      </w:r>
      <w:r w:rsidR="00BA59D7">
        <w:rPr>
          <w:rFonts w:hint="cs"/>
          <w:rtl/>
        </w:rPr>
        <w:t>ات</w:t>
      </w:r>
      <w:r w:rsidRPr="00822CE9">
        <w:rPr>
          <w:rFonts w:hint="cs"/>
          <w:rtl/>
        </w:rPr>
        <w:t xml:space="preserve"> عما سوف يحصل بعد الرسول من ف</w:t>
      </w:r>
      <w:r w:rsidR="00900C5F">
        <w:rPr>
          <w:rFonts w:hint="cs"/>
          <w:rtl/>
        </w:rPr>
        <w:t>ِ</w:t>
      </w:r>
      <w:r w:rsidRPr="00822CE9">
        <w:rPr>
          <w:rFonts w:hint="cs"/>
          <w:rtl/>
        </w:rPr>
        <w:t>ت</w:t>
      </w:r>
      <w:r w:rsidR="00900C5F">
        <w:rPr>
          <w:rFonts w:hint="cs"/>
          <w:rtl/>
        </w:rPr>
        <w:t>َ</w:t>
      </w:r>
      <w:r w:rsidRPr="00822CE9">
        <w:rPr>
          <w:rFonts w:hint="cs"/>
          <w:rtl/>
        </w:rPr>
        <w:t>ن، وأن</w:t>
      </w:r>
      <w:r w:rsidR="00900C5F">
        <w:rPr>
          <w:rFonts w:hint="cs"/>
          <w:rtl/>
        </w:rPr>
        <w:t>ّ</w:t>
      </w:r>
      <w:r w:rsidRPr="00822CE9">
        <w:rPr>
          <w:rFonts w:hint="cs"/>
          <w:rtl/>
        </w:rPr>
        <w:t xml:space="preserve"> المطلوب فيها كذا وكذا، فهي إشارة إلى ما بعد وفاة النبي</w:t>
      </w:r>
      <w:r w:rsidR="00900C5F">
        <w:rPr>
          <w:rFonts w:hint="cs"/>
          <w:rtl/>
        </w:rPr>
        <w:t>ّ،</w:t>
      </w:r>
      <w:r w:rsidRPr="00822CE9">
        <w:rPr>
          <w:rFonts w:hint="cs"/>
          <w:rtl/>
        </w:rPr>
        <w:t xml:space="preserve"> فكيف تكون منسوخة</w:t>
      </w:r>
      <w:r w:rsidR="00900C5F">
        <w:rPr>
          <w:rFonts w:hint="cs"/>
          <w:rtl/>
        </w:rPr>
        <w:t>ً</w:t>
      </w:r>
      <w:r w:rsidRPr="00822CE9">
        <w:rPr>
          <w:rFonts w:hint="cs"/>
          <w:rtl/>
        </w:rPr>
        <w:t xml:space="preserve"> بنصوص تشريع الجهاد في الكتاب والسنّة؟!</w:t>
      </w:r>
      <w:r w:rsidR="00900C5F">
        <w:rPr>
          <w:rFonts w:hint="cs"/>
          <w:rtl/>
        </w:rPr>
        <w:t xml:space="preserve"> فهذا من النسخ قبل وقت العمل بالمنسوخ وفيه كلام. </w:t>
      </w:r>
      <w:r w:rsidRPr="00822CE9">
        <w:rPr>
          <w:rFonts w:hint="cs"/>
          <w:rtl/>
        </w:rPr>
        <w:t>ومن أبرز مصاديق ما نقول خبر حذيفة (رقم</w:t>
      </w:r>
      <w:r w:rsidR="00900C5F">
        <w:rPr>
          <w:rFonts w:hint="cs"/>
          <w:rtl/>
        </w:rPr>
        <w:t xml:space="preserve">: </w:t>
      </w:r>
      <w:r w:rsidRPr="00822CE9">
        <w:rPr>
          <w:rFonts w:hint="cs"/>
          <w:rtl/>
        </w:rPr>
        <w:t>1)، وكذلك خبر أم سلمة (رقم</w:t>
      </w:r>
      <w:r w:rsidR="00900C5F">
        <w:rPr>
          <w:rFonts w:hint="cs"/>
          <w:rtl/>
        </w:rPr>
        <w:t>:</w:t>
      </w:r>
      <w:r w:rsidRPr="00822CE9">
        <w:rPr>
          <w:rFonts w:hint="cs"/>
          <w:rtl/>
        </w:rPr>
        <w:t xml:space="preserve"> 6).</w:t>
      </w:r>
    </w:p>
    <w:p w14:paraId="327555A8" w14:textId="77777777" w:rsidR="000A4159" w:rsidRPr="00822CE9" w:rsidRDefault="000A4159" w:rsidP="00900C5F">
      <w:pPr>
        <w:spacing w:line="214" w:lineRule="auto"/>
        <w:rPr>
          <w:rtl/>
        </w:rPr>
      </w:pPr>
      <w:r w:rsidRPr="00822CE9">
        <w:rPr>
          <w:rFonts w:hint="cs"/>
          <w:rtl/>
        </w:rPr>
        <w:t>كما أنّ لحن بعض الروايات</w:t>
      </w:r>
      <w:r w:rsidR="00900C5F">
        <w:rPr>
          <w:rFonts w:hint="cs"/>
          <w:rtl/>
        </w:rPr>
        <w:t xml:space="preserve"> فيه إشارة إلى أئ</w:t>
      </w:r>
      <w:r w:rsidRPr="00822CE9">
        <w:rPr>
          <w:rFonts w:hint="cs"/>
          <w:rtl/>
        </w:rPr>
        <w:t>م</w:t>
      </w:r>
      <w:r w:rsidR="00900C5F">
        <w:rPr>
          <w:rFonts w:hint="cs"/>
          <w:rtl/>
        </w:rPr>
        <w:t>ّ</w:t>
      </w:r>
      <w:r w:rsidRPr="00822CE9">
        <w:rPr>
          <w:rFonts w:hint="cs"/>
          <w:rtl/>
        </w:rPr>
        <w:t>ة المسلمين، وهو في حدّ نفسه متصوّر بعد وفاة الرسول، يشهد لذلك ـ عل</w:t>
      </w:r>
      <w:r w:rsidR="00900C5F">
        <w:rPr>
          <w:rFonts w:hint="cs"/>
          <w:rtl/>
        </w:rPr>
        <w:t>ى</w:t>
      </w:r>
      <w:r w:rsidRPr="00822CE9">
        <w:rPr>
          <w:rFonts w:hint="cs"/>
          <w:rtl/>
        </w:rPr>
        <w:t xml:space="preserve"> </w:t>
      </w:r>
      <w:r w:rsidR="00900C5F">
        <w:rPr>
          <w:rFonts w:hint="cs"/>
          <w:rtl/>
        </w:rPr>
        <w:t>ن</w:t>
      </w:r>
      <w:r w:rsidRPr="00822CE9">
        <w:rPr>
          <w:rFonts w:hint="cs"/>
          <w:rtl/>
        </w:rPr>
        <w:t>حو التأييد ـ أن</w:t>
      </w:r>
      <w:r w:rsidR="00900C5F">
        <w:rPr>
          <w:rFonts w:hint="cs"/>
          <w:rtl/>
        </w:rPr>
        <w:t>ّ</w:t>
      </w:r>
      <w:r w:rsidRPr="00822CE9">
        <w:rPr>
          <w:rFonts w:hint="cs"/>
          <w:rtl/>
        </w:rPr>
        <w:t xml:space="preserve"> الصحابة</w:t>
      </w:r>
      <w:r w:rsidR="00900C5F">
        <w:rPr>
          <w:rFonts w:hint="cs"/>
          <w:rtl/>
        </w:rPr>
        <w:t xml:space="preserve">، </w:t>
      </w:r>
      <w:r w:rsidRPr="00822CE9">
        <w:rPr>
          <w:rFonts w:hint="cs"/>
          <w:rtl/>
        </w:rPr>
        <w:t>مثل عبد الله بن عمرو بن العاص</w:t>
      </w:r>
      <w:r w:rsidR="00900C5F">
        <w:rPr>
          <w:rFonts w:hint="cs"/>
          <w:rtl/>
        </w:rPr>
        <w:t>،</w:t>
      </w:r>
      <w:r w:rsidRPr="00822CE9">
        <w:rPr>
          <w:rFonts w:hint="cs"/>
          <w:rtl/>
        </w:rPr>
        <w:t xml:space="preserve"> قد طب</w:t>
      </w:r>
      <w:r w:rsidR="00900C5F">
        <w:rPr>
          <w:rFonts w:hint="cs"/>
          <w:rtl/>
        </w:rPr>
        <w:t>ّ</w:t>
      </w:r>
      <w:r w:rsidRPr="00822CE9">
        <w:rPr>
          <w:rFonts w:hint="cs"/>
          <w:rtl/>
        </w:rPr>
        <w:t>قوا هذه النصوص بعد وفاة النبي</w:t>
      </w:r>
      <w:r w:rsidR="00900C5F">
        <w:rPr>
          <w:rFonts w:hint="cs"/>
          <w:rtl/>
        </w:rPr>
        <w:t>ّ</w:t>
      </w:r>
      <w:r w:rsidRPr="00822CE9">
        <w:rPr>
          <w:rFonts w:hint="cs"/>
          <w:rtl/>
        </w:rPr>
        <w:t xml:space="preserve"> بسنوات</w:t>
      </w:r>
      <w:r w:rsidR="00900C5F">
        <w:rPr>
          <w:rFonts w:hint="cs"/>
          <w:rtl/>
        </w:rPr>
        <w:t>،</w:t>
      </w:r>
      <w:r w:rsidRPr="00822CE9">
        <w:rPr>
          <w:rFonts w:hint="cs"/>
          <w:rtl/>
        </w:rPr>
        <w:t xml:space="preserve"> مثل تطبيقها أيام الثورة على عثمان، وفي معارك صف</w:t>
      </w:r>
      <w:r w:rsidR="00900C5F">
        <w:rPr>
          <w:rFonts w:hint="cs"/>
          <w:rtl/>
        </w:rPr>
        <w:t>ّ</w:t>
      </w:r>
      <w:r w:rsidRPr="00822CE9">
        <w:rPr>
          <w:rFonts w:hint="cs"/>
          <w:rtl/>
        </w:rPr>
        <w:t>ين، و.. فكيف يتصوّر النسخ حينئذ؟!</w:t>
      </w:r>
    </w:p>
    <w:p w14:paraId="5A63CF4B" w14:textId="77777777" w:rsidR="000A4159" w:rsidRPr="00822CE9" w:rsidRDefault="00900C5F" w:rsidP="00A551D0">
      <w:pPr>
        <w:spacing w:line="214" w:lineRule="auto"/>
        <w:rPr>
          <w:rtl/>
        </w:rPr>
      </w:pPr>
      <w:r w:rsidRPr="00815130">
        <w:rPr>
          <w:rFonts w:hint="cs"/>
          <w:b/>
          <w:bCs/>
          <w:rtl/>
        </w:rPr>
        <w:t>يضاف إلى ذلك، أ</w:t>
      </w:r>
      <w:r w:rsidR="000A4159" w:rsidRPr="00815130">
        <w:rPr>
          <w:rFonts w:hint="cs"/>
          <w:b/>
          <w:bCs/>
          <w:rtl/>
        </w:rPr>
        <w:t>ن</w:t>
      </w:r>
      <w:r w:rsidRPr="00815130">
        <w:rPr>
          <w:rFonts w:hint="cs"/>
          <w:b/>
          <w:bCs/>
          <w:rtl/>
        </w:rPr>
        <w:t>ّ</w:t>
      </w:r>
      <w:r w:rsidR="000A4159" w:rsidRPr="00815130">
        <w:rPr>
          <w:rFonts w:hint="cs"/>
          <w:b/>
          <w:bCs/>
          <w:rtl/>
        </w:rPr>
        <w:t xml:space="preserve"> موضوع الطاعة لحاكم المسلمين والأمراء لم يكن موضوعاً ابتلائي</w:t>
      </w:r>
      <w:r w:rsidRPr="00815130">
        <w:rPr>
          <w:rFonts w:hint="cs"/>
          <w:b/>
          <w:bCs/>
          <w:rtl/>
        </w:rPr>
        <w:t>ّ</w:t>
      </w:r>
      <w:r w:rsidR="000A4159" w:rsidRPr="00815130">
        <w:rPr>
          <w:rFonts w:hint="cs"/>
          <w:b/>
          <w:bCs/>
          <w:rtl/>
        </w:rPr>
        <w:t>اً ولا حاضراً في حياة المسلمين العملي</w:t>
      </w:r>
      <w:r w:rsidRPr="00815130">
        <w:rPr>
          <w:rFonts w:hint="cs"/>
          <w:b/>
          <w:bCs/>
          <w:rtl/>
        </w:rPr>
        <w:t>ّ</w:t>
      </w:r>
      <w:r w:rsidR="000A4159" w:rsidRPr="00815130">
        <w:rPr>
          <w:rFonts w:hint="cs"/>
          <w:b/>
          <w:bCs/>
          <w:rtl/>
        </w:rPr>
        <w:t>ة قبل تشريع الجهاد، فلم تكن للمسلمين حكومة ولا دولة، ولا كان هناك حديث</w:t>
      </w:r>
      <w:r w:rsidRPr="00815130">
        <w:rPr>
          <w:rFonts w:hint="cs"/>
          <w:b/>
          <w:bCs/>
          <w:rtl/>
        </w:rPr>
        <w:t>ٌ</w:t>
      </w:r>
      <w:r w:rsidR="000A4159" w:rsidRPr="00815130">
        <w:rPr>
          <w:rFonts w:hint="cs"/>
          <w:b/>
          <w:bCs/>
          <w:rtl/>
        </w:rPr>
        <w:t xml:space="preserve"> عن الطاعة، لهذا يستبعد صدور هذه الروايات بهذا العدد في الحقبة المكي</w:t>
      </w:r>
      <w:r w:rsidRPr="00815130">
        <w:rPr>
          <w:rFonts w:hint="cs"/>
          <w:b/>
          <w:bCs/>
          <w:rtl/>
        </w:rPr>
        <w:t>ّ</w:t>
      </w:r>
      <w:r w:rsidR="000A4159" w:rsidRPr="00815130">
        <w:rPr>
          <w:rFonts w:hint="cs"/>
          <w:b/>
          <w:bCs/>
          <w:rtl/>
        </w:rPr>
        <w:t>ة كلّها،</w:t>
      </w:r>
      <w:r w:rsidR="000A4159" w:rsidRPr="00822CE9">
        <w:rPr>
          <w:rFonts w:hint="cs"/>
          <w:rtl/>
        </w:rPr>
        <w:t xml:space="preserve"> نعم بعضها لا ضير</w:t>
      </w:r>
      <w:r>
        <w:rPr>
          <w:rFonts w:hint="cs"/>
          <w:rtl/>
        </w:rPr>
        <w:t xml:space="preserve"> </w:t>
      </w:r>
      <w:r w:rsidR="000A4159" w:rsidRPr="00822CE9">
        <w:rPr>
          <w:rFonts w:hint="cs"/>
          <w:rtl/>
        </w:rPr>
        <w:t>في صدوره، ويكفي صدور بعضها بعد تشريع القتال حتى تبطل نظري</w:t>
      </w:r>
      <w:r>
        <w:rPr>
          <w:rFonts w:hint="cs"/>
          <w:rtl/>
        </w:rPr>
        <w:t>ّ</w:t>
      </w:r>
      <w:r w:rsidR="009F7029">
        <w:rPr>
          <w:rFonts w:hint="cs"/>
          <w:rtl/>
        </w:rPr>
        <w:t>ة النسخ هنا. بل من أسماء بعض الصحابة الرواة هنا</w:t>
      </w:r>
      <w:r w:rsidR="00A551D0">
        <w:rPr>
          <w:rFonts w:hint="cs"/>
          <w:rtl/>
        </w:rPr>
        <w:t xml:space="preserve">، مثل أبي هريرة الذي أسلم في النصف الثاني </w:t>
      </w:r>
      <w:r w:rsidR="00A551D0">
        <w:rPr>
          <w:rFonts w:hint="cs"/>
          <w:rtl/>
        </w:rPr>
        <w:lastRenderedPageBreak/>
        <w:t>من العقد الأوّل الهجري،</w:t>
      </w:r>
      <w:r w:rsidR="009F7029">
        <w:rPr>
          <w:rFonts w:hint="cs"/>
          <w:rtl/>
        </w:rPr>
        <w:t xml:space="preserve"> يُفهم أنّها مدنيّة، فراجع.</w:t>
      </w:r>
    </w:p>
    <w:p w14:paraId="4214521A" w14:textId="77777777" w:rsidR="000A4159" w:rsidRDefault="000A4159" w:rsidP="00A079D6">
      <w:pPr>
        <w:spacing w:line="214" w:lineRule="auto"/>
        <w:rPr>
          <w:rtl/>
        </w:rPr>
      </w:pPr>
      <w:r w:rsidRPr="00822CE9">
        <w:rPr>
          <w:rFonts w:hint="cs"/>
          <w:rtl/>
        </w:rPr>
        <w:t>ي</w:t>
      </w:r>
      <w:r w:rsidR="00900C5F">
        <w:rPr>
          <w:rFonts w:hint="cs"/>
          <w:rtl/>
        </w:rPr>
        <w:t>ُ</w:t>
      </w:r>
      <w:r w:rsidRPr="00822CE9">
        <w:rPr>
          <w:rFonts w:hint="cs"/>
          <w:rtl/>
        </w:rPr>
        <w:t>ضاف إليه، أن</w:t>
      </w:r>
      <w:r w:rsidR="00900C5F">
        <w:rPr>
          <w:rFonts w:hint="cs"/>
          <w:rtl/>
        </w:rPr>
        <w:t>ّ</w:t>
      </w:r>
      <w:r w:rsidRPr="00822CE9">
        <w:rPr>
          <w:rFonts w:hint="cs"/>
          <w:rtl/>
        </w:rPr>
        <w:t xml:space="preserve"> تشريع القتال ونصوص الجهاد العام</w:t>
      </w:r>
      <w:r w:rsidR="00900C5F">
        <w:rPr>
          <w:rFonts w:hint="cs"/>
          <w:rtl/>
        </w:rPr>
        <w:t>ّ</w:t>
      </w:r>
      <w:r w:rsidRPr="00822CE9">
        <w:rPr>
          <w:rFonts w:hint="cs"/>
          <w:rtl/>
        </w:rPr>
        <w:t>ة سبق أن قلنا: إن</w:t>
      </w:r>
      <w:r w:rsidR="00900C5F">
        <w:rPr>
          <w:rFonts w:hint="cs"/>
          <w:rtl/>
        </w:rPr>
        <w:t>ّ</w:t>
      </w:r>
      <w:r w:rsidRPr="00822CE9">
        <w:rPr>
          <w:rFonts w:hint="cs"/>
          <w:rtl/>
        </w:rPr>
        <w:t>ها ظاهرة في مواجهة الكافرين ومنصرفة عن التقاتل بين المسلمين، وعليه فكيف تكون ناسخة</w:t>
      </w:r>
      <w:r w:rsidR="00900C5F">
        <w:rPr>
          <w:rFonts w:hint="cs"/>
          <w:rtl/>
        </w:rPr>
        <w:t>ً</w:t>
      </w:r>
      <w:r w:rsidRPr="00822CE9">
        <w:rPr>
          <w:rFonts w:hint="cs"/>
          <w:rtl/>
        </w:rPr>
        <w:t xml:space="preserve"> لهذه الروايات هنا </w:t>
      </w:r>
      <w:r w:rsidR="00900C5F">
        <w:rPr>
          <w:rFonts w:hint="cs"/>
          <w:rtl/>
        </w:rPr>
        <w:t>و</w:t>
      </w:r>
      <w:r w:rsidRPr="00822CE9">
        <w:rPr>
          <w:rFonts w:hint="cs"/>
          <w:rtl/>
        </w:rPr>
        <w:t>التي تتحدّث عن العلاقات الداخلي</w:t>
      </w:r>
      <w:r w:rsidR="00900C5F">
        <w:rPr>
          <w:rFonts w:hint="cs"/>
          <w:rtl/>
        </w:rPr>
        <w:t>ّ</w:t>
      </w:r>
      <w:r w:rsidRPr="00822CE9">
        <w:rPr>
          <w:rFonts w:hint="cs"/>
          <w:rtl/>
        </w:rPr>
        <w:t>ة بين المسلمين أنفسهم؟! والإنصاف أن</w:t>
      </w:r>
      <w:r w:rsidR="00900C5F">
        <w:rPr>
          <w:rFonts w:hint="cs"/>
          <w:rtl/>
        </w:rPr>
        <w:t>ّ</w:t>
      </w:r>
      <w:r w:rsidRPr="00822CE9">
        <w:rPr>
          <w:rFonts w:hint="cs"/>
          <w:rtl/>
        </w:rPr>
        <w:t xml:space="preserve"> نظري</w:t>
      </w:r>
      <w:r w:rsidR="00900C5F">
        <w:rPr>
          <w:rFonts w:hint="cs"/>
          <w:rtl/>
        </w:rPr>
        <w:t>ّ</w:t>
      </w:r>
      <w:r w:rsidRPr="00822CE9">
        <w:rPr>
          <w:rFonts w:hint="cs"/>
          <w:rtl/>
        </w:rPr>
        <w:t>ة ابن حزم بعيدة جداً، فهذه النصوص غير منسوخة ظاهراً.</w:t>
      </w:r>
    </w:p>
    <w:p w14:paraId="209E91D4" w14:textId="77777777" w:rsidR="00A551D0" w:rsidRPr="00A551D0" w:rsidRDefault="00A551D0" w:rsidP="0096148C">
      <w:pPr>
        <w:pStyle w:val="Heading4"/>
        <w:rPr>
          <w:rtl/>
        </w:rPr>
      </w:pPr>
      <w:bookmarkStart w:id="215" w:name="_Toc143804187"/>
      <w:bookmarkStart w:id="216" w:name="_Toc238123312"/>
      <w:r w:rsidRPr="00A551D0">
        <w:rPr>
          <w:rFonts w:hint="cs"/>
          <w:rtl/>
        </w:rPr>
        <w:t>1 ـ 3 ـ 6 ـ توليفة ملاحظات ت</w:t>
      </w:r>
      <w:r>
        <w:rPr>
          <w:rFonts w:hint="cs"/>
          <w:rtl/>
        </w:rPr>
        <w:t>ُ</w:t>
      </w:r>
      <w:r w:rsidRPr="00A551D0">
        <w:rPr>
          <w:rFonts w:hint="cs"/>
          <w:rtl/>
        </w:rPr>
        <w:t>ضعف الوثوق بنصوص التحريم المطلق</w:t>
      </w:r>
      <w:bookmarkEnd w:id="215"/>
      <w:bookmarkEnd w:id="216"/>
    </w:p>
    <w:p w14:paraId="7E4D3872" w14:textId="77777777" w:rsidR="000A4159" w:rsidRPr="00900C5F" w:rsidRDefault="000A4159" w:rsidP="00900C5F">
      <w:pPr>
        <w:spacing w:line="214" w:lineRule="auto"/>
        <w:rPr>
          <w:b/>
          <w:bCs/>
          <w:rtl/>
        </w:rPr>
      </w:pPr>
      <w:r w:rsidRPr="00822CE9">
        <w:rPr>
          <w:rFonts w:hint="cs"/>
          <w:rtl/>
        </w:rPr>
        <w:t>إن</w:t>
      </w:r>
      <w:r w:rsidR="00900C5F">
        <w:rPr>
          <w:rFonts w:hint="cs"/>
          <w:rtl/>
        </w:rPr>
        <w:t>ّ</w:t>
      </w:r>
      <w:r w:rsidRPr="00822CE9">
        <w:rPr>
          <w:rFonts w:hint="cs"/>
          <w:rtl/>
        </w:rPr>
        <w:t xml:space="preserve"> لدينا تشكيكاً في صدور هذا اللحن من النصوص عن رسول الله، ولا أ</w:t>
      </w:r>
      <w:r w:rsidR="00900C5F">
        <w:rPr>
          <w:rFonts w:hint="cs"/>
          <w:rtl/>
        </w:rPr>
        <w:t>ق</w:t>
      </w:r>
      <w:r w:rsidRPr="00822CE9">
        <w:rPr>
          <w:rFonts w:hint="cs"/>
          <w:rtl/>
        </w:rPr>
        <w:t>ل</w:t>
      </w:r>
      <w:r w:rsidR="00900C5F">
        <w:rPr>
          <w:rFonts w:hint="cs"/>
          <w:rtl/>
        </w:rPr>
        <w:t>ّ أ</w:t>
      </w:r>
      <w:r w:rsidRPr="00822CE9">
        <w:rPr>
          <w:rFonts w:hint="cs"/>
          <w:rtl/>
        </w:rPr>
        <w:t>كثرها</w:t>
      </w:r>
      <w:r w:rsidR="00900C5F">
        <w:rPr>
          <w:rFonts w:hint="cs"/>
          <w:rtl/>
        </w:rPr>
        <w:t>؛</w:t>
      </w:r>
      <w:r w:rsidRPr="00822CE9">
        <w:rPr>
          <w:rFonts w:hint="cs"/>
          <w:rtl/>
        </w:rPr>
        <w:t xml:space="preserve"> </w:t>
      </w:r>
      <w:r w:rsidRPr="00900C5F">
        <w:rPr>
          <w:rFonts w:hint="cs"/>
          <w:b/>
          <w:bCs/>
          <w:rtl/>
        </w:rPr>
        <w:t>وذلك:</w:t>
      </w:r>
    </w:p>
    <w:p w14:paraId="737B63B9" w14:textId="77777777" w:rsidR="000A4159" w:rsidRPr="00822CE9" w:rsidRDefault="000A4159" w:rsidP="00A551D0">
      <w:pPr>
        <w:spacing w:line="214" w:lineRule="auto"/>
        <w:rPr>
          <w:rtl/>
        </w:rPr>
      </w:pPr>
      <w:r w:rsidRPr="00900C5F">
        <w:rPr>
          <w:rFonts w:hint="cs"/>
          <w:b/>
          <w:bCs/>
          <w:rtl/>
        </w:rPr>
        <w:t>أو</w:t>
      </w:r>
      <w:r w:rsidR="00900C5F">
        <w:rPr>
          <w:rFonts w:hint="cs"/>
          <w:b/>
          <w:bCs/>
          <w:rtl/>
        </w:rPr>
        <w:t>ّ</w:t>
      </w:r>
      <w:r w:rsidRPr="00900C5F">
        <w:rPr>
          <w:rFonts w:hint="cs"/>
          <w:b/>
          <w:bCs/>
          <w:rtl/>
        </w:rPr>
        <w:t>لاً:</w:t>
      </w:r>
      <w:r w:rsidRPr="00822CE9">
        <w:rPr>
          <w:rFonts w:hint="cs"/>
          <w:rtl/>
        </w:rPr>
        <w:t xml:space="preserve"> إن</w:t>
      </w:r>
      <w:r w:rsidR="00900C5F">
        <w:rPr>
          <w:rFonts w:hint="cs"/>
          <w:rtl/>
        </w:rPr>
        <w:t>ّ</w:t>
      </w:r>
      <w:r w:rsidRPr="00822CE9">
        <w:rPr>
          <w:rFonts w:hint="cs"/>
          <w:rtl/>
        </w:rPr>
        <w:t xml:space="preserve"> بعض هذه الروايات غير</w:t>
      </w:r>
      <w:r w:rsidR="00900C5F">
        <w:rPr>
          <w:rFonts w:hint="cs"/>
          <w:rtl/>
        </w:rPr>
        <w:t>ُ</w:t>
      </w:r>
      <w:r w:rsidRPr="00822CE9">
        <w:rPr>
          <w:rFonts w:hint="cs"/>
          <w:rtl/>
        </w:rPr>
        <w:t xml:space="preserve"> معتبر، مثل الرواية الثالثة التي لم نحرز أن</w:t>
      </w:r>
      <w:r w:rsidR="00900C5F">
        <w:rPr>
          <w:rFonts w:hint="cs"/>
          <w:rtl/>
        </w:rPr>
        <w:t>ّ</w:t>
      </w:r>
      <w:r w:rsidRPr="00822CE9">
        <w:rPr>
          <w:rFonts w:hint="cs"/>
          <w:rtl/>
        </w:rPr>
        <w:t xml:space="preserve"> المقطع الشاهد صدر فيها </w:t>
      </w:r>
      <w:r w:rsidR="00900C5F">
        <w:rPr>
          <w:rFonts w:hint="cs"/>
          <w:rtl/>
        </w:rPr>
        <w:t>م</w:t>
      </w:r>
      <w:r w:rsidRPr="00822CE9">
        <w:rPr>
          <w:rFonts w:hint="cs"/>
          <w:rtl/>
        </w:rPr>
        <w:t>ن رسول الله أ</w:t>
      </w:r>
      <w:r w:rsidR="00900C5F">
        <w:rPr>
          <w:rFonts w:hint="cs"/>
          <w:rtl/>
        </w:rPr>
        <w:t>و</w:t>
      </w:r>
      <w:r w:rsidRPr="00822CE9">
        <w:rPr>
          <w:rFonts w:hint="cs"/>
          <w:rtl/>
        </w:rPr>
        <w:t xml:space="preserve"> </w:t>
      </w:r>
      <w:r w:rsidR="00900C5F">
        <w:rPr>
          <w:rFonts w:hint="cs"/>
          <w:rtl/>
        </w:rPr>
        <w:t>من</w:t>
      </w:r>
      <w:r w:rsidRPr="00822CE9">
        <w:rPr>
          <w:rFonts w:hint="cs"/>
          <w:rtl/>
        </w:rPr>
        <w:t xml:space="preserve"> الأشعث بن قيس، ورواية الحسن البصري المرسلة المروي</w:t>
      </w:r>
      <w:r w:rsidR="00900C5F">
        <w:rPr>
          <w:rFonts w:hint="cs"/>
          <w:rtl/>
        </w:rPr>
        <w:t>ّة في كتاب الخراج لأ</w:t>
      </w:r>
      <w:r w:rsidRPr="00822CE9">
        <w:rPr>
          <w:rFonts w:hint="cs"/>
          <w:rtl/>
        </w:rPr>
        <w:t>بي يوسف</w:t>
      </w:r>
      <w:r w:rsidR="00900C5F">
        <w:rPr>
          <w:rFonts w:hint="cs"/>
          <w:rtl/>
        </w:rPr>
        <w:t>،</w:t>
      </w:r>
      <w:r w:rsidRPr="00822CE9">
        <w:rPr>
          <w:rFonts w:hint="cs"/>
          <w:rtl/>
        </w:rPr>
        <w:t xml:space="preserve"> و</w:t>
      </w:r>
      <w:r w:rsidR="00900C5F">
        <w:rPr>
          <w:rFonts w:hint="cs"/>
          <w:rtl/>
        </w:rPr>
        <w:t>ه</w:t>
      </w:r>
      <w:r w:rsidR="00A551D0">
        <w:rPr>
          <w:rFonts w:hint="cs"/>
          <w:rtl/>
        </w:rPr>
        <w:t>ي الرواية الثانية عشرة، وغيرها من الروايات مما أشرنا له في البحث التجزيئي.</w:t>
      </w:r>
    </w:p>
    <w:p w14:paraId="5FADA937" w14:textId="77777777" w:rsidR="000A4159" w:rsidRDefault="000A4159" w:rsidP="000E47B2">
      <w:pPr>
        <w:pStyle w:val="normal870"/>
        <w:rPr>
          <w:rtl/>
        </w:rPr>
      </w:pPr>
      <w:r w:rsidRPr="00900C5F">
        <w:rPr>
          <w:rFonts w:hint="cs"/>
          <w:b/>
          <w:bCs/>
          <w:rtl/>
        </w:rPr>
        <w:t>ثانياً:</w:t>
      </w:r>
      <w:r w:rsidRPr="00822CE9">
        <w:rPr>
          <w:rFonts w:hint="cs"/>
          <w:rtl/>
        </w:rPr>
        <w:t xml:space="preserve"> إن</w:t>
      </w:r>
      <w:r w:rsidR="00900C5F">
        <w:rPr>
          <w:rFonts w:hint="cs"/>
          <w:rtl/>
        </w:rPr>
        <w:t>ّ</w:t>
      </w:r>
      <w:r w:rsidRPr="00822CE9">
        <w:rPr>
          <w:rFonts w:hint="cs"/>
          <w:rtl/>
        </w:rPr>
        <w:t xml:space="preserve"> بعض رواة هذه الروايات محسوبين على جماعة بني أمي</w:t>
      </w:r>
      <w:r w:rsidR="00900C5F">
        <w:rPr>
          <w:rFonts w:hint="cs"/>
          <w:rtl/>
        </w:rPr>
        <w:t>ّ</w:t>
      </w:r>
      <w:r w:rsidRPr="00822CE9">
        <w:rPr>
          <w:rFonts w:hint="cs"/>
          <w:rtl/>
        </w:rPr>
        <w:t>ة تاريخياً، وصدور هذه الروايات نقلاً عنهم يثير شك</w:t>
      </w:r>
      <w:r w:rsidR="00900C5F">
        <w:rPr>
          <w:rFonts w:hint="cs"/>
          <w:rtl/>
        </w:rPr>
        <w:t>ّ</w:t>
      </w:r>
      <w:r w:rsidRPr="00822CE9">
        <w:rPr>
          <w:rFonts w:hint="cs"/>
          <w:rtl/>
        </w:rPr>
        <w:t>اً في الموضوع بحيث ي</w:t>
      </w:r>
      <w:r w:rsidR="00900C5F">
        <w:rPr>
          <w:rFonts w:hint="cs"/>
          <w:rtl/>
        </w:rPr>
        <w:t>ُ</w:t>
      </w:r>
      <w:r w:rsidRPr="00822CE9">
        <w:rPr>
          <w:rFonts w:hint="cs"/>
          <w:rtl/>
        </w:rPr>
        <w:t>فقدنا الوثوق، تماماً كما قلنا في قضي</w:t>
      </w:r>
      <w:r w:rsidR="00900C5F">
        <w:rPr>
          <w:rFonts w:hint="cs"/>
          <w:rtl/>
        </w:rPr>
        <w:t>ّة</w:t>
      </w:r>
      <w:r w:rsidRPr="00822CE9">
        <w:rPr>
          <w:rFonts w:hint="cs"/>
          <w:rtl/>
        </w:rPr>
        <w:t xml:space="preserve"> زيد الشهيد والحسين بن علي صاحب </w:t>
      </w:r>
      <w:r w:rsidR="00900C5F">
        <w:rPr>
          <w:rFonts w:hint="cs"/>
          <w:rtl/>
        </w:rPr>
        <w:t xml:space="preserve">فخّ، </w:t>
      </w:r>
      <w:r w:rsidRPr="00822CE9">
        <w:rPr>
          <w:rFonts w:hint="cs"/>
          <w:rtl/>
        </w:rPr>
        <w:t>من حيث ورود الرواة الزيدي</w:t>
      </w:r>
      <w:r w:rsidR="00900C5F">
        <w:rPr>
          <w:rFonts w:hint="cs"/>
          <w:rtl/>
        </w:rPr>
        <w:t>ّ</w:t>
      </w:r>
      <w:r w:rsidRPr="00822CE9">
        <w:rPr>
          <w:rFonts w:hint="cs"/>
          <w:rtl/>
        </w:rPr>
        <w:t>ة في الأسانيد، فهذا أبو هريرة الذي يروي هنا الرواية الثامنة، والتاسعة، والعاشرة، والثالثة عشرة، من المتعاطفين الذين عاشوا في كنف الدولة الأموي</w:t>
      </w:r>
      <w:r w:rsidR="00900C5F">
        <w:rPr>
          <w:rFonts w:hint="cs"/>
          <w:rtl/>
        </w:rPr>
        <w:t>ّ</w:t>
      </w:r>
      <w:r w:rsidRPr="00822CE9">
        <w:rPr>
          <w:rFonts w:hint="cs"/>
          <w:rtl/>
        </w:rPr>
        <w:t>ة</w:t>
      </w:r>
      <w:r w:rsidR="00900C5F">
        <w:rPr>
          <w:rFonts w:hint="cs"/>
          <w:rtl/>
        </w:rPr>
        <w:t>.</w:t>
      </w:r>
      <w:r w:rsidRPr="00822CE9">
        <w:rPr>
          <w:rFonts w:hint="cs"/>
          <w:rtl/>
        </w:rPr>
        <w:t xml:space="preserve"> وأما عوف بن مالك (الرواية رقم</w:t>
      </w:r>
      <w:r w:rsidR="00900C5F">
        <w:rPr>
          <w:rFonts w:hint="cs"/>
          <w:rtl/>
        </w:rPr>
        <w:t xml:space="preserve">: </w:t>
      </w:r>
      <w:r w:rsidRPr="00822CE9">
        <w:rPr>
          <w:rFonts w:hint="cs"/>
          <w:rtl/>
        </w:rPr>
        <w:t>5)، فقد ذكر ابن سعد في الطبقات الكبرى</w:t>
      </w:r>
      <w:r w:rsidRPr="000A4159">
        <w:rPr>
          <w:rFonts w:cs="Taher"/>
          <w:vertAlign w:val="superscript"/>
          <w:rtl/>
        </w:rPr>
        <w:t>(</w:t>
      </w:r>
      <w:r w:rsidRPr="000A4159">
        <w:rPr>
          <w:rStyle w:val="FootnoteReference"/>
          <w:rFonts w:cs="Taher"/>
          <w:rtl/>
        </w:rPr>
        <w:footnoteReference w:id="364"/>
      </w:r>
      <w:r w:rsidRPr="000A4159">
        <w:rPr>
          <w:rFonts w:cs="Taher"/>
          <w:vertAlign w:val="superscript"/>
          <w:rtl/>
        </w:rPr>
        <w:t>)</w:t>
      </w:r>
      <w:r w:rsidRPr="00822CE9">
        <w:rPr>
          <w:rtl/>
        </w:rPr>
        <w:t xml:space="preserve"> </w:t>
      </w:r>
      <w:r w:rsidRPr="00822CE9">
        <w:rPr>
          <w:rFonts w:hint="cs"/>
          <w:rtl/>
        </w:rPr>
        <w:t>أن</w:t>
      </w:r>
      <w:r w:rsidR="00900C5F">
        <w:rPr>
          <w:rFonts w:hint="cs"/>
          <w:rtl/>
        </w:rPr>
        <w:t>ّ</w:t>
      </w:r>
      <w:r w:rsidRPr="00822CE9">
        <w:rPr>
          <w:rFonts w:hint="cs"/>
          <w:rtl/>
        </w:rPr>
        <w:t>ه ذهب إلى الشام منذ خلافة أبي بكر وبقي هناك إلى وفاته عام 73هـ، مما يدلّ أن</w:t>
      </w:r>
      <w:r w:rsidR="00900C5F">
        <w:rPr>
          <w:rFonts w:hint="cs"/>
          <w:rtl/>
        </w:rPr>
        <w:t>ّ</w:t>
      </w:r>
      <w:r w:rsidRPr="00822CE9">
        <w:rPr>
          <w:rFonts w:hint="cs"/>
          <w:rtl/>
        </w:rPr>
        <w:t>ه عاش في الوسط الشامي، بل في التاريخ الصغير للبخاري أن</w:t>
      </w:r>
      <w:r w:rsidR="00900C5F">
        <w:rPr>
          <w:rFonts w:hint="cs"/>
          <w:rtl/>
        </w:rPr>
        <w:t>ّ</w:t>
      </w:r>
      <w:r w:rsidRPr="00822CE9">
        <w:rPr>
          <w:rFonts w:hint="cs"/>
          <w:rtl/>
        </w:rPr>
        <w:t>ه شارك في بعض حروب يزيد في القسطنطيني</w:t>
      </w:r>
      <w:r w:rsidR="00900C5F">
        <w:rPr>
          <w:rFonts w:hint="cs"/>
          <w:rtl/>
        </w:rPr>
        <w:t>ّ</w:t>
      </w:r>
      <w:r w:rsidRPr="00822CE9">
        <w:rPr>
          <w:rFonts w:hint="cs"/>
          <w:rtl/>
        </w:rPr>
        <w:t>ة</w:t>
      </w:r>
      <w:r w:rsidRPr="000A4159">
        <w:rPr>
          <w:rFonts w:cs="Taher"/>
          <w:vertAlign w:val="superscript"/>
          <w:rtl/>
        </w:rPr>
        <w:t>(</w:t>
      </w:r>
      <w:r w:rsidRPr="000A4159">
        <w:rPr>
          <w:rStyle w:val="FootnoteReference"/>
          <w:rFonts w:cs="Taher"/>
          <w:rtl/>
        </w:rPr>
        <w:footnoteReference w:id="365"/>
      </w:r>
      <w:r w:rsidRPr="000A4159">
        <w:rPr>
          <w:rFonts w:cs="Taher"/>
          <w:vertAlign w:val="superscript"/>
          <w:rtl/>
        </w:rPr>
        <w:t>)</w:t>
      </w:r>
      <w:r w:rsidRPr="00822CE9">
        <w:rPr>
          <w:rtl/>
        </w:rPr>
        <w:t xml:space="preserve">، </w:t>
      </w:r>
      <w:r w:rsidRPr="00822CE9">
        <w:rPr>
          <w:rFonts w:hint="cs"/>
          <w:rtl/>
        </w:rPr>
        <w:t xml:space="preserve">وفي الرواية نفسها التي رواها عوف بن مالك ورد مسلم بن </w:t>
      </w:r>
      <w:r w:rsidR="00900C5F">
        <w:rPr>
          <w:rFonts w:hint="cs"/>
          <w:rtl/>
        </w:rPr>
        <w:t>ق</w:t>
      </w:r>
      <w:r w:rsidRPr="00822CE9">
        <w:rPr>
          <w:rFonts w:hint="cs"/>
          <w:rtl/>
        </w:rPr>
        <w:t>رظة الأشجعي وكان من جماعة الشام كما أسلفنا.</w:t>
      </w:r>
      <w:r w:rsidR="00900C5F">
        <w:rPr>
          <w:rFonts w:hint="cs"/>
          <w:rtl/>
        </w:rPr>
        <w:t xml:space="preserve"> </w:t>
      </w:r>
      <w:r w:rsidRPr="00822CE9">
        <w:rPr>
          <w:rFonts w:hint="cs"/>
          <w:rtl/>
        </w:rPr>
        <w:t>وهكذا الحال في عبد الله بن عمرو بن العاص (الرواية رقم</w:t>
      </w:r>
      <w:r w:rsidR="00900C5F">
        <w:rPr>
          <w:rFonts w:hint="cs"/>
          <w:rtl/>
        </w:rPr>
        <w:t xml:space="preserve">: </w:t>
      </w:r>
      <w:r w:rsidRPr="00822CE9">
        <w:rPr>
          <w:rFonts w:hint="cs"/>
          <w:rtl/>
        </w:rPr>
        <w:t xml:space="preserve">11)، فقد كان في ركب جند الشام، </w:t>
      </w:r>
      <w:r w:rsidR="007C4F2D">
        <w:rPr>
          <w:rFonts w:hint="cs"/>
          <w:rtl/>
        </w:rPr>
        <w:t xml:space="preserve">ولو تقيّةً، </w:t>
      </w:r>
      <w:r w:rsidRPr="00822CE9">
        <w:rPr>
          <w:rFonts w:hint="cs"/>
          <w:rtl/>
        </w:rPr>
        <w:t>وقد تحدّثنا عنه سابقاً.</w:t>
      </w:r>
    </w:p>
    <w:p w14:paraId="24418A4F" w14:textId="77777777" w:rsidR="00A551D0" w:rsidRPr="00822CE9" w:rsidRDefault="00A551D0" w:rsidP="000E47B2">
      <w:pPr>
        <w:pStyle w:val="normal930"/>
        <w:rPr>
          <w:rtl/>
        </w:rPr>
      </w:pPr>
      <w:r>
        <w:rPr>
          <w:rFonts w:hint="cs"/>
          <w:rtl/>
        </w:rPr>
        <w:lastRenderedPageBreak/>
        <w:t>وإذا لم نقل بأنّ هؤلاء اختلقوا هذه الأحاديث، فلا أقلّ من احتمال أنّهم مارسوا ضرباً من التقية في صناعتها، فتأمّل جيّداً.</w:t>
      </w:r>
    </w:p>
    <w:p w14:paraId="0163BEB0" w14:textId="77777777" w:rsidR="000A4159" w:rsidRPr="00822CE9" w:rsidRDefault="000A4159" w:rsidP="000E47B2">
      <w:pPr>
        <w:pStyle w:val="normal84"/>
        <w:rPr>
          <w:rtl/>
        </w:rPr>
      </w:pPr>
      <w:r w:rsidRPr="00822CE9">
        <w:rPr>
          <w:rFonts w:hint="cs"/>
          <w:rtl/>
        </w:rPr>
        <w:t>فهناك ست</w:t>
      </w:r>
      <w:r w:rsidR="00900C5F">
        <w:rPr>
          <w:rFonts w:hint="cs"/>
          <w:rtl/>
        </w:rPr>
        <w:t>ّ</w:t>
      </w:r>
      <w:r w:rsidRPr="00822CE9">
        <w:rPr>
          <w:rFonts w:hint="cs"/>
          <w:rtl/>
        </w:rPr>
        <w:t xml:space="preserve"> روايات ـ بالحدّ الأدنى ـ مروي</w:t>
      </w:r>
      <w:r w:rsidR="00986C37">
        <w:rPr>
          <w:rFonts w:hint="cs"/>
          <w:rtl/>
        </w:rPr>
        <w:t>ّ</w:t>
      </w:r>
      <w:r w:rsidRPr="00822CE9">
        <w:rPr>
          <w:rFonts w:hint="cs"/>
          <w:rtl/>
        </w:rPr>
        <w:t>ة عبر رواة محسوبين على المدرسة الأموي</w:t>
      </w:r>
      <w:r w:rsidR="00986C37">
        <w:rPr>
          <w:rFonts w:hint="cs"/>
          <w:rtl/>
        </w:rPr>
        <w:t>ّ</w:t>
      </w:r>
      <w:r w:rsidRPr="00822CE9">
        <w:rPr>
          <w:rFonts w:hint="cs"/>
          <w:rtl/>
        </w:rPr>
        <w:t>ة التي لطالما روّجت عن لسان النبي</w:t>
      </w:r>
      <w:r w:rsidR="00986C37">
        <w:rPr>
          <w:rFonts w:hint="cs"/>
          <w:rtl/>
        </w:rPr>
        <w:t>ّ</w:t>
      </w:r>
      <w:r w:rsidRPr="00822CE9">
        <w:rPr>
          <w:rFonts w:hint="cs"/>
          <w:rtl/>
        </w:rPr>
        <w:t xml:space="preserve"> مثل مقولات طاعة الحاكم للحدّ من الثورات ضدّها</w:t>
      </w:r>
      <w:r w:rsidR="00986C37">
        <w:rPr>
          <w:rFonts w:hint="cs"/>
          <w:rtl/>
        </w:rPr>
        <w:t>، أو يتوقّع منها ذلك</w:t>
      </w:r>
      <w:r w:rsidRPr="00822CE9">
        <w:rPr>
          <w:rFonts w:hint="cs"/>
          <w:rtl/>
        </w:rPr>
        <w:t>.</w:t>
      </w:r>
    </w:p>
    <w:p w14:paraId="6A970C13" w14:textId="77777777" w:rsidR="00994B68" w:rsidRDefault="000A4159" w:rsidP="00994B68">
      <w:pPr>
        <w:spacing w:line="214" w:lineRule="auto"/>
        <w:rPr>
          <w:rtl/>
        </w:rPr>
      </w:pPr>
      <w:r w:rsidRPr="00986C37">
        <w:rPr>
          <w:rFonts w:hint="cs"/>
          <w:b/>
          <w:bCs/>
          <w:rtl/>
        </w:rPr>
        <w:t>ثالثاً:</w:t>
      </w:r>
      <w:r w:rsidRPr="00822CE9">
        <w:rPr>
          <w:rFonts w:hint="cs"/>
          <w:rtl/>
        </w:rPr>
        <w:t xml:space="preserve"> إن</w:t>
      </w:r>
      <w:r w:rsidR="00986C37">
        <w:rPr>
          <w:rFonts w:hint="cs"/>
          <w:rtl/>
        </w:rPr>
        <w:t>ّ</w:t>
      </w:r>
      <w:r w:rsidRPr="00822CE9">
        <w:rPr>
          <w:rFonts w:hint="cs"/>
          <w:rtl/>
        </w:rPr>
        <w:t xml:space="preserve"> بعض هذه الروايات ممّا لا يمكن صدوره عن النبي</w:t>
      </w:r>
      <w:r w:rsidR="00986C37">
        <w:rPr>
          <w:rFonts w:hint="cs"/>
          <w:rtl/>
        </w:rPr>
        <w:t>ّ‘</w:t>
      </w:r>
      <w:r w:rsidRPr="00822CE9">
        <w:rPr>
          <w:rFonts w:hint="cs"/>
          <w:rtl/>
        </w:rPr>
        <w:t>؛ فإن</w:t>
      </w:r>
      <w:r w:rsidR="00986C37">
        <w:rPr>
          <w:rFonts w:hint="cs"/>
          <w:rtl/>
        </w:rPr>
        <w:t>ّ</w:t>
      </w:r>
      <w:r w:rsidRPr="00822CE9">
        <w:rPr>
          <w:rFonts w:hint="cs"/>
          <w:rtl/>
        </w:rPr>
        <w:t xml:space="preserve"> المفهوم منها ليس حرمة الخروج على الحاكم الجائر فحسب، بل حرمة الاختلاف معه، وأن</w:t>
      </w:r>
      <w:r w:rsidR="00986C37">
        <w:rPr>
          <w:rFonts w:hint="cs"/>
          <w:rtl/>
        </w:rPr>
        <w:t>ّ</w:t>
      </w:r>
      <w:r w:rsidRPr="00822CE9">
        <w:rPr>
          <w:rFonts w:hint="cs"/>
          <w:rtl/>
        </w:rPr>
        <w:t>ه إذا ارتكب خطأ أو مارس الظلم فلا علاقة لنا بالأمر</w:t>
      </w:r>
      <w:r w:rsidR="00986C37">
        <w:rPr>
          <w:rFonts w:hint="cs"/>
          <w:rtl/>
        </w:rPr>
        <w:t>.</w:t>
      </w:r>
      <w:r w:rsidRPr="00822CE9">
        <w:rPr>
          <w:rFonts w:hint="cs"/>
          <w:rtl/>
        </w:rPr>
        <w:t xml:space="preserve"> إنّ هذا المفهو</w:t>
      </w:r>
      <w:r w:rsidR="00986C37">
        <w:rPr>
          <w:rFonts w:hint="cs"/>
          <w:rtl/>
        </w:rPr>
        <w:t>م</w:t>
      </w:r>
      <w:r w:rsidRPr="00822CE9">
        <w:rPr>
          <w:rFonts w:hint="cs"/>
          <w:rtl/>
        </w:rPr>
        <w:t xml:space="preserve"> الذي يستوح</w:t>
      </w:r>
      <w:r w:rsidR="00986C37">
        <w:rPr>
          <w:rFonts w:hint="cs"/>
          <w:rtl/>
        </w:rPr>
        <w:t>ى</w:t>
      </w:r>
      <w:r w:rsidRPr="00822CE9">
        <w:rPr>
          <w:rFonts w:hint="cs"/>
          <w:rtl/>
        </w:rPr>
        <w:t xml:space="preserve"> من جملة </w:t>
      </w:r>
      <w:r w:rsidR="00986C37">
        <w:rPr>
          <w:rFonts w:hint="cs"/>
          <w:rtl/>
        </w:rPr>
        <w:t xml:space="preserve">من هذه </w:t>
      </w:r>
      <w:r w:rsidRPr="00822CE9">
        <w:rPr>
          <w:rFonts w:hint="cs"/>
          <w:rtl/>
        </w:rPr>
        <w:t xml:space="preserve">الروايات، </w:t>
      </w:r>
      <w:r w:rsidR="00986C37">
        <w:rPr>
          <w:rFonts w:hint="cs"/>
          <w:rtl/>
        </w:rPr>
        <w:t xml:space="preserve">لا </w:t>
      </w:r>
      <w:r w:rsidRPr="00822CE9">
        <w:rPr>
          <w:rFonts w:hint="cs"/>
          <w:rtl/>
        </w:rPr>
        <w:t>سيما من حيث عدم إشارتها إلى أمره بالمعروف ونهيه عن المنكر، تساوي حقّ</w:t>
      </w:r>
      <w:r w:rsidR="00986C37">
        <w:rPr>
          <w:rFonts w:hint="cs"/>
          <w:rtl/>
        </w:rPr>
        <w:t>َ</w:t>
      </w:r>
      <w:r w:rsidRPr="00822CE9">
        <w:rPr>
          <w:rFonts w:hint="cs"/>
          <w:rtl/>
        </w:rPr>
        <w:t xml:space="preserve"> الحاكم في الاستبداد المطلق، إلا إذا ترك الصلاة، وهذا شيء</w:t>
      </w:r>
      <w:r w:rsidR="00986C37">
        <w:rPr>
          <w:rFonts w:hint="cs"/>
          <w:rtl/>
        </w:rPr>
        <w:t xml:space="preserve">ٌ مخالفٌ </w:t>
      </w:r>
      <w:r w:rsidRPr="00822CE9">
        <w:rPr>
          <w:rFonts w:hint="cs"/>
          <w:rtl/>
        </w:rPr>
        <w:t>لقواعد الإسلام العام</w:t>
      </w:r>
      <w:r w:rsidR="00986C37">
        <w:rPr>
          <w:rFonts w:hint="cs"/>
          <w:rtl/>
        </w:rPr>
        <w:t>ّ</w:t>
      </w:r>
      <w:r w:rsidRPr="00822CE9">
        <w:rPr>
          <w:rFonts w:hint="cs"/>
          <w:rtl/>
        </w:rPr>
        <w:t>ة في الأمر بالمعروف والنهي عن المنكر وتصويب الخطأ والإصلاح في المجتمع.</w:t>
      </w:r>
      <w:r w:rsidR="00986C37">
        <w:rPr>
          <w:rFonts w:hint="cs"/>
          <w:rtl/>
        </w:rPr>
        <w:t xml:space="preserve"> </w:t>
      </w:r>
      <w:r w:rsidRPr="00822CE9">
        <w:rPr>
          <w:rFonts w:hint="cs"/>
          <w:rtl/>
        </w:rPr>
        <w:t>ومخالف في الجملة للقرآن فيما دل</w:t>
      </w:r>
      <w:r w:rsidR="00986C37">
        <w:rPr>
          <w:rFonts w:hint="cs"/>
          <w:rtl/>
        </w:rPr>
        <w:t>ّ</w:t>
      </w:r>
      <w:r w:rsidRPr="00822CE9">
        <w:rPr>
          <w:rFonts w:hint="cs"/>
          <w:rtl/>
        </w:rPr>
        <w:t xml:space="preserve">ت عليه آية البغي و.. </w:t>
      </w:r>
      <w:r w:rsidR="00986C37">
        <w:rPr>
          <w:rFonts w:hint="cs"/>
          <w:rtl/>
        </w:rPr>
        <w:t xml:space="preserve">وكلّ </w:t>
      </w:r>
      <w:r w:rsidRPr="00822CE9">
        <w:rPr>
          <w:rFonts w:hint="cs"/>
          <w:rtl/>
        </w:rPr>
        <w:t xml:space="preserve">مخالف لكتاب الله </w:t>
      </w:r>
      <w:r w:rsidR="00986C37">
        <w:rPr>
          <w:rFonts w:hint="cs"/>
          <w:rtl/>
        </w:rPr>
        <w:t xml:space="preserve">لا </w:t>
      </w:r>
      <w:r w:rsidRPr="00822CE9">
        <w:rPr>
          <w:rFonts w:hint="cs"/>
          <w:rtl/>
        </w:rPr>
        <w:t>يصدر عن المعصوم.</w:t>
      </w:r>
    </w:p>
    <w:p w14:paraId="3FB72033" w14:textId="77777777" w:rsidR="000A4159" w:rsidRPr="00822CE9" w:rsidRDefault="00381623" w:rsidP="000E47B2">
      <w:pPr>
        <w:pStyle w:val="normal930"/>
        <w:rPr>
          <w:rtl/>
        </w:rPr>
      </w:pPr>
      <w:r>
        <w:rPr>
          <w:rFonts w:hint="cs"/>
          <w:rtl/>
        </w:rPr>
        <w:t>بل إنّ البيعة نفسها عبارة عن تعاقد له طرفان فإذا أخلّ الحاكم بما تمّ الاتفاق عليه من إقامة العدل بين الناس والسير فيهم بحقّ، فإنّ المبايعين يفترض منطقيّاً أن يملكوا خيار التحلّل من هذه البيعة، وهذا بحثٌ نوكله لمحلّه</w:t>
      </w:r>
      <w:r w:rsidR="00994B68" w:rsidRPr="000A4159">
        <w:rPr>
          <w:rFonts w:cs="Taher"/>
          <w:vertAlign w:val="superscript"/>
          <w:rtl/>
        </w:rPr>
        <w:t>(</w:t>
      </w:r>
      <w:r w:rsidR="00994B68" w:rsidRPr="000A4159">
        <w:rPr>
          <w:rStyle w:val="FootnoteReference"/>
          <w:rFonts w:cs="Taher"/>
          <w:rtl/>
        </w:rPr>
        <w:footnoteReference w:id="366"/>
      </w:r>
      <w:r w:rsidR="00994B68" w:rsidRPr="000A4159">
        <w:rPr>
          <w:rFonts w:cs="Taher"/>
          <w:vertAlign w:val="superscript"/>
          <w:rtl/>
        </w:rPr>
        <w:t>)</w:t>
      </w:r>
      <w:r>
        <w:rPr>
          <w:rFonts w:hint="cs"/>
          <w:rtl/>
        </w:rPr>
        <w:t>.</w:t>
      </w:r>
    </w:p>
    <w:p w14:paraId="6F5B2E06" w14:textId="77777777" w:rsidR="000A4159" w:rsidRPr="00822CE9" w:rsidRDefault="000A4159" w:rsidP="000E47B2">
      <w:pPr>
        <w:pStyle w:val="normal930"/>
        <w:rPr>
          <w:rtl/>
        </w:rPr>
      </w:pPr>
      <w:r w:rsidRPr="00986C37">
        <w:rPr>
          <w:rFonts w:hint="cs"/>
          <w:b/>
          <w:bCs/>
          <w:rtl/>
        </w:rPr>
        <w:t>رابعاً:</w:t>
      </w:r>
      <w:r w:rsidRPr="00822CE9">
        <w:rPr>
          <w:rFonts w:hint="cs"/>
          <w:rtl/>
        </w:rPr>
        <w:t xml:space="preserve"> إن</w:t>
      </w:r>
      <w:r w:rsidR="00986C37">
        <w:rPr>
          <w:rFonts w:hint="cs"/>
          <w:rtl/>
        </w:rPr>
        <w:t>ّ بعض الروايات المتق</w:t>
      </w:r>
      <w:r w:rsidRPr="00822CE9">
        <w:rPr>
          <w:rFonts w:hint="cs"/>
          <w:rtl/>
        </w:rPr>
        <w:t>د</w:t>
      </w:r>
      <w:r w:rsidR="00986C37">
        <w:rPr>
          <w:rFonts w:hint="cs"/>
          <w:rtl/>
        </w:rPr>
        <w:t>ّ</w:t>
      </w:r>
      <w:r w:rsidRPr="00822CE9">
        <w:rPr>
          <w:rFonts w:hint="cs"/>
          <w:rtl/>
        </w:rPr>
        <w:t xml:space="preserve">مة لا دلالة فيه أصلاً على </w:t>
      </w:r>
      <w:r w:rsidR="00986C37">
        <w:rPr>
          <w:rFonts w:hint="cs"/>
          <w:rtl/>
        </w:rPr>
        <w:t xml:space="preserve">هذا </w:t>
      </w:r>
      <w:r w:rsidRPr="00822CE9">
        <w:rPr>
          <w:rFonts w:hint="cs"/>
          <w:rtl/>
        </w:rPr>
        <w:t>الموضوع</w:t>
      </w:r>
      <w:r w:rsidR="00986C37">
        <w:rPr>
          <w:rFonts w:hint="cs"/>
          <w:rtl/>
        </w:rPr>
        <w:t>،</w:t>
      </w:r>
      <w:r w:rsidRPr="00822CE9">
        <w:rPr>
          <w:rFonts w:hint="cs"/>
          <w:rtl/>
        </w:rPr>
        <w:t xml:space="preserve"> كما أسلفنا عند استعراض الروايات، حتى لو كان ثابتاً سنداً، مثل الرواية الثانية، والسابعة، والثامنة، والتاسعة، والى حدّ</w:t>
      </w:r>
      <w:r w:rsidR="00986C37">
        <w:rPr>
          <w:rFonts w:hint="cs"/>
          <w:rtl/>
        </w:rPr>
        <w:t>ٍ</w:t>
      </w:r>
      <w:r w:rsidRPr="00822CE9">
        <w:rPr>
          <w:rFonts w:hint="cs"/>
          <w:rtl/>
        </w:rPr>
        <w:t xml:space="preserve"> ما الرواية الثالثة عشرة والرابعة عشرة.</w:t>
      </w:r>
    </w:p>
    <w:p w14:paraId="180192CB" w14:textId="77777777" w:rsidR="000A4159" w:rsidRPr="00822CE9" w:rsidRDefault="000A4159" w:rsidP="000E47B2">
      <w:pPr>
        <w:pStyle w:val="normal930"/>
        <w:rPr>
          <w:rtl/>
        </w:rPr>
      </w:pPr>
      <w:r w:rsidRPr="00986C37">
        <w:rPr>
          <w:rFonts w:hint="cs"/>
          <w:b/>
          <w:bCs/>
          <w:rtl/>
        </w:rPr>
        <w:t>خامساً:</w:t>
      </w:r>
      <w:r w:rsidRPr="00822CE9">
        <w:rPr>
          <w:rFonts w:hint="cs"/>
          <w:rtl/>
        </w:rPr>
        <w:t xml:space="preserve"> إنّ هذه الروايات تخالفها روايات أخ</w:t>
      </w:r>
      <w:r w:rsidR="00272AEA">
        <w:rPr>
          <w:rFonts w:hint="cs"/>
          <w:rtl/>
        </w:rPr>
        <w:t>َ</w:t>
      </w:r>
      <w:r w:rsidRPr="00822CE9">
        <w:rPr>
          <w:rFonts w:hint="cs"/>
          <w:rtl/>
        </w:rPr>
        <w:t>ر في الخروج على الحاكم</w:t>
      </w:r>
      <w:r w:rsidR="00986C37">
        <w:rPr>
          <w:rFonts w:hint="cs"/>
          <w:rtl/>
        </w:rPr>
        <w:t>، كتلك التي تق</w:t>
      </w:r>
      <w:r w:rsidRPr="00822CE9">
        <w:rPr>
          <w:rFonts w:hint="cs"/>
          <w:rtl/>
        </w:rPr>
        <w:t>د</w:t>
      </w:r>
      <w:r w:rsidR="00986C37">
        <w:rPr>
          <w:rFonts w:hint="cs"/>
          <w:rtl/>
        </w:rPr>
        <w:t>ّ</w:t>
      </w:r>
      <w:r w:rsidRPr="00822CE9">
        <w:rPr>
          <w:rFonts w:hint="cs"/>
          <w:rtl/>
        </w:rPr>
        <w:t xml:space="preserve">م بعضها عند الحديث عن </w:t>
      </w:r>
      <w:r w:rsidR="00272AEA">
        <w:rPr>
          <w:rFonts w:hint="cs"/>
          <w:rtl/>
        </w:rPr>
        <w:t xml:space="preserve">خروج الإمام </w:t>
      </w:r>
      <w:r w:rsidRPr="00822CE9">
        <w:rPr>
          <w:rFonts w:hint="cs"/>
          <w:rtl/>
        </w:rPr>
        <w:t>الحسين، فمثل هذه الروايات ـ وبعضها مروي</w:t>
      </w:r>
      <w:r w:rsidR="00986C37">
        <w:rPr>
          <w:rFonts w:hint="cs"/>
          <w:rtl/>
        </w:rPr>
        <w:t>ٌّ</w:t>
      </w:r>
      <w:r w:rsidRPr="00822CE9">
        <w:rPr>
          <w:rFonts w:hint="cs"/>
          <w:rtl/>
        </w:rPr>
        <w:t xml:space="preserve"> عن النبي</w:t>
      </w:r>
      <w:r w:rsidR="00986C37">
        <w:rPr>
          <w:rFonts w:hint="cs"/>
          <w:rtl/>
        </w:rPr>
        <w:t>ّ‘</w:t>
      </w:r>
      <w:r w:rsidRPr="00822CE9">
        <w:rPr>
          <w:rFonts w:hint="cs"/>
          <w:rtl/>
        </w:rPr>
        <w:t xml:space="preserve"> ـ </w:t>
      </w:r>
      <w:r w:rsidR="00986C37">
        <w:rPr>
          <w:rFonts w:hint="cs"/>
          <w:rtl/>
        </w:rPr>
        <w:t>يخالف هذه النصوص التي كأ</w:t>
      </w:r>
      <w:r w:rsidRPr="00822CE9">
        <w:rPr>
          <w:rFonts w:hint="cs"/>
          <w:rtl/>
        </w:rPr>
        <w:t>ن</w:t>
      </w:r>
      <w:r w:rsidR="00986C37">
        <w:rPr>
          <w:rFonts w:hint="cs"/>
          <w:rtl/>
        </w:rPr>
        <w:t>ّ</w:t>
      </w:r>
      <w:r w:rsidRPr="00822CE9">
        <w:rPr>
          <w:rFonts w:hint="cs"/>
          <w:rtl/>
        </w:rPr>
        <w:t xml:space="preserve"> بعضها لا يريد قبول التخصيص </w:t>
      </w:r>
      <w:r w:rsidR="00986C37">
        <w:rPr>
          <w:rFonts w:hint="cs"/>
          <w:rtl/>
        </w:rPr>
        <w:t>أ</w:t>
      </w:r>
      <w:r w:rsidRPr="00822CE9">
        <w:rPr>
          <w:rFonts w:hint="cs"/>
          <w:rtl/>
        </w:rPr>
        <w:t>و الاستثناء، غير الكفر البواح أو ترك الصلاة.</w:t>
      </w:r>
      <w:r w:rsidR="00A551D0">
        <w:rPr>
          <w:rFonts w:hint="cs"/>
          <w:rtl/>
        </w:rPr>
        <w:t xml:space="preserve"> ومع المعارضة تضعف قوّة الوثوق.</w:t>
      </w:r>
    </w:p>
    <w:p w14:paraId="0F693DE8" w14:textId="77777777" w:rsidR="000A4159" w:rsidRDefault="000A4159" w:rsidP="000E47B2">
      <w:pPr>
        <w:pStyle w:val="normal930"/>
        <w:rPr>
          <w:rtl/>
        </w:rPr>
      </w:pPr>
      <w:r w:rsidRPr="00822CE9">
        <w:rPr>
          <w:rFonts w:hint="cs"/>
          <w:rtl/>
        </w:rPr>
        <w:lastRenderedPageBreak/>
        <w:t>وبضم</w:t>
      </w:r>
      <w:r w:rsidR="00986C37">
        <w:rPr>
          <w:rFonts w:hint="cs"/>
          <w:rtl/>
        </w:rPr>
        <w:t>ّ</w:t>
      </w:r>
      <w:r w:rsidRPr="00822CE9">
        <w:rPr>
          <w:rFonts w:hint="cs"/>
          <w:rtl/>
        </w:rPr>
        <w:t xml:space="preserve"> هذه النقاط الخمس</w:t>
      </w:r>
      <w:r w:rsidR="00986C37">
        <w:rPr>
          <w:rFonts w:hint="cs"/>
          <w:rtl/>
        </w:rPr>
        <w:t>،</w:t>
      </w:r>
      <w:r w:rsidRPr="00822CE9">
        <w:rPr>
          <w:rFonts w:hint="cs"/>
          <w:rtl/>
        </w:rPr>
        <w:t xml:space="preserve"> لا يبقى لنا عدد من الروايات يوثق </w:t>
      </w:r>
      <w:r w:rsidR="00272AEA">
        <w:rPr>
          <w:rFonts w:hint="cs"/>
          <w:rtl/>
        </w:rPr>
        <w:t>بدلالاته و</w:t>
      </w:r>
      <w:r w:rsidRPr="00822CE9">
        <w:rPr>
          <w:rFonts w:hint="cs"/>
          <w:rtl/>
        </w:rPr>
        <w:t>بصدوره عن النبي</w:t>
      </w:r>
      <w:r w:rsidR="00986C37">
        <w:rPr>
          <w:rFonts w:hint="cs"/>
          <w:rtl/>
        </w:rPr>
        <w:t>ّ‘،</w:t>
      </w:r>
      <w:r w:rsidRPr="00822CE9">
        <w:rPr>
          <w:rFonts w:hint="cs"/>
          <w:rtl/>
        </w:rPr>
        <w:t xml:space="preserve"> بحيث نستند إليه في إثبات حكم</w:t>
      </w:r>
      <w:r w:rsidR="00986C37">
        <w:rPr>
          <w:rFonts w:hint="cs"/>
          <w:rtl/>
        </w:rPr>
        <w:t>ٍ</w:t>
      </w:r>
      <w:r w:rsidRPr="00822CE9">
        <w:rPr>
          <w:rFonts w:hint="cs"/>
          <w:rtl/>
        </w:rPr>
        <w:t xml:space="preserve"> شرعي</w:t>
      </w:r>
      <w:r w:rsidR="00986C37">
        <w:rPr>
          <w:rFonts w:hint="cs"/>
          <w:rtl/>
        </w:rPr>
        <w:t>ّ</w:t>
      </w:r>
      <w:r w:rsidRPr="00822CE9">
        <w:rPr>
          <w:rFonts w:hint="cs"/>
          <w:rtl/>
        </w:rPr>
        <w:t xml:space="preserve"> بوجوب الطاعة بهذه الطريقة أو حرمة الخروج على الحاكم</w:t>
      </w:r>
      <w:r w:rsidR="00A551D0">
        <w:rPr>
          <w:rFonts w:hint="cs"/>
          <w:rtl/>
        </w:rPr>
        <w:t xml:space="preserve"> مطلقاً، بناءً على مسلك الوثوق الاطمئناني في حجيّة الأخبار</w:t>
      </w:r>
      <w:r w:rsidRPr="00822CE9">
        <w:rPr>
          <w:rFonts w:hint="cs"/>
          <w:rtl/>
        </w:rPr>
        <w:t>.</w:t>
      </w:r>
    </w:p>
    <w:p w14:paraId="53789DAF" w14:textId="77777777" w:rsidR="00046312" w:rsidRPr="00046312" w:rsidRDefault="00046312" w:rsidP="0096148C">
      <w:pPr>
        <w:pStyle w:val="Heading2"/>
        <w:rPr>
          <w:rtl/>
        </w:rPr>
      </w:pPr>
      <w:bookmarkStart w:id="217" w:name="_Toc143804188"/>
      <w:bookmarkStart w:id="218" w:name="_Toc238123313"/>
      <w:r w:rsidRPr="00046312">
        <w:rPr>
          <w:rFonts w:hint="cs"/>
          <w:rtl/>
        </w:rPr>
        <w:t xml:space="preserve">نتيجة البحث في حرمة الخروج على الحاكم </w:t>
      </w:r>
      <w:r>
        <w:rPr>
          <w:rFonts w:hint="cs"/>
          <w:rtl/>
        </w:rPr>
        <w:t>م</w:t>
      </w:r>
      <w:r w:rsidRPr="00046312">
        <w:rPr>
          <w:rFonts w:hint="cs"/>
          <w:rtl/>
        </w:rPr>
        <w:t>طلقاً ولزوم الطاعة</w:t>
      </w:r>
      <w:bookmarkEnd w:id="217"/>
      <w:bookmarkEnd w:id="218"/>
    </w:p>
    <w:p w14:paraId="55462973" w14:textId="77777777" w:rsidR="000A4159" w:rsidRPr="00822CE9" w:rsidRDefault="000A4159" w:rsidP="000E47B2">
      <w:pPr>
        <w:pStyle w:val="normal930"/>
        <w:rPr>
          <w:rtl/>
        </w:rPr>
      </w:pPr>
      <w:r w:rsidRPr="00822CE9">
        <w:rPr>
          <w:rFonts w:hint="cs"/>
          <w:rtl/>
        </w:rPr>
        <w:t>وبهذه الانتقادات العامّة يتبيّن عدم صحّة نظري</w:t>
      </w:r>
      <w:r w:rsidR="00986C37">
        <w:rPr>
          <w:rFonts w:hint="cs"/>
          <w:rtl/>
        </w:rPr>
        <w:t>ّ</w:t>
      </w:r>
      <w:r w:rsidRPr="00822CE9">
        <w:rPr>
          <w:rFonts w:hint="cs"/>
          <w:rtl/>
        </w:rPr>
        <w:t>ة الطاعة المطلقة وشبه المطلقة للحاكم، من هنا نحتمل ـ في بعض الروايات هنا ـ أن تكون واردةً لبيان مبدأ الطاعة أو عدم الخروج عنها بذريعة أن</w:t>
      </w:r>
      <w:r w:rsidR="00986C37">
        <w:rPr>
          <w:rFonts w:hint="cs"/>
          <w:rtl/>
        </w:rPr>
        <w:t>ّ الحاكم فعل معصيةً هنا أ</w:t>
      </w:r>
      <w:r w:rsidRPr="00822CE9">
        <w:rPr>
          <w:rFonts w:hint="cs"/>
          <w:rtl/>
        </w:rPr>
        <w:t>و هناك، فالمعاصي أو بعض الأخطاء المتعارفة في ممارسة السلطة لا تخرج الحاكم عن شرعي</w:t>
      </w:r>
      <w:r w:rsidR="00986C37">
        <w:rPr>
          <w:rFonts w:hint="cs"/>
          <w:rtl/>
        </w:rPr>
        <w:t>ّ</w:t>
      </w:r>
      <w:r w:rsidRPr="00822CE9">
        <w:rPr>
          <w:rFonts w:hint="cs"/>
          <w:rtl/>
        </w:rPr>
        <w:t>ة الحكومة.</w:t>
      </w:r>
    </w:p>
    <w:p w14:paraId="7FB109AC" w14:textId="77777777" w:rsidR="000A4159" w:rsidRPr="00046312" w:rsidRDefault="000A4159" w:rsidP="0096148C">
      <w:pPr>
        <w:pStyle w:val="Heading2"/>
        <w:rPr>
          <w:rtl/>
        </w:rPr>
      </w:pPr>
      <w:bookmarkStart w:id="219" w:name="_Toc143804189"/>
      <w:bookmarkStart w:id="220" w:name="_Toc238123314"/>
      <w:r w:rsidRPr="00046312">
        <w:rPr>
          <w:rFonts w:hint="cs"/>
          <w:rtl/>
        </w:rPr>
        <w:t xml:space="preserve">2 ـ </w:t>
      </w:r>
      <w:r w:rsidR="005C2B6A">
        <w:rPr>
          <w:rFonts w:hint="cs"/>
          <w:rtl/>
        </w:rPr>
        <w:t xml:space="preserve">نظريّة </w:t>
      </w:r>
      <w:r w:rsidRPr="00046312">
        <w:rPr>
          <w:rFonts w:hint="cs"/>
          <w:rtl/>
        </w:rPr>
        <w:t>حرمة الخروج في عصر الغيبة</w:t>
      </w:r>
      <w:r w:rsidR="005C2B6A">
        <w:rPr>
          <w:rFonts w:hint="cs"/>
          <w:rtl/>
        </w:rPr>
        <w:t>، الأدلّة والمداخلات</w:t>
      </w:r>
      <w:bookmarkEnd w:id="219"/>
      <w:bookmarkEnd w:id="220"/>
    </w:p>
    <w:p w14:paraId="45CD1713" w14:textId="77777777" w:rsidR="00F34FC9" w:rsidRDefault="00F34FC9" w:rsidP="00F34FC9">
      <w:pPr>
        <w:spacing w:line="214" w:lineRule="auto"/>
        <w:rPr>
          <w:rtl/>
        </w:rPr>
      </w:pPr>
      <w:r>
        <w:rPr>
          <w:rFonts w:hint="cs"/>
          <w:rtl/>
        </w:rPr>
        <w:t>قبل كلّ شيء علينا التأكيد على أنّ هذا البحث ي</w:t>
      </w:r>
      <w:r w:rsidR="00817BEF">
        <w:rPr>
          <w:rFonts w:hint="cs"/>
          <w:rtl/>
        </w:rPr>
        <w:t>َ</w:t>
      </w:r>
      <w:r>
        <w:rPr>
          <w:rFonts w:hint="cs"/>
          <w:rtl/>
        </w:rPr>
        <w:t>ف</w:t>
      </w:r>
      <w:r w:rsidR="00817BEF">
        <w:rPr>
          <w:rFonts w:hint="cs"/>
          <w:rtl/>
        </w:rPr>
        <w:t>ْ</w:t>
      </w:r>
      <w:r>
        <w:rPr>
          <w:rFonts w:hint="cs"/>
          <w:rtl/>
        </w:rPr>
        <w:t>ت</w:t>
      </w:r>
      <w:r w:rsidR="00817BEF">
        <w:rPr>
          <w:rFonts w:hint="cs"/>
          <w:rtl/>
        </w:rPr>
        <w:t>َ</w:t>
      </w:r>
      <w:r>
        <w:rPr>
          <w:rFonts w:hint="cs"/>
          <w:rtl/>
        </w:rPr>
        <w:t>ر</w:t>
      </w:r>
      <w:r w:rsidR="00817BEF">
        <w:rPr>
          <w:rFonts w:hint="cs"/>
          <w:rtl/>
        </w:rPr>
        <w:t>ِ</w:t>
      </w:r>
      <w:r>
        <w:rPr>
          <w:rFonts w:hint="cs"/>
          <w:rtl/>
        </w:rPr>
        <w:t>ض</w:t>
      </w:r>
      <w:r w:rsidR="00817BEF">
        <w:rPr>
          <w:rFonts w:hint="cs"/>
          <w:rtl/>
        </w:rPr>
        <w:t>ُ</w:t>
      </w:r>
      <w:r>
        <w:rPr>
          <w:rFonts w:hint="cs"/>
          <w:rtl/>
        </w:rPr>
        <w:t xml:space="preserve"> مجموعة</w:t>
      </w:r>
      <w:r w:rsidR="00817BEF">
        <w:rPr>
          <w:rFonts w:hint="cs"/>
          <w:rtl/>
        </w:rPr>
        <w:t>َ</w:t>
      </w:r>
      <w:r>
        <w:rPr>
          <w:rFonts w:hint="cs"/>
          <w:rtl/>
        </w:rPr>
        <w:t xml:space="preserve"> مصادرات عقديّة خاصّة بالمذهب الإمامي بوصفها أصولاً موضوعة، وفي العادة من لا يأخذ بهذه المصادرات العقديّة الإماميّة فهو في غنى عن هذا البحث كليّاً أو بشكل غالب، من هنا فغير الشيعي من سائر المذاهب نادراً ما ما ينفعه مثل هذا البحث فقهيّاً.</w:t>
      </w:r>
    </w:p>
    <w:p w14:paraId="67FB1D06" w14:textId="77777777" w:rsidR="000A4159" w:rsidRPr="00F34FC9" w:rsidRDefault="00F34FC9" w:rsidP="00F34FC9">
      <w:pPr>
        <w:spacing w:line="214" w:lineRule="auto"/>
        <w:rPr>
          <w:b/>
          <w:bCs/>
          <w:rtl/>
        </w:rPr>
      </w:pPr>
      <w:r w:rsidRPr="00F34FC9">
        <w:rPr>
          <w:rFonts w:hint="cs"/>
          <w:b/>
          <w:bCs/>
          <w:rtl/>
        </w:rPr>
        <w:t xml:space="preserve">وعلى أيّة حال، فقد </w:t>
      </w:r>
      <w:r w:rsidR="000A4159" w:rsidRPr="00F34FC9">
        <w:rPr>
          <w:rFonts w:hint="cs"/>
          <w:b/>
          <w:bCs/>
          <w:rtl/>
        </w:rPr>
        <w:t>تعدّدت الأدلّة لتحريم الثورة بالمنحى الخاص المتقدّم، ونحن نشير بحول الله تعالى إلى أبرزها على الشكل ال</w:t>
      </w:r>
      <w:r w:rsidR="00272AEA" w:rsidRPr="00F34FC9">
        <w:rPr>
          <w:rFonts w:hint="cs"/>
          <w:b/>
          <w:bCs/>
          <w:rtl/>
        </w:rPr>
        <w:t>آتي</w:t>
      </w:r>
      <w:r w:rsidR="000A4159" w:rsidRPr="00F34FC9">
        <w:rPr>
          <w:rFonts w:hint="cs"/>
          <w:b/>
          <w:bCs/>
          <w:rtl/>
        </w:rPr>
        <w:t>:</w:t>
      </w:r>
    </w:p>
    <w:p w14:paraId="27956951" w14:textId="77777777" w:rsidR="000A4159" w:rsidRPr="00046312" w:rsidRDefault="00046312" w:rsidP="0096148C">
      <w:pPr>
        <w:pStyle w:val="Heading3"/>
        <w:rPr>
          <w:rtl/>
        </w:rPr>
      </w:pPr>
      <w:bookmarkStart w:id="221" w:name="_Toc143804190"/>
      <w:bookmarkStart w:id="222" w:name="_Toc238123315"/>
      <w:r>
        <w:rPr>
          <w:rFonts w:hint="cs"/>
          <w:rtl/>
        </w:rPr>
        <w:t xml:space="preserve">2 ـ 1 ـ </w:t>
      </w:r>
      <w:r w:rsidR="000A4159" w:rsidRPr="00046312">
        <w:rPr>
          <w:rFonts w:hint="cs"/>
          <w:rtl/>
        </w:rPr>
        <w:t>نصوص حرمة الخروج في عصر الغ</w:t>
      </w:r>
      <w:r>
        <w:rPr>
          <w:rFonts w:hint="cs"/>
          <w:rtl/>
        </w:rPr>
        <w:t>َ</w:t>
      </w:r>
      <w:r w:rsidR="000A4159" w:rsidRPr="00046312">
        <w:rPr>
          <w:rFonts w:hint="cs"/>
          <w:rtl/>
        </w:rPr>
        <w:t>يبة أو قبل قيام ال</w:t>
      </w:r>
      <w:r>
        <w:rPr>
          <w:rFonts w:hint="cs"/>
          <w:rtl/>
        </w:rPr>
        <w:t>إمام المهدي</w:t>
      </w:r>
      <w:bookmarkEnd w:id="221"/>
      <w:bookmarkEnd w:id="222"/>
    </w:p>
    <w:p w14:paraId="29F5FEC0" w14:textId="77777777" w:rsidR="000A4159" w:rsidRPr="00822CE9" w:rsidRDefault="000A4159" w:rsidP="000E47B2">
      <w:pPr>
        <w:pStyle w:val="normal930"/>
        <w:rPr>
          <w:rtl/>
        </w:rPr>
      </w:pPr>
      <w:r w:rsidRPr="00822CE9">
        <w:rPr>
          <w:rFonts w:hint="cs"/>
          <w:rtl/>
        </w:rPr>
        <w:t>ذهب بعض الفقهاء الشيعة إلى حرمة الخروج على الحاكم ـ كائناً من كان ـ قبل ظهور الإمام المهدي محم</w:t>
      </w:r>
      <w:r w:rsidR="00046312">
        <w:rPr>
          <w:rFonts w:hint="cs"/>
          <w:rtl/>
        </w:rPr>
        <w:t>ّ</w:t>
      </w:r>
      <w:r w:rsidRPr="00822CE9">
        <w:rPr>
          <w:rFonts w:hint="cs"/>
          <w:rtl/>
        </w:rPr>
        <w:t>د بن الحسن العسكري، بل في بعض الكلمات حرمة تأسيس دولة إسلامي</w:t>
      </w:r>
      <w:r w:rsidR="00046312">
        <w:rPr>
          <w:rFonts w:hint="cs"/>
          <w:rtl/>
        </w:rPr>
        <w:t>ّ</w:t>
      </w:r>
      <w:r w:rsidRPr="00822CE9">
        <w:rPr>
          <w:rFonts w:hint="cs"/>
          <w:rtl/>
        </w:rPr>
        <w:t xml:space="preserve">ة في هذا </w:t>
      </w:r>
      <w:r w:rsidRPr="00822CE9">
        <w:rPr>
          <w:rFonts w:hint="cs"/>
          <w:rtl/>
        </w:rPr>
        <w:lastRenderedPageBreak/>
        <w:t>العصر ـ كما صرّح به الشيخ المنتظري</w:t>
      </w:r>
      <w:r w:rsidRPr="000A4159">
        <w:rPr>
          <w:rFonts w:cs="Taher"/>
          <w:vertAlign w:val="superscript"/>
          <w:rtl/>
        </w:rPr>
        <w:t>(</w:t>
      </w:r>
      <w:r w:rsidRPr="000A4159">
        <w:rPr>
          <w:rStyle w:val="FootnoteReference"/>
          <w:rFonts w:cs="Taher"/>
          <w:rtl/>
        </w:rPr>
        <w:footnoteReference w:id="367"/>
      </w:r>
      <w:r w:rsidRPr="000A4159">
        <w:rPr>
          <w:rFonts w:cs="Taher"/>
          <w:vertAlign w:val="superscript"/>
          <w:rtl/>
        </w:rPr>
        <w:t>)</w:t>
      </w:r>
      <w:r w:rsidRPr="00822CE9">
        <w:rPr>
          <w:rtl/>
        </w:rPr>
        <w:t xml:space="preserve"> </w:t>
      </w:r>
      <w:r w:rsidRPr="00822CE9">
        <w:rPr>
          <w:rFonts w:hint="cs"/>
          <w:rtl/>
        </w:rPr>
        <w:t>ـ وقد حظي هذا الرأي باهتمام أجيال م</w:t>
      </w:r>
      <w:r w:rsidR="00046312">
        <w:rPr>
          <w:rFonts w:hint="cs"/>
          <w:rtl/>
        </w:rPr>
        <w:t xml:space="preserve">ن العلماء الشيعة فضّلوا التنحّي، بنسبة عالية، </w:t>
      </w:r>
      <w:r w:rsidRPr="00822CE9">
        <w:rPr>
          <w:rFonts w:hint="cs"/>
          <w:rtl/>
        </w:rPr>
        <w:t>عن التدخ</w:t>
      </w:r>
      <w:r w:rsidR="00046312">
        <w:rPr>
          <w:rFonts w:hint="cs"/>
          <w:rtl/>
        </w:rPr>
        <w:t>ّ</w:t>
      </w:r>
      <w:r w:rsidRPr="00822CE9">
        <w:rPr>
          <w:rFonts w:hint="cs"/>
          <w:rtl/>
        </w:rPr>
        <w:t>ل في العمل السياسي إلى ظهور المهدي</w:t>
      </w:r>
      <w:r w:rsidR="0096424D">
        <w:rPr>
          <w:rFonts w:hint="cs"/>
          <w:rtl/>
        </w:rPr>
        <w:t>ّ</w:t>
      </w:r>
      <w:r w:rsidRPr="00822CE9">
        <w:rPr>
          <w:rFonts w:hint="cs"/>
          <w:rtl/>
        </w:rPr>
        <w:t>.</w:t>
      </w:r>
    </w:p>
    <w:p w14:paraId="5D3AD9AD" w14:textId="63E3C568" w:rsidR="000A4159" w:rsidRPr="00822CE9" w:rsidRDefault="000A4159" w:rsidP="000E47B2">
      <w:pPr>
        <w:pStyle w:val="normal930"/>
        <w:rPr>
          <w:rtl/>
        </w:rPr>
      </w:pPr>
      <w:r w:rsidRPr="00822CE9">
        <w:rPr>
          <w:rFonts w:hint="cs"/>
          <w:rtl/>
        </w:rPr>
        <w:t>وع</w:t>
      </w:r>
      <w:r w:rsidR="00046312">
        <w:rPr>
          <w:rFonts w:hint="cs"/>
          <w:rtl/>
        </w:rPr>
        <w:t>ُ</w:t>
      </w:r>
      <w:r w:rsidRPr="00822CE9">
        <w:rPr>
          <w:rFonts w:hint="cs"/>
          <w:rtl/>
        </w:rPr>
        <w:t>مدة الدليل هنا ـ بعد استبعاد الإجماع والشهرة؛ للشك</w:t>
      </w:r>
      <w:r w:rsidR="00046312">
        <w:rPr>
          <w:rFonts w:hint="cs"/>
          <w:rtl/>
        </w:rPr>
        <w:t>ّ</w:t>
      </w:r>
      <w:r w:rsidRPr="00822CE9">
        <w:rPr>
          <w:rFonts w:hint="cs"/>
          <w:rtl/>
        </w:rPr>
        <w:t xml:space="preserve"> في صغراهما تارةً مع احتمال المدركيّة جدّاً نتيجة نظريّة التقيّة والنصوص الحديثية القادمة أخرى ـ هو مجموعة من الروايات التي أورد أكثر</w:t>
      </w:r>
      <w:r w:rsidR="00046312">
        <w:rPr>
          <w:rFonts w:hint="cs"/>
          <w:rtl/>
        </w:rPr>
        <w:t>َ</w:t>
      </w:r>
      <w:r w:rsidRPr="00822CE9">
        <w:rPr>
          <w:rFonts w:hint="cs"/>
          <w:rtl/>
        </w:rPr>
        <w:t xml:space="preserve">ها الحرّ العاملي (1104هـ) في كتاب الجهاد من </w:t>
      </w:r>
      <w:r w:rsidR="00D537A9" w:rsidRPr="00822CE9">
        <w:rPr>
          <w:rFonts w:hint="cs"/>
          <w:rtl/>
        </w:rPr>
        <w:t>«</w:t>
      </w:r>
      <w:r w:rsidRPr="00822CE9">
        <w:rPr>
          <w:rFonts w:hint="cs"/>
          <w:rtl/>
        </w:rPr>
        <w:t>تفصيل وسائل الشيعة</w:t>
      </w:r>
      <w:r w:rsidR="00D537A9" w:rsidRPr="00822CE9">
        <w:rPr>
          <w:rFonts w:hint="cs"/>
          <w:rtl/>
        </w:rPr>
        <w:t>»</w:t>
      </w:r>
      <w:r w:rsidRPr="00822CE9">
        <w:rPr>
          <w:rFonts w:hint="cs"/>
          <w:rtl/>
        </w:rPr>
        <w:t xml:space="preserve">؛ حيث خصّص الباب الثالث عشر لها، لكنّه لم يذكر للباب عنواناً يفيد جزمه بموقفٍ من مضمون هذه الروايات، خلافاً لعادته في أن تكون عناوين الأبواب في كتاب </w:t>
      </w:r>
      <w:r w:rsidR="00D537A9" w:rsidRPr="00822CE9">
        <w:rPr>
          <w:rFonts w:hint="cs"/>
          <w:rtl/>
        </w:rPr>
        <w:t>«</w:t>
      </w:r>
      <w:r w:rsidRPr="00822CE9">
        <w:rPr>
          <w:rFonts w:hint="cs"/>
          <w:rtl/>
        </w:rPr>
        <w:t>تفصيل وسائل الشيعة</w:t>
      </w:r>
      <w:r w:rsidR="00D537A9" w:rsidRPr="00822CE9">
        <w:rPr>
          <w:rFonts w:hint="cs"/>
          <w:rtl/>
        </w:rPr>
        <w:t>»</w:t>
      </w:r>
      <w:r w:rsidRPr="00822CE9">
        <w:rPr>
          <w:rFonts w:hint="cs"/>
          <w:rtl/>
        </w:rPr>
        <w:t xml:space="preserve"> تعبيراً عن فتاواه الشخصيّة، فسمّى هذا الباب «باب حكم الخروج بالسيف قبل قيام القائم</w:t>
      </w:r>
      <w:r w:rsidR="00046312">
        <w:rPr>
          <w:rFonts w:hint="cs"/>
          <w:rtl/>
        </w:rPr>
        <w:t>×</w:t>
      </w:r>
      <w:r w:rsidRPr="00822CE9">
        <w:rPr>
          <w:rFonts w:hint="cs"/>
          <w:rtl/>
        </w:rPr>
        <w:t>».</w:t>
      </w:r>
    </w:p>
    <w:p w14:paraId="35BD9817" w14:textId="77777777" w:rsidR="000A4159" w:rsidRPr="00822CE9" w:rsidRDefault="000A4159" w:rsidP="000E47B2">
      <w:pPr>
        <w:pStyle w:val="normal930"/>
        <w:rPr>
          <w:rtl/>
        </w:rPr>
      </w:pPr>
      <w:r w:rsidRPr="00822CE9">
        <w:rPr>
          <w:rFonts w:hint="cs"/>
          <w:rtl/>
        </w:rPr>
        <w:t>ويجب أن نعلم ـ بدايةً ـ أن</w:t>
      </w:r>
      <w:r w:rsidR="00046312">
        <w:rPr>
          <w:rFonts w:hint="cs"/>
          <w:rtl/>
        </w:rPr>
        <w:t>ّ</w:t>
      </w:r>
      <w:r w:rsidRPr="00822CE9">
        <w:rPr>
          <w:rFonts w:hint="cs"/>
          <w:rtl/>
        </w:rPr>
        <w:t>نا بحثنا سابقاً عن شرط أن يكون الجهاد بإذن المعصوم أو حضوره، وقلنا بأنّ الأدلّة على ذلك غير تامّة، لا في الجهاد الابتدائي ولا في الجهاد الدفاعي، لهذا يعدّ هذا البحث هنا وذاك البحث هناك مكمّلين لبعضهما بعضاً، فليُلتفت إلى ذلك.</w:t>
      </w:r>
    </w:p>
    <w:p w14:paraId="458086D1" w14:textId="77777777" w:rsidR="0096424D" w:rsidRDefault="000A4159" w:rsidP="00046312">
      <w:pPr>
        <w:spacing w:line="214" w:lineRule="auto"/>
        <w:rPr>
          <w:rtl/>
        </w:rPr>
      </w:pPr>
      <w:r w:rsidRPr="0096424D">
        <w:rPr>
          <w:rFonts w:hint="cs"/>
          <w:b/>
          <w:bCs/>
          <w:rtl/>
        </w:rPr>
        <w:t>وسوف نقوم ببحث هذه النصوص التي تشكّل العائق الديني عن الثورة في عصر الغيبة على مرحلتين:</w:t>
      </w:r>
    </w:p>
    <w:p w14:paraId="6EC0DF4F" w14:textId="77777777" w:rsidR="0096424D" w:rsidRDefault="0096424D" w:rsidP="00046312">
      <w:pPr>
        <w:spacing w:line="214" w:lineRule="auto"/>
        <w:rPr>
          <w:rtl/>
        </w:rPr>
      </w:pPr>
      <w:r w:rsidRPr="0096424D">
        <w:rPr>
          <w:rFonts w:hint="cs"/>
          <w:b/>
          <w:bCs/>
          <w:rtl/>
        </w:rPr>
        <w:t>المرحلة</w:t>
      </w:r>
      <w:r w:rsidR="000A4159" w:rsidRPr="0096424D">
        <w:rPr>
          <w:rFonts w:hint="cs"/>
          <w:b/>
          <w:bCs/>
          <w:rtl/>
        </w:rPr>
        <w:t xml:space="preserve"> الأولى</w:t>
      </w:r>
      <w:r w:rsidRPr="0096424D">
        <w:rPr>
          <w:rFonts w:hint="cs"/>
          <w:b/>
          <w:bCs/>
          <w:rtl/>
        </w:rPr>
        <w:t>:</w:t>
      </w:r>
      <w:r w:rsidR="000A4159" w:rsidRPr="00822CE9">
        <w:rPr>
          <w:rFonts w:hint="cs"/>
          <w:rtl/>
        </w:rPr>
        <w:t xml:space="preserve"> عملية التفكيك التجزيئي لهذه النصوص ودراستها كلاً على حدَة من حيث السند والدلالة، وستكون هذه الدراسة التجزيئيّة مقدّمة ضرورية للبحث المجموعي التحليلي</w:t>
      </w:r>
      <w:r w:rsidR="00046312">
        <w:rPr>
          <w:rFonts w:hint="cs"/>
          <w:rtl/>
        </w:rPr>
        <w:t>.</w:t>
      </w:r>
    </w:p>
    <w:p w14:paraId="7843BC4D" w14:textId="77777777" w:rsidR="000A4159" w:rsidRPr="00822CE9" w:rsidRDefault="0096424D" w:rsidP="0096424D">
      <w:pPr>
        <w:spacing w:line="214" w:lineRule="auto"/>
        <w:rPr>
          <w:rtl/>
        </w:rPr>
      </w:pPr>
      <w:r w:rsidRPr="0096424D">
        <w:rPr>
          <w:rFonts w:hint="cs"/>
          <w:b/>
          <w:bCs/>
          <w:rtl/>
        </w:rPr>
        <w:t xml:space="preserve">المرحلة </w:t>
      </w:r>
      <w:r w:rsidR="000A4159" w:rsidRPr="0096424D">
        <w:rPr>
          <w:rFonts w:hint="cs"/>
          <w:b/>
          <w:bCs/>
          <w:rtl/>
        </w:rPr>
        <w:t>الثانية</w:t>
      </w:r>
      <w:r w:rsidRPr="0096424D">
        <w:rPr>
          <w:rFonts w:hint="cs"/>
          <w:b/>
          <w:bCs/>
          <w:rtl/>
        </w:rPr>
        <w:t>:</w:t>
      </w:r>
      <w:r w:rsidR="000A4159" w:rsidRPr="00822CE9">
        <w:rPr>
          <w:rFonts w:hint="cs"/>
          <w:rtl/>
        </w:rPr>
        <w:t xml:space="preserve"> عملي</w:t>
      </w:r>
      <w:r w:rsidR="00046312">
        <w:rPr>
          <w:rFonts w:hint="cs"/>
          <w:rtl/>
        </w:rPr>
        <w:t>ّ</w:t>
      </w:r>
      <w:r w:rsidR="000A4159" w:rsidRPr="00822CE9">
        <w:rPr>
          <w:rFonts w:hint="cs"/>
          <w:rtl/>
        </w:rPr>
        <w:t>ة التفسير المجموعي الإجمالي لهذه النصوص، حيث سنعرض ـ إن شاء الله تعالى ـ للفرضيات الم</w:t>
      </w:r>
      <w:r w:rsidR="00662133" w:rsidRPr="00822CE9">
        <w:rPr>
          <w:rFonts w:hint="cs"/>
          <w:rtl/>
        </w:rPr>
        <w:t>حتملة فيها بوصفها كلاً مجموعاً.</w:t>
      </w:r>
    </w:p>
    <w:p w14:paraId="599BD7AC" w14:textId="77777777" w:rsidR="000A4159" w:rsidRPr="00046312" w:rsidRDefault="00046312" w:rsidP="000153E6">
      <w:pPr>
        <w:pStyle w:val="Heading4"/>
        <w:rPr>
          <w:rtl/>
        </w:rPr>
      </w:pPr>
      <w:bookmarkStart w:id="223" w:name="_Toc143804191"/>
      <w:bookmarkStart w:id="224" w:name="_Toc238123316"/>
      <w:r>
        <w:rPr>
          <w:rFonts w:hint="cs"/>
          <w:rtl/>
        </w:rPr>
        <w:t xml:space="preserve">2 ـ 1 ـ 1 ـ </w:t>
      </w:r>
      <w:r w:rsidR="000A4159" w:rsidRPr="00046312">
        <w:rPr>
          <w:rFonts w:hint="cs"/>
          <w:rtl/>
        </w:rPr>
        <w:t>التحليل التفكيكي التجزيئي لنصوص المنع عن الثورة في عصر الغ</w:t>
      </w:r>
      <w:r>
        <w:rPr>
          <w:rFonts w:hint="cs"/>
          <w:rtl/>
        </w:rPr>
        <w:t>َ</w:t>
      </w:r>
      <w:r w:rsidR="000A4159" w:rsidRPr="00046312">
        <w:rPr>
          <w:rFonts w:hint="cs"/>
          <w:rtl/>
        </w:rPr>
        <w:t>يبة</w:t>
      </w:r>
      <w:bookmarkEnd w:id="223"/>
      <w:bookmarkEnd w:id="224"/>
    </w:p>
    <w:p w14:paraId="4AADCB82" w14:textId="77777777" w:rsidR="000A4159" w:rsidRPr="00822CE9" w:rsidRDefault="000A4159" w:rsidP="00046312">
      <w:pPr>
        <w:spacing w:line="214" w:lineRule="auto"/>
        <w:rPr>
          <w:rtl/>
        </w:rPr>
      </w:pPr>
      <w:r w:rsidRPr="00822CE9">
        <w:rPr>
          <w:rFonts w:hint="cs"/>
          <w:rtl/>
        </w:rPr>
        <w:t>وعلى أي</w:t>
      </w:r>
      <w:r w:rsidR="00046312">
        <w:rPr>
          <w:rFonts w:hint="cs"/>
          <w:rtl/>
        </w:rPr>
        <w:t>ّ</w:t>
      </w:r>
      <w:r w:rsidRPr="00822CE9">
        <w:rPr>
          <w:rFonts w:hint="cs"/>
          <w:rtl/>
        </w:rPr>
        <w:t>ة حال، فمهم الروايات الواردة هنا، على الشكل ال</w:t>
      </w:r>
      <w:r w:rsidR="00046312">
        <w:rPr>
          <w:rFonts w:hint="cs"/>
          <w:rtl/>
        </w:rPr>
        <w:t>آتي</w:t>
      </w:r>
      <w:r w:rsidRPr="00822CE9">
        <w:rPr>
          <w:rFonts w:hint="cs"/>
          <w:rtl/>
        </w:rPr>
        <w:t>:</w:t>
      </w:r>
    </w:p>
    <w:p w14:paraId="086514E5" w14:textId="3A8D83F8" w:rsidR="000A4159" w:rsidRPr="00822CE9" w:rsidRDefault="00964FB0" w:rsidP="00964FB0">
      <w:pPr>
        <w:spacing w:line="214" w:lineRule="auto"/>
        <w:rPr>
          <w:rtl/>
        </w:rPr>
      </w:pPr>
      <w:r>
        <w:rPr>
          <w:rFonts w:hint="cs"/>
          <w:b/>
          <w:bCs/>
          <w:rtl/>
        </w:rPr>
        <w:t xml:space="preserve">الرواية الأولى: </w:t>
      </w:r>
      <w:r w:rsidR="000A4159" w:rsidRPr="00822CE9">
        <w:rPr>
          <w:rFonts w:hint="cs"/>
          <w:b/>
          <w:bCs/>
          <w:rtl/>
        </w:rPr>
        <w:t>خبر ع</w:t>
      </w:r>
      <w:r w:rsidR="00CA156E">
        <w:rPr>
          <w:rFonts w:hint="cs"/>
          <w:b/>
          <w:bCs/>
          <w:rtl/>
        </w:rPr>
        <w:t>ِ</w:t>
      </w:r>
      <w:r w:rsidR="000A4159" w:rsidRPr="00822CE9">
        <w:rPr>
          <w:rFonts w:hint="cs"/>
          <w:b/>
          <w:bCs/>
          <w:rtl/>
        </w:rPr>
        <w:t>يص بن القاسم،</w:t>
      </w:r>
      <w:r w:rsidR="000A4159" w:rsidRPr="00822CE9">
        <w:rPr>
          <w:rFonts w:hint="cs"/>
          <w:rtl/>
        </w:rPr>
        <w:t xml:space="preserve"> قال: سمعت أبا عبد الله</w:t>
      </w:r>
      <w:r>
        <w:rPr>
          <w:rFonts w:hint="cs"/>
          <w:rtl/>
        </w:rPr>
        <w:t>×</w:t>
      </w:r>
      <w:r w:rsidR="000A4159" w:rsidRPr="00822CE9">
        <w:rPr>
          <w:rFonts w:hint="cs"/>
          <w:rtl/>
        </w:rPr>
        <w:t xml:space="preserve"> يقول: «عليكم بتقوى الله وحده لا شريك له وانظروا لأنفسكم؛ فوالله إنّ الرجل ليكون له الغنم فيها الراعي، فإذا </w:t>
      </w:r>
      <w:r w:rsidR="000A4159" w:rsidRPr="00822CE9">
        <w:rPr>
          <w:rFonts w:hint="cs"/>
          <w:rtl/>
        </w:rPr>
        <w:lastRenderedPageBreak/>
        <w:t>وجد رجلاً هو أعلم بغنمه من الذي هو فيها يخرجه ويجيء بذلك الرجل الذي هو أعلم بغنمه من الذي كان فيها، والله لو كانت لأحدكم نفسان يقات</w:t>
      </w:r>
      <w:r>
        <w:rPr>
          <w:rFonts w:hint="cs"/>
          <w:rtl/>
        </w:rPr>
        <w:t>ِ</w:t>
      </w:r>
      <w:r w:rsidR="000A4159" w:rsidRPr="00822CE9">
        <w:rPr>
          <w:rFonts w:hint="cs"/>
          <w:rtl/>
        </w:rPr>
        <w:t>ل بواحدة يجرّب بها، ثم كانت الأخرى باقية تعمل على ما قد استبان لها، ولكن له نفس واحدة، إذا ذهبت فقد والله ذهبت التوبة، فأنتم أحقّ أ</w:t>
      </w:r>
      <w:r>
        <w:rPr>
          <w:rFonts w:hint="cs"/>
          <w:rtl/>
        </w:rPr>
        <w:t>ن تختاروا لأنفسكم، إن أتاكم آتٍ</w:t>
      </w:r>
      <w:r w:rsidR="000A4159" w:rsidRPr="00822CE9">
        <w:rPr>
          <w:rFonts w:hint="cs"/>
          <w:rtl/>
        </w:rPr>
        <w:t xml:space="preserve"> منّا فانظروا على أيّ شيء تخرجون، ولا تقولوا: خرج زيد، فإنّ زيداً كان عالماً وكان صدوقاً ولم يدعكم إلى نفسه، وإن</w:t>
      </w:r>
      <w:r>
        <w:rPr>
          <w:rFonts w:hint="cs"/>
          <w:rtl/>
        </w:rPr>
        <w:t>ّ</w:t>
      </w:r>
      <w:r w:rsidR="000A4159" w:rsidRPr="00822CE9">
        <w:rPr>
          <w:rFonts w:hint="cs"/>
          <w:rtl/>
        </w:rPr>
        <w:t>ما دعاكم إلى الرضا من آل محم</w:t>
      </w:r>
      <w:r>
        <w:rPr>
          <w:rFonts w:hint="cs"/>
          <w:rtl/>
        </w:rPr>
        <w:t>ّ</w:t>
      </w:r>
      <w:r w:rsidR="000A4159" w:rsidRPr="00822CE9">
        <w:rPr>
          <w:rFonts w:hint="cs"/>
          <w:rtl/>
        </w:rPr>
        <w:t>د</w:t>
      </w:r>
      <w:r>
        <w:rPr>
          <w:rFonts w:hint="cs"/>
          <w:rtl/>
        </w:rPr>
        <w:t>‘</w:t>
      </w:r>
      <w:r w:rsidR="000A4159" w:rsidRPr="00822CE9">
        <w:rPr>
          <w:rFonts w:hint="cs"/>
          <w:rtl/>
        </w:rPr>
        <w:t>، ولو ظهر لوفى بما دعاكم إليه، إن</w:t>
      </w:r>
      <w:r>
        <w:rPr>
          <w:rFonts w:hint="cs"/>
          <w:rtl/>
        </w:rPr>
        <w:t>ّ</w:t>
      </w:r>
      <w:r w:rsidR="000A4159" w:rsidRPr="00822CE9">
        <w:rPr>
          <w:rFonts w:hint="cs"/>
          <w:rtl/>
        </w:rPr>
        <w:t>ما خرج إلى سلطان</w:t>
      </w:r>
      <w:r w:rsidR="007B33DF">
        <w:rPr>
          <w:rFonts w:hint="cs"/>
          <w:rtl/>
        </w:rPr>
        <w:t>ٍ</w:t>
      </w:r>
      <w:r w:rsidR="000A4159" w:rsidRPr="00822CE9">
        <w:rPr>
          <w:rFonts w:hint="cs"/>
          <w:rtl/>
        </w:rPr>
        <w:t xml:space="preserve"> م</w:t>
      </w:r>
      <w:r w:rsidR="007B33DF">
        <w:rPr>
          <w:rFonts w:hint="cs"/>
          <w:rtl/>
        </w:rPr>
        <w:t>ُ</w:t>
      </w:r>
      <w:r w:rsidR="000A4159" w:rsidRPr="00822CE9">
        <w:rPr>
          <w:rFonts w:hint="cs"/>
          <w:rtl/>
        </w:rPr>
        <w:t>ج</w:t>
      </w:r>
      <w:r w:rsidR="007B33DF">
        <w:rPr>
          <w:rFonts w:hint="cs"/>
          <w:rtl/>
        </w:rPr>
        <w:t>ْ</w:t>
      </w:r>
      <w:r w:rsidR="000A4159" w:rsidRPr="00822CE9">
        <w:rPr>
          <w:rFonts w:hint="cs"/>
          <w:rtl/>
        </w:rPr>
        <w:t>ت</w:t>
      </w:r>
      <w:r w:rsidR="007B33DF">
        <w:rPr>
          <w:rFonts w:hint="cs"/>
          <w:rtl/>
        </w:rPr>
        <w:t>َ</w:t>
      </w:r>
      <w:r w:rsidR="000A4159" w:rsidRPr="00822CE9">
        <w:rPr>
          <w:rFonts w:hint="cs"/>
          <w:rtl/>
        </w:rPr>
        <w:t>م</w:t>
      </w:r>
      <w:r w:rsidR="007B33DF">
        <w:rPr>
          <w:rFonts w:hint="cs"/>
          <w:rtl/>
        </w:rPr>
        <w:t>ِ</w:t>
      </w:r>
      <w:r w:rsidR="000A4159" w:rsidRPr="00822CE9">
        <w:rPr>
          <w:rFonts w:hint="cs"/>
          <w:rtl/>
        </w:rPr>
        <w:t>ع</w:t>
      </w:r>
      <w:r w:rsidR="007B33DF">
        <w:rPr>
          <w:rFonts w:hint="cs"/>
          <w:rtl/>
        </w:rPr>
        <w:t>ٍ</w:t>
      </w:r>
      <w:r w:rsidR="000A4159" w:rsidRPr="00822CE9">
        <w:rPr>
          <w:rFonts w:hint="cs"/>
          <w:rtl/>
        </w:rPr>
        <w:t xml:space="preserve"> لي</w:t>
      </w:r>
      <w:r w:rsidR="007B33DF">
        <w:rPr>
          <w:rFonts w:hint="cs"/>
          <w:rtl/>
        </w:rPr>
        <w:t>َ</w:t>
      </w:r>
      <w:r w:rsidR="000A4159" w:rsidRPr="00822CE9">
        <w:rPr>
          <w:rFonts w:hint="cs"/>
          <w:rtl/>
        </w:rPr>
        <w:t>ن</w:t>
      </w:r>
      <w:r w:rsidR="007B33DF">
        <w:rPr>
          <w:rFonts w:hint="cs"/>
          <w:rtl/>
        </w:rPr>
        <w:t>ْ</w:t>
      </w:r>
      <w:r w:rsidR="000A4159" w:rsidRPr="00822CE9">
        <w:rPr>
          <w:rFonts w:hint="cs"/>
          <w:rtl/>
        </w:rPr>
        <w:t>ق</w:t>
      </w:r>
      <w:r w:rsidR="007B33DF">
        <w:rPr>
          <w:rFonts w:hint="cs"/>
          <w:rtl/>
        </w:rPr>
        <w:t>ُ</w:t>
      </w:r>
      <w:r w:rsidR="000A4159" w:rsidRPr="00822CE9">
        <w:rPr>
          <w:rFonts w:hint="cs"/>
          <w:rtl/>
        </w:rPr>
        <w:t>ض</w:t>
      </w:r>
      <w:r w:rsidR="007B33DF">
        <w:rPr>
          <w:rFonts w:hint="cs"/>
          <w:rtl/>
        </w:rPr>
        <w:t>َ</w:t>
      </w:r>
      <w:r w:rsidR="000A4159" w:rsidRPr="00822CE9">
        <w:rPr>
          <w:rFonts w:hint="cs"/>
          <w:rtl/>
        </w:rPr>
        <w:t>ه</w:t>
      </w:r>
      <w:r w:rsidR="007B33DF">
        <w:rPr>
          <w:rFonts w:hint="cs"/>
          <w:rtl/>
        </w:rPr>
        <w:t>ُ</w:t>
      </w:r>
      <w:r w:rsidR="000A4159" w:rsidRPr="00822CE9">
        <w:rPr>
          <w:rFonts w:hint="cs"/>
          <w:rtl/>
        </w:rPr>
        <w:t>؛ فالخارج منّا اليوم إلى أيّ شيء يدعوكم؟ إلى الرضا من آل محم</w:t>
      </w:r>
      <w:r>
        <w:rPr>
          <w:rFonts w:hint="cs"/>
          <w:rtl/>
        </w:rPr>
        <w:t>ّ</w:t>
      </w:r>
      <w:r w:rsidR="000A4159" w:rsidRPr="00822CE9">
        <w:rPr>
          <w:rFonts w:hint="cs"/>
          <w:rtl/>
        </w:rPr>
        <w:t>د</w:t>
      </w:r>
      <w:r>
        <w:rPr>
          <w:rFonts w:hint="cs"/>
          <w:rtl/>
        </w:rPr>
        <w:t xml:space="preserve"> </w:t>
      </w:r>
      <w:r w:rsidR="000A4159" w:rsidRPr="00822CE9">
        <w:rPr>
          <w:rFonts w:hint="cs"/>
          <w:rtl/>
        </w:rPr>
        <w:t>عليهم السلام؟ فنحن نشهدكم إنّا لسنا نرضى به، وهو يعصينا اليوم وليس معه أحد، وهو إذا كانت الرايات والألوية أجدر أن لا يسمع منّا إلا من اجتمعت بنو فاطمة معه، فوالله ما صاحبكم إلا من اجتمعوا عليه، إذا كان رجب فأقبلوا على اسم الله عز وجلّ، وإن أحببتم أن تتأخّروا إلى شعبان فلا ضير، وإن أحببتم أن تصوموا في أهاليكم فلعلّ ذلك يكون أقوى لكم، وكفاكم بالسفياني علامة</w:t>
      </w:r>
      <w:r w:rsidR="00D537A9" w:rsidRPr="00822CE9">
        <w:rPr>
          <w:rFonts w:hint="cs"/>
          <w:rtl/>
        </w:rPr>
        <w:t>»</w:t>
      </w:r>
      <w:r w:rsidR="00D537A9" w:rsidRPr="000A4159">
        <w:rPr>
          <w:rFonts w:cs="Taher"/>
          <w:vertAlign w:val="superscript"/>
          <w:rtl/>
        </w:rPr>
        <w:t xml:space="preserve"> </w:t>
      </w:r>
      <w:r w:rsidR="000A4159" w:rsidRPr="000A4159">
        <w:rPr>
          <w:rFonts w:cs="Taher"/>
          <w:vertAlign w:val="superscript"/>
          <w:rtl/>
        </w:rPr>
        <w:t>(</w:t>
      </w:r>
      <w:r w:rsidR="000A4159" w:rsidRPr="000A4159">
        <w:rPr>
          <w:rStyle w:val="FootnoteReference"/>
          <w:rFonts w:cs="Taher"/>
          <w:rtl/>
        </w:rPr>
        <w:footnoteReference w:id="368"/>
      </w:r>
      <w:r w:rsidR="000A4159" w:rsidRPr="000A4159">
        <w:rPr>
          <w:rFonts w:cs="Taher"/>
          <w:vertAlign w:val="superscript"/>
          <w:rtl/>
        </w:rPr>
        <w:t>)</w:t>
      </w:r>
      <w:r w:rsidR="000A4159" w:rsidRPr="00822CE9">
        <w:rPr>
          <w:rFonts w:hint="cs"/>
          <w:rtl/>
        </w:rPr>
        <w:t>.</w:t>
      </w:r>
    </w:p>
    <w:p w14:paraId="28DF406D" w14:textId="77777777" w:rsidR="000A4159" w:rsidRPr="00822CE9" w:rsidRDefault="000A4159" w:rsidP="00964FB0">
      <w:pPr>
        <w:spacing w:line="214" w:lineRule="auto"/>
        <w:rPr>
          <w:rtl/>
        </w:rPr>
      </w:pPr>
      <w:r w:rsidRPr="00822CE9">
        <w:rPr>
          <w:rFonts w:hint="cs"/>
          <w:rtl/>
        </w:rPr>
        <w:t>هذه الرواية صريحة ـ كما نرى ـ في عدم رضا أهل البيت بالخروج بعد ثورة زيد بن علي، والإمام فيها يشهد بأن</w:t>
      </w:r>
      <w:r w:rsidR="00964FB0">
        <w:rPr>
          <w:rFonts w:hint="cs"/>
          <w:rtl/>
        </w:rPr>
        <w:t>ّ</w:t>
      </w:r>
      <w:r w:rsidRPr="00822CE9">
        <w:rPr>
          <w:rFonts w:hint="cs"/>
          <w:rtl/>
        </w:rPr>
        <w:t>هم لا يرضون بهذا الخروج حتى لو ادّعى الخارج أنّ ثورته هي للرضا من آل محم</w:t>
      </w:r>
      <w:r w:rsidR="00964FB0">
        <w:rPr>
          <w:rFonts w:hint="cs"/>
          <w:rtl/>
        </w:rPr>
        <w:t>ّ</w:t>
      </w:r>
      <w:r w:rsidRPr="00822CE9">
        <w:rPr>
          <w:rFonts w:hint="cs"/>
          <w:rtl/>
        </w:rPr>
        <w:t>د، وهذا معناه انفتاح تحريم الثورة إلى عصر ظهور المهدي</w:t>
      </w:r>
      <w:r w:rsidR="00964FB0">
        <w:rPr>
          <w:rFonts w:hint="cs"/>
          <w:rtl/>
        </w:rPr>
        <w:t>ّ</w:t>
      </w:r>
      <w:r w:rsidRPr="00822CE9">
        <w:rPr>
          <w:rFonts w:hint="cs"/>
          <w:rtl/>
        </w:rPr>
        <w:t>، لا</w:t>
      </w:r>
      <w:r w:rsidR="0096424D">
        <w:rPr>
          <w:rFonts w:hint="cs"/>
          <w:rtl/>
        </w:rPr>
        <w:t xml:space="preserve"> </w:t>
      </w:r>
      <w:r w:rsidRPr="00822CE9">
        <w:rPr>
          <w:rFonts w:hint="cs"/>
          <w:rtl/>
        </w:rPr>
        <w:t>سي</w:t>
      </w:r>
      <w:r w:rsidR="0096424D">
        <w:rPr>
          <w:rFonts w:hint="cs"/>
          <w:rtl/>
        </w:rPr>
        <w:t>ّ</w:t>
      </w:r>
      <w:r w:rsidRPr="00822CE9">
        <w:rPr>
          <w:rFonts w:hint="cs"/>
          <w:rtl/>
        </w:rPr>
        <w:t>ما بقرينة ما جاء في آخر الرواية من جعل السفياني علامة، وسند الرواية تام</w:t>
      </w:r>
      <w:r w:rsidR="00964FB0">
        <w:rPr>
          <w:rFonts w:hint="cs"/>
          <w:rtl/>
        </w:rPr>
        <w:t>ّ</w:t>
      </w:r>
      <w:r w:rsidRPr="00822CE9">
        <w:rPr>
          <w:rFonts w:hint="cs"/>
          <w:rtl/>
        </w:rPr>
        <w:t xml:space="preserve"> على المشهور، كما صرّح به غير</w:t>
      </w:r>
      <w:r w:rsidR="00964FB0">
        <w:rPr>
          <w:rFonts w:hint="cs"/>
          <w:rtl/>
        </w:rPr>
        <w:t>ُ</w:t>
      </w:r>
      <w:r w:rsidRPr="00822CE9">
        <w:rPr>
          <w:rFonts w:hint="cs"/>
          <w:rtl/>
        </w:rPr>
        <w:t xml:space="preserve"> واحد.</w:t>
      </w:r>
    </w:p>
    <w:p w14:paraId="721E5A29" w14:textId="77777777" w:rsidR="000F47C4" w:rsidRPr="000F47C4" w:rsidRDefault="000F47C4" w:rsidP="000153E6">
      <w:pPr>
        <w:pStyle w:val="Heading4"/>
        <w:rPr>
          <w:rtl/>
        </w:rPr>
      </w:pPr>
      <w:bookmarkStart w:id="225" w:name="_Toc143804192"/>
      <w:bookmarkStart w:id="226" w:name="_Toc238123317"/>
      <w:r>
        <w:rPr>
          <w:rFonts w:hint="cs"/>
          <w:rtl/>
        </w:rPr>
        <w:t>حول البعد التاريخي لرواية العِ</w:t>
      </w:r>
      <w:r w:rsidRPr="000F47C4">
        <w:rPr>
          <w:rFonts w:hint="cs"/>
          <w:rtl/>
        </w:rPr>
        <w:t>يص المشهورة</w:t>
      </w:r>
      <w:r w:rsidR="005F2D24">
        <w:rPr>
          <w:rFonts w:hint="cs"/>
          <w:rtl/>
        </w:rPr>
        <w:t xml:space="preserve"> وملابسات ظهور اسم السفياني فيها</w:t>
      </w:r>
      <w:bookmarkEnd w:id="225"/>
      <w:bookmarkEnd w:id="226"/>
    </w:p>
    <w:p w14:paraId="06BD6903" w14:textId="77777777" w:rsidR="002F19CB" w:rsidRDefault="002F19CB" w:rsidP="002F19CB">
      <w:pPr>
        <w:spacing w:line="214" w:lineRule="auto"/>
        <w:rPr>
          <w:b/>
          <w:bCs/>
          <w:rtl/>
        </w:rPr>
      </w:pPr>
      <w:r w:rsidRPr="00822CE9">
        <w:rPr>
          <w:rFonts w:hint="cs"/>
          <w:b/>
          <w:bCs/>
          <w:rtl/>
        </w:rPr>
        <w:t>إلا أن</w:t>
      </w:r>
      <w:r>
        <w:rPr>
          <w:rFonts w:hint="cs"/>
          <w:b/>
          <w:bCs/>
          <w:rtl/>
        </w:rPr>
        <w:t>ّ</w:t>
      </w:r>
      <w:r w:rsidRPr="00822CE9">
        <w:rPr>
          <w:rFonts w:hint="cs"/>
          <w:b/>
          <w:bCs/>
          <w:rtl/>
        </w:rPr>
        <w:t xml:space="preserve"> الاستدلال بهذه الرواية وقع محلاً لمناقشات وردود</w:t>
      </w:r>
      <w:r>
        <w:rPr>
          <w:rFonts w:hint="cs"/>
          <w:b/>
          <w:bCs/>
          <w:rtl/>
        </w:rPr>
        <w:t>،</w:t>
      </w:r>
      <w:r w:rsidRPr="00822CE9">
        <w:rPr>
          <w:rFonts w:hint="cs"/>
          <w:b/>
          <w:bCs/>
          <w:rtl/>
        </w:rPr>
        <w:t xml:space="preserve"> أهمّها:</w:t>
      </w:r>
    </w:p>
    <w:p w14:paraId="1175C8A4" w14:textId="3C23375F" w:rsidR="000A4159" w:rsidRPr="00822CE9" w:rsidRDefault="000A4159" w:rsidP="00964FB0">
      <w:pPr>
        <w:spacing w:line="214" w:lineRule="auto"/>
        <w:rPr>
          <w:rtl/>
        </w:rPr>
      </w:pPr>
      <w:r w:rsidRPr="00822CE9">
        <w:rPr>
          <w:rFonts w:hint="cs"/>
          <w:b/>
          <w:bCs/>
          <w:rtl/>
        </w:rPr>
        <w:t>أو</w:t>
      </w:r>
      <w:r w:rsidR="00964FB0">
        <w:rPr>
          <w:rFonts w:hint="cs"/>
          <w:b/>
          <w:bCs/>
          <w:rtl/>
        </w:rPr>
        <w:t>ّ</w:t>
      </w:r>
      <w:r w:rsidRPr="00822CE9">
        <w:rPr>
          <w:rFonts w:hint="cs"/>
          <w:b/>
          <w:bCs/>
          <w:rtl/>
        </w:rPr>
        <w:t>لاً:</w:t>
      </w:r>
      <w:r w:rsidRPr="00822CE9">
        <w:rPr>
          <w:rFonts w:hint="cs"/>
          <w:rtl/>
        </w:rPr>
        <w:t xml:space="preserve"> ما ذكره الشيخ الآصفي، من أنّ الرواية ليست بصدد جعل حكم</w:t>
      </w:r>
      <w:r w:rsidR="00964FB0">
        <w:rPr>
          <w:rFonts w:hint="cs"/>
          <w:rtl/>
        </w:rPr>
        <w:t>ٍ</w:t>
      </w:r>
      <w:r w:rsidRPr="00822CE9">
        <w:rPr>
          <w:rFonts w:hint="cs"/>
          <w:rtl/>
        </w:rPr>
        <w:t xml:space="preserve"> إلهي عام ممتدّ في الزمان والمكان، وإن</w:t>
      </w:r>
      <w:r w:rsidR="00964FB0">
        <w:rPr>
          <w:rFonts w:hint="cs"/>
          <w:rtl/>
        </w:rPr>
        <w:t>ّ</w:t>
      </w:r>
      <w:r w:rsidRPr="00822CE9">
        <w:rPr>
          <w:rFonts w:hint="cs"/>
          <w:rtl/>
        </w:rPr>
        <w:t>ما تريد أن تبيّن أنّ الثورات في ذلك الزمان كانت مرفوضةً من جانب أهل البيت، فلم يكونوا يروا في الخروج مصلحةً</w:t>
      </w:r>
      <w:r w:rsidR="00964FB0">
        <w:rPr>
          <w:rFonts w:hint="cs"/>
          <w:rtl/>
        </w:rPr>
        <w:t>.</w:t>
      </w:r>
      <w:r w:rsidRPr="00822CE9">
        <w:rPr>
          <w:rFonts w:hint="cs"/>
          <w:rtl/>
        </w:rPr>
        <w:t xml:space="preserve"> والشاهد على هذا التحديد الزماني هو استخدام تعبير (اليوم) في الرواية، كقوله: «فالخارج منّا اليوم إلى أيّ شيء يدعوكم؟» وكذا: «وهو يعصينا </w:t>
      </w:r>
      <w:r w:rsidRPr="00822CE9">
        <w:rPr>
          <w:rFonts w:hint="cs"/>
          <w:rtl/>
        </w:rPr>
        <w:lastRenderedPageBreak/>
        <w:t xml:space="preserve">اليوم»، وهذا يعني أنّ التحريم آنيٌّ مرحلي حكومي، </w:t>
      </w:r>
      <w:r w:rsidR="00964FB0">
        <w:rPr>
          <w:rFonts w:hint="cs"/>
          <w:rtl/>
        </w:rPr>
        <w:t xml:space="preserve">وليس </w:t>
      </w:r>
      <w:r w:rsidRPr="00822CE9">
        <w:rPr>
          <w:rFonts w:hint="cs"/>
          <w:rtl/>
        </w:rPr>
        <w:t>إبلاغاً لحكم</w:t>
      </w:r>
      <w:r w:rsidR="00964FB0">
        <w:rPr>
          <w:rFonts w:hint="cs"/>
          <w:rtl/>
        </w:rPr>
        <w:t>ٍ</w:t>
      </w:r>
      <w:r w:rsidRPr="00822CE9">
        <w:rPr>
          <w:rFonts w:hint="cs"/>
          <w:rtl/>
        </w:rPr>
        <w:t xml:space="preserve"> إلهيّ ثابت</w:t>
      </w:r>
      <w:r w:rsidRPr="000A4159">
        <w:rPr>
          <w:rFonts w:cs="Taher"/>
          <w:vertAlign w:val="superscript"/>
          <w:rtl/>
        </w:rPr>
        <w:t>(</w:t>
      </w:r>
      <w:r w:rsidRPr="000A4159">
        <w:rPr>
          <w:rStyle w:val="FootnoteReference"/>
          <w:rFonts w:cs="Taher"/>
          <w:rtl/>
        </w:rPr>
        <w:footnoteReference w:id="369"/>
      </w:r>
      <w:r w:rsidRPr="000A4159">
        <w:rPr>
          <w:rFonts w:cs="Taher"/>
          <w:vertAlign w:val="superscript"/>
          <w:rtl/>
        </w:rPr>
        <w:t>)</w:t>
      </w:r>
      <w:r w:rsidRPr="00822CE9">
        <w:rPr>
          <w:rFonts w:hint="cs"/>
          <w:rtl/>
        </w:rPr>
        <w:t>.</w:t>
      </w:r>
    </w:p>
    <w:p w14:paraId="6E9EE4DC" w14:textId="77777777" w:rsidR="000A4159" w:rsidRPr="00822CE9" w:rsidRDefault="000A4159" w:rsidP="00964FB0">
      <w:pPr>
        <w:spacing w:line="214" w:lineRule="auto"/>
        <w:rPr>
          <w:rtl/>
        </w:rPr>
      </w:pPr>
      <w:r w:rsidRPr="00964FB0">
        <w:rPr>
          <w:rFonts w:hint="cs"/>
          <w:b/>
          <w:bCs/>
          <w:rtl/>
        </w:rPr>
        <w:t xml:space="preserve">لكن لعلّ العائق أمام رفض التأبيد الزمكاني من هذه الزاوية هو إثارة قضية السفياني في آخرها، </w:t>
      </w:r>
      <w:r w:rsidRPr="00822CE9">
        <w:rPr>
          <w:rFonts w:hint="cs"/>
          <w:rtl/>
        </w:rPr>
        <w:t>وهي قضيّة مرتبطة بالإمام المهدي كما هو المعروف في المرويّات الشيعي</w:t>
      </w:r>
      <w:r w:rsidR="00964FB0">
        <w:rPr>
          <w:rFonts w:hint="cs"/>
          <w:rtl/>
        </w:rPr>
        <w:t>ّ</w:t>
      </w:r>
      <w:r w:rsidRPr="00822CE9">
        <w:rPr>
          <w:rFonts w:hint="cs"/>
          <w:rtl/>
        </w:rPr>
        <w:t xml:space="preserve">ة، وهذا معناه أنّ </w:t>
      </w:r>
      <w:r w:rsidR="00964FB0">
        <w:rPr>
          <w:rFonts w:cs="Cambria" w:hint="cs"/>
          <w:rtl/>
        </w:rPr>
        <w:t>"</w:t>
      </w:r>
      <w:r w:rsidRPr="00822CE9">
        <w:rPr>
          <w:rFonts w:hint="cs"/>
          <w:rtl/>
        </w:rPr>
        <w:t>صاحبكم</w:t>
      </w:r>
      <w:r w:rsidR="00964FB0">
        <w:rPr>
          <w:rFonts w:cs="Cambria" w:hint="cs"/>
          <w:rtl/>
        </w:rPr>
        <w:t>"</w:t>
      </w:r>
      <w:r w:rsidRPr="00822CE9">
        <w:rPr>
          <w:rFonts w:hint="cs"/>
          <w:rtl/>
        </w:rPr>
        <w:t xml:space="preserve"> هو المهدي</w:t>
      </w:r>
      <w:r w:rsidR="00964FB0">
        <w:rPr>
          <w:rFonts w:hint="cs"/>
          <w:rtl/>
        </w:rPr>
        <w:t>ّ</w:t>
      </w:r>
      <w:r w:rsidRPr="00822CE9">
        <w:rPr>
          <w:rFonts w:hint="cs"/>
          <w:rtl/>
        </w:rPr>
        <w:t>، وأن</w:t>
      </w:r>
      <w:r w:rsidR="00964FB0">
        <w:rPr>
          <w:rFonts w:hint="cs"/>
          <w:rtl/>
        </w:rPr>
        <w:t>ّ</w:t>
      </w:r>
      <w:r w:rsidRPr="00822CE9">
        <w:rPr>
          <w:rFonts w:hint="cs"/>
          <w:rtl/>
        </w:rPr>
        <w:t>ه سوف يظهر في شهر رمضان أو بُعيده، وأنّ بالإمكان التهي</w:t>
      </w:r>
      <w:r w:rsidR="00964FB0">
        <w:rPr>
          <w:rFonts w:hint="cs"/>
          <w:rtl/>
        </w:rPr>
        <w:t>ّ</w:t>
      </w:r>
      <w:r w:rsidRPr="00822CE9">
        <w:rPr>
          <w:rFonts w:hint="cs"/>
          <w:rtl/>
        </w:rPr>
        <w:t>ؤ له من رجب بالتوجّه إلى مكان خروجه ـ وهو مكّة على المعروف ـ منذ رجب، أو التأخير والصيام في أهلهم إلى رمضان، فيكون ذكر السفياني مشيراً إلى أنّ الاستثناء الوحيد في الرواية هو ثورة المهدي لا غير، وهذا ما يجعل الرواية ممتدّة زماني</w:t>
      </w:r>
      <w:r w:rsidR="00964FB0">
        <w:rPr>
          <w:rFonts w:hint="cs"/>
          <w:rtl/>
        </w:rPr>
        <w:t>ّ</w:t>
      </w:r>
      <w:r w:rsidRPr="00822CE9">
        <w:rPr>
          <w:rFonts w:hint="cs"/>
          <w:rtl/>
        </w:rPr>
        <w:t>اً إلى عصره، وإلا فلماذا جاء الحديث عنه في آخر الرواية؟!</w:t>
      </w:r>
    </w:p>
    <w:p w14:paraId="60BECF58" w14:textId="77777777" w:rsidR="000A4159" w:rsidRPr="00822CE9" w:rsidRDefault="00964FB0" w:rsidP="00964FB0">
      <w:pPr>
        <w:spacing w:line="214" w:lineRule="auto"/>
        <w:rPr>
          <w:rtl/>
        </w:rPr>
      </w:pPr>
      <w:r w:rsidRPr="0096424D">
        <w:rPr>
          <w:rFonts w:hint="cs"/>
          <w:b/>
          <w:bCs/>
          <w:rtl/>
        </w:rPr>
        <w:t xml:space="preserve">لكن </w:t>
      </w:r>
      <w:r w:rsidR="000A4159" w:rsidRPr="0096424D">
        <w:rPr>
          <w:rFonts w:hint="cs"/>
          <w:b/>
          <w:bCs/>
          <w:rtl/>
        </w:rPr>
        <w:t xml:space="preserve">احتمل العلامة المجلسي (1111هـ) </w:t>
      </w:r>
      <w:r w:rsidRPr="0096424D">
        <w:rPr>
          <w:rFonts w:hint="cs"/>
          <w:b/>
          <w:bCs/>
          <w:rtl/>
        </w:rPr>
        <w:t>أ</w:t>
      </w:r>
      <w:r w:rsidR="000A4159" w:rsidRPr="0096424D">
        <w:rPr>
          <w:rFonts w:hint="cs"/>
          <w:b/>
          <w:bCs/>
          <w:rtl/>
        </w:rPr>
        <w:t>ن يكون المراد من آخر الرواية</w:t>
      </w:r>
      <w:r w:rsidR="000A4159" w:rsidRPr="00822CE9">
        <w:rPr>
          <w:rFonts w:hint="cs"/>
          <w:rtl/>
        </w:rPr>
        <w:t xml:space="preserve"> أن</w:t>
      </w:r>
      <w:r>
        <w:rPr>
          <w:rFonts w:hint="cs"/>
          <w:rtl/>
        </w:rPr>
        <w:t>ّ</w:t>
      </w:r>
      <w:r w:rsidR="000A4159" w:rsidRPr="00822CE9">
        <w:rPr>
          <w:rFonts w:hint="cs"/>
          <w:rtl/>
        </w:rPr>
        <w:t>ه</w:t>
      </w:r>
      <w:r>
        <w:rPr>
          <w:rFonts w:hint="cs"/>
          <w:rtl/>
        </w:rPr>
        <w:t>×</w:t>
      </w:r>
      <w:r w:rsidR="000A4159" w:rsidRPr="00822CE9">
        <w:rPr>
          <w:rFonts w:hint="cs"/>
          <w:rtl/>
        </w:rPr>
        <w:t xml:space="preserve"> يحث</w:t>
      </w:r>
      <w:r>
        <w:rPr>
          <w:rFonts w:hint="cs"/>
          <w:rtl/>
        </w:rPr>
        <w:t>ّ</w:t>
      </w:r>
      <w:r w:rsidR="000A4159" w:rsidRPr="00822CE9">
        <w:rPr>
          <w:rFonts w:hint="cs"/>
          <w:rtl/>
        </w:rPr>
        <w:t>هم على المجيء إليه في موسم الحج</w:t>
      </w:r>
      <w:r>
        <w:rPr>
          <w:rFonts w:hint="cs"/>
          <w:rtl/>
        </w:rPr>
        <w:t>ّ</w:t>
      </w:r>
      <w:r w:rsidR="000A4159" w:rsidRPr="00822CE9">
        <w:rPr>
          <w:rFonts w:hint="cs"/>
          <w:rtl/>
        </w:rPr>
        <w:t xml:space="preserve"> كي يلتقوه ويستفيدوا بعلمه، بدل التهالك على الثورات والقتال، لكنّه جعل هذا الاحتمال بعيداً</w:t>
      </w:r>
      <w:r w:rsidR="000A4159" w:rsidRPr="000A4159">
        <w:rPr>
          <w:rFonts w:cs="Taher"/>
          <w:vertAlign w:val="superscript"/>
          <w:rtl/>
        </w:rPr>
        <w:t>(</w:t>
      </w:r>
      <w:r w:rsidR="000A4159" w:rsidRPr="000A4159">
        <w:rPr>
          <w:rStyle w:val="FootnoteReference"/>
          <w:rFonts w:cs="Taher"/>
          <w:rtl/>
        </w:rPr>
        <w:footnoteReference w:id="370"/>
      </w:r>
      <w:r w:rsidR="000A4159" w:rsidRPr="000A4159">
        <w:rPr>
          <w:rFonts w:cs="Taher"/>
          <w:vertAlign w:val="superscript"/>
          <w:rtl/>
        </w:rPr>
        <w:t>)</w:t>
      </w:r>
      <w:r w:rsidR="000A4159" w:rsidRPr="00822CE9">
        <w:rPr>
          <w:rtl/>
        </w:rPr>
        <w:t xml:space="preserve">، </w:t>
      </w:r>
      <w:r w:rsidR="000A4159" w:rsidRPr="00822CE9">
        <w:rPr>
          <w:rFonts w:hint="cs"/>
          <w:rtl/>
        </w:rPr>
        <w:t>وهذا البُعد في محلّه بملاحظة ما قبل هذا المقطع وبعده، خاصّةً في مثل السفياني.</w:t>
      </w:r>
    </w:p>
    <w:p w14:paraId="132553E4" w14:textId="77777777" w:rsidR="000A4159" w:rsidRPr="00822CE9" w:rsidRDefault="000A4159" w:rsidP="00A079D6">
      <w:pPr>
        <w:spacing w:line="214" w:lineRule="auto"/>
        <w:rPr>
          <w:rtl/>
        </w:rPr>
      </w:pPr>
      <w:r w:rsidRPr="00822CE9">
        <w:rPr>
          <w:rFonts w:hint="cs"/>
          <w:rtl/>
        </w:rPr>
        <w:t>ومن هذا المنطلق، لا يكون تعبير «اليوم» المتكرّر مرّتين في الرواية حاصراً لمفادها بتلك المرحلة، أي مرحلة نهايات الدولة الأموي</w:t>
      </w:r>
      <w:r w:rsidR="00964FB0">
        <w:rPr>
          <w:rFonts w:hint="cs"/>
          <w:rtl/>
        </w:rPr>
        <w:t>ّ</w:t>
      </w:r>
      <w:r w:rsidRPr="00822CE9">
        <w:rPr>
          <w:rFonts w:hint="cs"/>
          <w:rtl/>
        </w:rPr>
        <w:t>ة وبدايات الدولة العباسي</w:t>
      </w:r>
      <w:r w:rsidR="00964FB0">
        <w:rPr>
          <w:rFonts w:hint="cs"/>
          <w:rtl/>
        </w:rPr>
        <w:t>ّ</w:t>
      </w:r>
      <w:r w:rsidRPr="00822CE9">
        <w:rPr>
          <w:rFonts w:hint="cs"/>
          <w:rtl/>
        </w:rPr>
        <w:t>ة؛ إذ يمكن أن يقال: إنّ تعبير (اليوم) تطبيقٌ لقضي</w:t>
      </w:r>
      <w:r w:rsidR="00964FB0">
        <w:rPr>
          <w:rFonts w:hint="cs"/>
          <w:rtl/>
        </w:rPr>
        <w:t>ّ</w:t>
      </w:r>
      <w:r w:rsidRPr="00822CE9">
        <w:rPr>
          <w:rFonts w:hint="cs"/>
          <w:rtl/>
        </w:rPr>
        <w:t>ة عامة على ذلك الزمان آنذاك، وهذه القضيّة العامّة هي حرمة الخروج منذ حادثة زيد إلى عصر ظهور الإمام المهدي، وعدم رضا أهل البيت آنذاك ليس لخصوصي</w:t>
      </w:r>
      <w:r w:rsidR="00964FB0">
        <w:rPr>
          <w:rFonts w:hint="cs"/>
          <w:rtl/>
        </w:rPr>
        <w:t>ّ</w:t>
      </w:r>
      <w:r w:rsidRPr="00822CE9">
        <w:rPr>
          <w:rFonts w:hint="cs"/>
          <w:rtl/>
        </w:rPr>
        <w:t>ات مرحلة معيّنة، بل لأخذهم بهذا القانون العام.</w:t>
      </w:r>
      <w:r w:rsidR="00A551D0">
        <w:rPr>
          <w:rFonts w:hint="cs"/>
          <w:rtl/>
        </w:rPr>
        <w:t xml:space="preserve"> وسيأتي ما له علاقة بهذه القضيّة، فانتظر.</w:t>
      </w:r>
    </w:p>
    <w:p w14:paraId="1A0FFB0B" w14:textId="77777777" w:rsidR="000A4159" w:rsidRPr="00822CE9" w:rsidRDefault="000A4159" w:rsidP="000E47B2">
      <w:pPr>
        <w:pStyle w:val="normal870"/>
        <w:rPr>
          <w:rtl/>
        </w:rPr>
      </w:pPr>
      <w:r w:rsidRPr="00822CE9">
        <w:rPr>
          <w:rFonts w:hint="cs"/>
          <w:b/>
          <w:bCs/>
          <w:rtl/>
        </w:rPr>
        <w:t>ثانياً:</w:t>
      </w:r>
      <w:r w:rsidRPr="00822CE9">
        <w:rPr>
          <w:rFonts w:hint="cs"/>
          <w:rtl/>
        </w:rPr>
        <w:t xml:space="preserve"> ما ذكره الشيخ المنتظري، من أنّ الرواية ليست بصدد إصدار قرار حظر على تمام الثورات، وإن</w:t>
      </w:r>
      <w:r w:rsidR="0040489D">
        <w:rPr>
          <w:rFonts w:hint="cs"/>
          <w:rtl/>
        </w:rPr>
        <w:t>ّ</w:t>
      </w:r>
      <w:r w:rsidRPr="00822CE9">
        <w:rPr>
          <w:rFonts w:hint="cs"/>
          <w:rtl/>
        </w:rPr>
        <w:t>ما هي بصدد الإشارة إلى وجود تمييز بين نوعين منها؛ فبعض الثورات كان يهدف إعادة أمور السلطة والحكم إلى نصابها، مثل ثورة الإمام زيد، وقد كان مرضياً ومقبولاً من جانب أهل البيت، أم</w:t>
      </w:r>
      <w:r w:rsidR="0040489D">
        <w:rPr>
          <w:rFonts w:hint="cs"/>
          <w:rtl/>
        </w:rPr>
        <w:t>ّ</w:t>
      </w:r>
      <w:r w:rsidRPr="00822CE9">
        <w:rPr>
          <w:rFonts w:hint="cs"/>
          <w:rtl/>
        </w:rPr>
        <w:t xml:space="preserve">ا بعض الثورات الأخرى فلم يكن حالها كذلك؛ لهذا نهت الرواية عن الانجرار </w:t>
      </w:r>
      <w:r w:rsidRPr="00822CE9">
        <w:rPr>
          <w:rFonts w:hint="cs"/>
          <w:rtl/>
        </w:rPr>
        <w:lastRenderedPageBreak/>
        <w:t>خلف دعوات الثورة بلا دراية، وحث</w:t>
      </w:r>
      <w:r w:rsidR="005F2D24">
        <w:rPr>
          <w:rFonts w:hint="cs"/>
          <w:rtl/>
        </w:rPr>
        <w:t>ّ</w:t>
      </w:r>
      <w:r w:rsidRPr="00822CE9">
        <w:rPr>
          <w:rFonts w:hint="cs"/>
          <w:rtl/>
        </w:rPr>
        <w:t>ت في مطلعها على التمييز بين الثورات وأهدافها والقيّمين عليها، فإذا كانوا مثل زيد بن علي علماءَ صدوقين يطلبون الرضا من آل محمد أمكن الخروج معهم، وإلا فلا تخرجوا مع أحد إلى أن يظهر الإمام المهدي</w:t>
      </w:r>
      <w:r w:rsidRPr="000A4159">
        <w:rPr>
          <w:rFonts w:cs="Taher"/>
          <w:vertAlign w:val="superscript"/>
          <w:rtl/>
        </w:rPr>
        <w:t>(</w:t>
      </w:r>
      <w:r w:rsidRPr="000A4159">
        <w:rPr>
          <w:rStyle w:val="FootnoteReference"/>
          <w:rFonts w:cs="Taher"/>
          <w:rtl/>
        </w:rPr>
        <w:footnoteReference w:id="371"/>
      </w:r>
      <w:r w:rsidRPr="000A4159">
        <w:rPr>
          <w:rFonts w:cs="Taher"/>
          <w:vertAlign w:val="superscript"/>
          <w:rtl/>
        </w:rPr>
        <w:t>)</w:t>
      </w:r>
      <w:r w:rsidRPr="00822CE9">
        <w:rPr>
          <w:rFonts w:hint="cs"/>
          <w:rtl/>
        </w:rPr>
        <w:t>.</w:t>
      </w:r>
    </w:p>
    <w:p w14:paraId="721E84B9" w14:textId="77777777" w:rsidR="000A4159" w:rsidRPr="00822CE9" w:rsidRDefault="000A4159" w:rsidP="000E47B2">
      <w:pPr>
        <w:pStyle w:val="normal870"/>
        <w:rPr>
          <w:rtl/>
        </w:rPr>
      </w:pPr>
      <w:r w:rsidRPr="00822CE9">
        <w:rPr>
          <w:rFonts w:hint="cs"/>
          <w:b/>
          <w:bCs/>
          <w:rtl/>
        </w:rPr>
        <w:t>ثالثاً:</w:t>
      </w:r>
      <w:r w:rsidRPr="00822CE9">
        <w:rPr>
          <w:rFonts w:hint="cs"/>
          <w:rtl/>
        </w:rPr>
        <w:t xml:space="preserve"> ما ذكره السيد </w:t>
      </w:r>
      <w:r w:rsidR="0040489D">
        <w:rPr>
          <w:rFonts w:hint="cs"/>
          <w:rtl/>
        </w:rPr>
        <w:t xml:space="preserve">كاظم </w:t>
      </w:r>
      <w:r w:rsidRPr="00822CE9">
        <w:rPr>
          <w:rFonts w:hint="cs"/>
          <w:rtl/>
        </w:rPr>
        <w:t>الحائري، من أنّ هذه الرواية لا تنظر إلى عصر الغيبة، بل تلاحظ عصر الحضور، بمعنى أن</w:t>
      </w:r>
      <w:r w:rsidR="0040489D">
        <w:rPr>
          <w:rFonts w:hint="cs"/>
          <w:rtl/>
        </w:rPr>
        <w:t>ّ</w:t>
      </w:r>
      <w:r w:rsidRPr="00822CE9">
        <w:rPr>
          <w:rFonts w:hint="cs"/>
          <w:rtl/>
        </w:rPr>
        <w:t>ها تتحدّث عن ثورات تخرج بادّعاء الإمامة أو بادّعاء تسليم الأمر إلى الإمام الحقّ، فإن</w:t>
      </w:r>
      <w:r w:rsidR="0040489D">
        <w:rPr>
          <w:rFonts w:hint="cs"/>
          <w:rtl/>
        </w:rPr>
        <w:t>ّ</w:t>
      </w:r>
      <w:r w:rsidRPr="00822CE9">
        <w:rPr>
          <w:rFonts w:hint="cs"/>
          <w:rtl/>
        </w:rPr>
        <w:t xml:space="preserve"> كلمة: «الخارج منّا اليوم» تشير إلى أنّ هذا الثائر هو واحد من أهل البيت بالمعنى الذي يستوعب البيت العلوي، كما أنّ إرداف الحديث هذا الأمر بإعلان عدم رضا الأئم</w:t>
      </w:r>
      <w:r w:rsidR="0040489D">
        <w:rPr>
          <w:rFonts w:hint="cs"/>
          <w:rtl/>
        </w:rPr>
        <w:t>ّ</w:t>
      </w:r>
      <w:r w:rsidRPr="00822CE9">
        <w:rPr>
          <w:rFonts w:hint="cs"/>
          <w:rtl/>
        </w:rPr>
        <w:t>ة بثورته إن</w:t>
      </w:r>
      <w:r w:rsidR="0040489D">
        <w:rPr>
          <w:rFonts w:hint="cs"/>
          <w:rtl/>
        </w:rPr>
        <w:t>ّ</w:t>
      </w:r>
      <w:r w:rsidRPr="00822CE9">
        <w:rPr>
          <w:rFonts w:hint="cs"/>
          <w:rtl/>
        </w:rPr>
        <w:t>ما هو لسحب بساط الشرعي</w:t>
      </w:r>
      <w:r w:rsidR="0040489D">
        <w:rPr>
          <w:rFonts w:hint="cs"/>
          <w:rtl/>
        </w:rPr>
        <w:t>ّ</w:t>
      </w:r>
      <w:r w:rsidRPr="00822CE9">
        <w:rPr>
          <w:rFonts w:hint="cs"/>
          <w:rtl/>
        </w:rPr>
        <w:t>ة منه، فإذا كان الثائر يزعم أنّه يثور لنا فنحن نعلن الرفض كي تبطل حجّته المزعومة هذه. وهذا السياق لا يشمل وقوع ثورة في عصر الغيبة؛ لأنّ الثورة التي تقع في عصر الغيبة لا تهدف تسليم السلطة للإمام المعصوم وما شابه ذلك، فتكون الرواية ـ حيث لا تحوي جملةً ذات إطلاق ـ خاصّةً بعصر الحضور</w:t>
      </w:r>
      <w:r w:rsidRPr="000A4159">
        <w:rPr>
          <w:rFonts w:cs="Taher"/>
          <w:vertAlign w:val="superscript"/>
          <w:rtl/>
        </w:rPr>
        <w:t>(</w:t>
      </w:r>
      <w:r w:rsidRPr="000A4159">
        <w:rPr>
          <w:rStyle w:val="FootnoteReference"/>
          <w:rFonts w:cs="Taher"/>
          <w:rtl/>
        </w:rPr>
        <w:footnoteReference w:id="372"/>
      </w:r>
      <w:r w:rsidRPr="000A4159">
        <w:rPr>
          <w:rFonts w:cs="Taher"/>
          <w:vertAlign w:val="superscript"/>
          <w:rtl/>
        </w:rPr>
        <w:t>)</w:t>
      </w:r>
      <w:r w:rsidRPr="00822CE9">
        <w:rPr>
          <w:rtl/>
        </w:rPr>
        <w:t xml:space="preserve">، </w:t>
      </w:r>
      <w:r w:rsidRPr="00822CE9">
        <w:rPr>
          <w:rFonts w:hint="cs"/>
          <w:rtl/>
        </w:rPr>
        <w:t>وربما لهذا جاء ذكر السفياني في آخرها في إشارة إلى أنّ ثورات عصر الحضور قد انتهت إلى عصر المهدي بن الحسن العسكري.</w:t>
      </w:r>
    </w:p>
    <w:p w14:paraId="17D6A219" w14:textId="77777777" w:rsidR="000A4159" w:rsidRPr="00822CE9" w:rsidRDefault="000A4159" w:rsidP="00714F90">
      <w:pPr>
        <w:spacing w:line="214" w:lineRule="auto"/>
        <w:rPr>
          <w:rtl/>
        </w:rPr>
      </w:pPr>
      <w:r w:rsidRPr="00822CE9">
        <w:rPr>
          <w:rFonts w:hint="cs"/>
          <w:b/>
          <w:bCs/>
          <w:rtl/>
        </w:rPr>
        <w:t>رابعاً:</w:t>
      </w:r>
      <w:r w:rsidRPr="00822CE9">
        <w:rPr>
          <w:rFonts w:hint="cs"/>
          <w:rtl/>
        </w:rPr>
        <w:t xml:space="preserve"> ما نجده مؤكّداً للإشكالي</w:t>
      </w:r>
      <w:r w:rsidR="0040489D">
        <w:rPr>
          <w:rFonts w:hint="cs"/>
          <w:rtl/>
        </w:rPr>
        <w:t>ّ</w:t>
      </w:r>
      <w:r w:rsidRPr="00822CE9">
        <w:rPr>
          <w:rFonts w:hint="cs"/>
          <w:rtl/>
        </w:rPr>
        <w:t xml:space="preserve">ات السابقة، وهو أنّ الذي يبدو من مطالعة الرواية هو تأكيد عدم كونها قانوناً عاماً؛ لا </w:t>
      </w:r>
      <w:r w:rsidR="00A551D0">
        <w:rPr>
          <w:rFonts w:hint="cs"/>
          <w:rtl/>
        </w:rPr>
        <w:t xml:space="preserve">فقط </w:t>
      </w:r>
      <w:r w:rsidRPr="00822CE9">
        <w:rPr>
          <w:rFonts w:hint="cs"/>
          <w:rtl/>
        </w:rPr>
        <w:t xml:space="preserve">لأجل كلمة (اليوم)، بل لروح ما في الملاحظة الثانية والثالثة، بإضافة أنّ الرواية منذ بدايتها وحتى حديثها عما يرتبط بالمهدي في آخرها، واضحةٌ جداً في كونها تتحدّث عن واقع قائم آنذاك؛ فإذا كان الموضوع هو حرمة مطلق الخروج إلى قيام المهدي، فلماذا تحدّثت الرواية في أغلبها عن لزوم النظر على أيّ شيء نخرج ولماذا؟ ولماذا عندما استثنت ثورة زيد جعلت معيار الاستثناء هو كونه صدوقاً عالماً يريد تسليم الأمر لأهله، مع أنه إذا كان الاستثناء على أساس أنّه بعد ثورة زيد يوجد تحريم مطلق، بقطع النظر عن نيّة قائد الثورة أو ميزاته الشخصية، لكان المفترض في سياق التعليل الذي يميّز موقفنا من ثورة زيد عن موقفنا من غيرها، أن يكون بأنّ الله حرّم عليكم بعد زيد الثورة إلى عصر الإمام المهدي، فهذا السياق الحاكم في الرواية يقف كلّه في عكس ما يريده هذا التفسير التأبيدي لها، وحينئذ فمجيء الحديث </w:t>
      </w:r>
      <w:r w:rsidRPr="00822CE9">
        <w:rPr>
          <w:rFonts w:hint="cs"/>
          <w:rtl/>
        </w:rPr>
        <w:lastRenderedPageBreak/>
        <w:t xml:space="preserve">عن السفياني في آخرها لا يهدم هذا الظهور الواضح فيها في معايير رفض الثورات، ولا أقلّ من احتمال </w:t>
      </w:r>
      <w:r w:rsidR="00A551D0">
        <w:rPr>
          <w:rFonts w:hint="cs"/>
          <w:rtl/>
        </w:rPr>
        <w:t xml:space="preserve">قويّ في </w:t>
      </w:r>
      <w:r w:rsidRPr="00822CE9">
        <w:rPr>
          <w:rFonts w:hint="cs"/>
          <w:rtl/>
        </w:rPr>
        <w:t>أنّ الرواية إنّما أثارت موضوع السفياني في مقابل الحركات التي قيل: إنها ادّعت المهدوية في عصر الإمام الصادق، مثل حركة محمد بن عبد الله المحض</w:t>
      </w:r>
      <w:r w:rsidR="00595ACF">
        <w:rPr>
          <w:rFonts w:hint="cs"/>
          <w:rtl/>
        </w:rPr>
        <w:t xml:space="preserve"> (145هـ)</w:t>
      </w:r>
      <w:r w:rsidRPr="00822CE9">
        <w:rPr>
          <w:rFonts w:hint="cs"/>
          <w:rtl/>
        </w:rPr>
        <w:t>، كما تشير بعض النصوص التاريخي</w:t>
      </w:r>
      <w:r w:rsidR="0040489D">
        <w:rPr>
          <w:rFonts w:hint="cs"/>
          <w:rtl/>
        </w:rPr>
        <w:t>ّ</w:t>
      </w:r>
      <w:r w:rsidRPr="00822CE9">
        <w:rPr>
          <w:rFonts w:hint="cs"/>
          <w:rtl/>
        </w:rPr>
        <w:t xml:space="preserve">ة، </w:t>
      </w:r>
      <w:r w:rsidR="00A551D0">
        <w:rPr>
          <w:rFonts w:hint="cs"/>
          <w:rtl/>
        </w:rPr>
        <w:t xml:space="preserve">فتكون الإشارة للسفياني في سياق أنّ من يدّعي المهدويّة في تلك الفترة لا تصدّقوه ما لم تكن العلامة المركزيّة قد وقعت، وهي خروج السفياني، </w:t>
      </w:r>
      <w:r w:rsidR="00714F90">
        <w:rPr>
          <w:rFonts w:hint="cs"/>
          <w:rtl/>
        </w:rPr>
        <w:t xml:space="preserve">وبخاصّة أنّ تعبير "صاحبكم" منصرفٌ ـ في الأدبيّات الراجعة للمهدويّة وآخر الزمان ـ إلى المهديّ المنتظر، </w:t>
      </w:r>
      <w:r w:rsidR="00A551D0">
        <w:rPr>
          <w:rFonts w:hint="cs"/>
          <w:rtl/>
        </w:rPr>
        <w:t xml:space="preserve">فالسفياني هنا ذُكر في سياق مواجهة دعاوى المهدويّة لا في سياق الحديث عن آخر الزمان وما بعد الغيبة الكبرى. </w:t>
      </w:r>
      <w:r w:rsidRPr="00822CE9">
        <w:rPr>
          <w:rFonts w:hint="cs"/>
          <w:rtl/>
        </w:rPr>
        <w:t xml:space="preserve">ولا أقلّ من أنّ الرواية إذا لم يكن الاستنتاج النهائي فيها لصالح ما قلناه، فالإجمال فيها هو المحكّم؛ حيث يتعارض ظهور الذيل مع ظهور الصدر، فتغدو مجملةً من هذه الناحية، فلا يستند إليها هنا، </w:t>
      </w:r>
      <w:r w:rsidR="0040489D">
        <w:rPr>
          <w:rFonts w:hint="cs"/>
          <w:rtl/>
        </w:rPr>
        <w:t xml:space="preserve">وبخاصّة </w:t>
      </w:r>
      <w:r w:rsidRPr="00822CE9">
        <w:rPr>
          <w:rFonts w:hint="cs"/>
          <w:rtl/>
        </w:rPr>
        <w:t>أنّ المقطع الأخير من الرواية الذي يتحدّث عن السفياني وإن ورد في الكافي إلا أنّه لم يرد في نقل الشيخ الصدوق لهذه الرواية في علل الشرائع، ف</w:t>
      </w:r>
      <w:r w:rsidR="0040489D">
        <w:rPr>
          <w:rFonts w:hint="cs"/>
          <w:rtl/>
        </w:rPr>
        <w:t>يكون في الحديث نوع عُلّةٍ، ف</w:t>
      </w:r>
      <w:r w:rsidRPr="00822CE9">
        <w:rPr>
          <w:rFonts w:hint="cs"/>
          <w:rtl/>
        </w:rPr>
        <w:t>لي</w:t>
      </w:r>
      <w:r w:rsidR="0040489D">
        <w:rPr>
          <w:rFonts w:hint="cs"/>
          <w:rtl/>
        </w:rPr>
        <w:t>ُ</w:t>
      </w:r>
      <w:r w:rsidRPr="00822CE9">
        <w:rPr>
          <w:rFonts w:hint="cs"/>
          <w:rtl/>
        </w:rPr>
        <w:t>لاحظ.</w:t>
      </w:r>
    </w:p>
    <w:p w14:paraId="20155A59" w14:textId="77777777" w:rsidR="000A4159" w:rsidRPr="00822CE9" w:rsidRDefault="000A4159" w:rsidP="00A079D6">
      <w:pPr>
        <w:spacing w:line="214" w:lineRule="auto"/>
        <w:rPr>
          <w:rtl/>
        </w:rPr>
      </w:pPr>
      <w:r w:rsidRPr="00822CE9">
        <w:rPr>
          <w:rFonts w:hint="cs"/>
          <w:rtl/>
        </w:rPr>
        <w:t>يضاف إلى ذلك أنّ هذه الرواية الدالّة على دع</w:t>
      </w:r>
      <w:r w:rsidR="0040489D">
        <w:rPr>
          <w:rFonts w:hint="cs"/>
          <w:rtl/>
        </w:rPr>
        <w:t>م حركة زيد تعارضها أخبار أخر تق</w:t>
      </w:r>
      <w:r w:rsidRPr="00822CE9">
        <w:rPr>
          <w:rFonts w:hint="cs"/>
          <w:rtl/>
        </w:rPr>
        <w:t>د</w:t>
      </w:r>
      <w:r w:rsidR="0040489D">
        <w:rPr>
          <w:rFonts w:hint="cs"/>
          <w:rtl/>
        </w:rPr>
        <w:t>ّ</w:t>
      </w:r>
      <w:r w:rsidRPr="00822CE9">
        <w:rPr>
          <w:rFonts w:hint="cs"/>
          <w:rtl/>
        </w:rPr>
        <w:t>م الحديث عنها سابقاً عند ال</w:t>
      </w:r>
      <w:r w:rsidR="0040489D">
        <w:rPr>
          <w:rFonts w:hint="cs"/>
          <w:rtl/>
        </w:rPr>
        <w:t>بحث عن ثورة زيد، الأمر الذي يُضعِ</w:t>
      </w:r>
      <w:r w:rsidRPr="00822CE9">
        <w:rPr>
          <w:rFonts w:hint="cs"/>
          <w:rtl/>
        </w:rPr>
        <w:t>ف</w:t>
      </w:r>
      <w:r w:rsidR="0040489D">
        <w:rPr>
          <w:rFonts w:hint="cs"/>
          <w:rtl/>
        </w:rPr>
        <w:t>ُ</w:t>
      </w:r>
      <w:r w:rsidRPr="00822CE9">
        <w:rPr>
          <w:rFonts w:hint="cs"/>
          <w:rtl/>
        </w:rPr>
        <w:t xml:space="preserve"> الوثوق بها.</w:t>
      </w:r>
    </w:p>
    <w:p w14:paraId="6E37C3D3" w14:textId="77777777" w:rsidR="000A4159" w:rsidRPr="00822CE9" w:rsidRDefault="000A4159" w:rsidP="00A079D6">
      <w:pPr>
        <w:spacing w:line="214" w:lineRule="auto"/>
        <w:rPr>
          <w:rtl/>
        </w:rPr>
      </w:pPr>
      <w:r w:rsidRPr="00822CE9">
        <w:rPr>
          <w:rFonts w:hint="cs"/>
          <w:b/>
          <w:bCs/>
          <w:rtl/>
        </w:rPr>
        <w:t>ونتيجة الكلام:</w:t>
      </w:r>
      <w:r w:rsidRPr="00822CE9">
        <w:rPr>
          <w:rFonts w:hint="cs"/>
          <w:rtl/>
        </w:rPr>
        <w:t xml:space="preserve"> إنّ الرواية غير واضحة في إصدار تحريم مطلق مؤبّد للثورة حتى ظهور الإمام المهدي.</w:t>
      </w:r>
    </w:p>
    <w:p w14:paraId="6C605808" w14:textId="77777777" w:rsidR="000A4159" w:rsidRPr="00822CE9" w:rsidRDefault="0040489D" w:rsidP="00714F90">
      <w:pPr>
        <w:spacing w:line="214" w:lineRule="auto"/>
        <w:rPr>
          <w:rtl/>
        </w:rPr>
      </w:pPr>
      <w:r>
        <w:rPr>
          <w:rFonts w:hint="cs"/>
          <w:b/>
          <w:bCs/>
          <w:rtl/>
        </w:rPr>
        <w:t xml:space="preserve">الرواية الثانية: </w:t>
      </w:r>
      <w:r w:rsidR="000A4159" w:rsidRPr="00822CE9">
        <w:rPr>
          <w:rFonts w:hint="cs"/>
          <w:b/>
          <w:bCs/>
          <w:rtl/>
        </w:rPr>
        <w:t>خبر س</w:t>
      </w:r>
      <w:r>
        <w:rPr>
          <w:rFonts w:hint="cs"/>
          <w:b/>
          <w:bCs/>
          <w:rtl/>
        </w:rPr>
        <w:t>َ</w:t>
      </w:r>
      <w:r w:rsidR="000A4159" w:rsidRPr="00822CE9">
        <w:rPr>
          <w:rFonts w:hint="cs"/>
          <w:b/>
          <w:bCs/>
          <w:rtl/>
        </w:rPr>
        <w:t>دير،</w:t>
      </w:r>
      <w:r w:rsidR="000A4159" w:rsidRPr="00822CE9">
        <w:rPr>
          <w:rFonts w:hint="cs"/>
          <w:rtl/>
        </w:rPr>
        <w:t xml:space="preserve"> قال: قال أبو عبد الله</w:t>
      </w:r>
      <w:r>
        <w:rPr>
          <w:rFonts w:hint="cs"/>
          <w:rtl/>
        </w:rPr>
        <w:t>×</w:t>
      </w:r>
      <w:r w:rsidR="000A4159" w:rsidRPr="00822CE9">
        <w:rPr>
          <w:rFonts w:hint="cs"/>
          <w:rtl/>
        </w:rPr>
        <w:t>: «يا س</w:t>
      </w:r>
      <w:r w:rsidR="00595ACF">
        <w:rPr>
          <w:rFonts w:hint="cs"/>
          <w:rtl/>
        </w:rPr>
        <w:t>َ</w:t>
      </w:r>
      <w:r w:rsidR="000A4159" w:rsidRPr="00822CE9">
        <w:rPr>
          <w:rFonts w:hint="cs"/>
          <w:rtl/>
        </w:rPr>
        <w:t>دير، إلزم بيتك وكن ح</w:t>
      </w:r>
      <w:r w:rsidR="00595ACF">
        <w:rPr>
          <w:rFonts w:hint="cs"/>
          <w:rtl/>
        </w:rPr>
        <w:t>ِ</w:t>
      </w:r>
      <w:r w:rsidR="000A4159" w:rsidRPr="00822CE9">
        <w:rPr>
          <w:rFonts w:hint="cs"/>
          <w:rtl/>
        </w:rPr>
        <w:t>ل</w:t>
      </w:r>
      <w:r w:rsidR="00595ACF">
        <w:rPr>
          <w:rFonts w:hint="cs"/>
          <w:rtl/>
        </w:rPr>
        <w:t>ْ</w:t>
      </w:r>
      <w:r w:rsidR="000A4159" w:rsidRPr="00822CE9">
        <w:rPr>
          <w:rFonts w:hint="cs"/>
          <w:rtl/>
        </w:rPr>
        <w:t>س</w:t>
      </w:r>
      <w:r w:rsidR="00595ACF">
        <w:rPr>
          <w:rFonts w:hint="cs"/>
          <w:rtl/>
        </w:rPr>
        <w:t>َ</w:t>
      </w:r>
      <w:r w:rsidR="000A4159" w:rsidRPr="00822CE9">
        <w:rPr>
          <w:rFonts w:hint="cs"/>
          <w:rtl/>
        </w:rPr>
        <w:t>اً من أحلاس</w:t>
      </w:r>
      <w:r w:rsidR="00595ACF">
        <w:rPr>
          <w:rFonts w:hint="cs"/>
          <w:rtl/>
        </w:rPr>
        <w:t>ِ</w:t>
      </w:r>
      <w:r w:rsidR="000A4159" w:rsidRPr="00822CE9">
        <w:rPr>
          <w:rFonts w:hint="cs"/>
          <w:rtl/>
        </w:rPr>
        <w:t xml:space="preserve">ه، واسكن ما سكن الليل والنهار، فإذا </w:t>
      </w:r>
      <w:r>
        <w:rPr>
          <w:rFonts w:hint="cs"/>
          <w:rtl/>
        </w:rPr>
        <w:t>بلغك أنّ السفياني قد خرج فارحل إ</w:t>
      </w:r>
      <w:r w:rsidR="000A4159" w:rsidRPr="00822CE9">
        <w:rPr>
          <w:rFonts w:hint="cs"/>
          <w:rtl/>
        </w:rPr>
        <w:t>لينا ولو على رجلك»</w:t>
      </w:r>
      <w:r w:rsidR="000A4159" w:rsidRPr="000A4159">
        <w:rPr>
          <w:rFonts w:cs="Taher"/>
          <w:vertAlign w:val="superscript"/>
          <w:rtl/>
        </w:rPr>
        <w:t>(</w:t>
      </w:r>
      <w:r w:rsidR="000A4159" w:rsidRPr="000A4159">
        <w:rPr>
          <w:rStyle w:val="FootnoteReference"/>
          <w:rFonts w:cs="Taher"/>
          <w:rtl/>
        </w:rPr>
        <w:footnoteReference w:id="373"/>
      </w:r>
      <w:r w:rsidR="000A4159" w:rsidRPr="000A4159">
        <w:rPr>
          <w:rFonts w:cs="Taher"/>
          <w:vertAlign w:val="superscript"/>
          <w:rtl/>
        </w:rPr>
        <w:t>)</w:t>
      </w:r>
      <w:r w:rsidR="000A4159" w:rsidRPr="00822CE9">
        <w:rPr>
          <w:rFonts w:hint="cs"/>
          <w:rtl/>
        </w:rPr>
        <w:t>.</w:t>
      </w:r>
    </w:p>
    <w:p w14:paraId="471E17C7" w14:textId="77777777" w:rsidR="000A4159" w:rsidRPr="00822CE9" w:rsidRDefault="000A4159" w:rsidP="000E47B2">
      <w:pPr>
        <w:pStyle w:val="normal870"/>
        <w:rPr>
          <w:rtl/>
        </w:rPr>
      </w:pPr>
      <w:r w:rsidRPr="00822CE9">
        <w:rPr>
          <w:rFonts w:hint="cs"/>
          <w:rtl/>
        </w:rPr>
        <w:t>والرواية واضحة في لزوم اللبد والسكون وعدم الثورة حتى ظهور السفياني المقترن بقيام المهدي</w:t>
      </w:r>
      <w:r w:rsidR="0040489D">
        <w:rPr>
          <w:rFonts w:hint="cs"/>
          <w:rtl/>
        </w:rPr>
        <w:t>.</w:t>
      </w:r>
      <w:r w:rsidRPr="00822CE9">
        <w:rPr>
          <w:rFonts w:hint="cs"/>
          <w:rtl/>
        </w:rPr>
        <w:t xml:space="preserve"> وتعبير </w:t>
      </w:r>
      <w:r w:rsidR="0040489D">
        <w:rPr>
          <w:rFonts w:cs="Cambria" w:hint="cs"/>
          <w:rtl/>
        </w:rPr>
        <w:t>"</w:t>
      </w:r>
      <w:r w:rsidRPr="00822CE9">
        <w:rPr>
          <w:rFonts w:hint="cs"/>
          <w:rtl/>
        </w:rPr>
        <w:t>حلساً</w:t>
      </w:r>
      <w:r w:rsidR="0040489D">
        <w:rPr>
          <w:rFonts w:cs="Cambria" w:hint="cs"/>
          <w:rtl/>
        </w:rPr>
        <w:t>"</w:t>
      </w:r>
      <w:r w:rsidRPr="00822CE9">
        <w:rPr>
          <w:rFonts w:hint="cs"/>
          <w:rtl/>
        </w:rPr>
        <w:t xml:space="preserve"> واضح في عدم الحركة؛ فإنّ الح</w:t>
      </w:r>
      <w:r w:rsidR="00595ACF">
        <w:rPr>
          <w:rFonts w:hint="cs"/>
          <w:rtl/>
        </w:rPr>
        <w:t>ِ</w:t>
      </w:r>
      <w:r w:rsidRPr="00822CE9">
        <w:rPr>
          <w:rFonts w:hint="cs"/>
          <w:rtl/>
        </w:rPr>
        <w:t xml:space="preserve">لس هو الكساء الذي يكون على ظهر </w:t>
      </w:r>
      <w:r w:rsidRPr="00822CE9">
        <w:rPr>
          <w:rFonts w:hint="cs"/>
          <w:rtl/>
        </w:rPr>
        <w:lastRenderedPageBreak/>
        <w:t>البعير</w:t>
      </w:r>
      <w:r w:rsidR="00595ACF">
        <w:rPr>
          <w:rFonts w:hint="cs"/>
          <w:rtl/>
        </w:rPr>
        <w:t xml:space="preserve"> تحت القتب</w:t>
      </w:r>
      <w:r w:rsidRPr="00822CE9">
        <w:rPr>
          <w:rFonts w:hint="cs"/>
          <w:rtl/>
        </w:rPr>
        <w:t>، شبّهه به لسكونه ودوامه، كما يقول المازندراني</w:t>
      </w:r>
      <w:r w:rsidRPr="000A4159">
        <w:rPr>
          <w:rFonts w:cs="Taher"/>
          <w:vertAlign w:val="superscript"/>
          <w:rtl/>
        </w:rPr>
        <w:t>(</w:t>
      </w:r>
      <w:r w:rsidRPr="000A4159">
        <w:rPr>
          <w:rStyle w:val="FootnoteReference"/>
          <w:rFonts w:cs="Taher"/>
          <w:rtl/>
        </w:rPr>
        <w:footnoteReference w:id="374"/>
      </w:r>
      <w:r w:rsidRPr="000A4159">
        <w:rPr>
          <w:rFonts w:cs="Taher"/>
          <w:vertAlign w:val="superscript"/>
          <w:rtl/>
        </w:rPr>
        <w:t>)</w:t>
      </w:r>
      <w:r w:rsidRPr="00822CE9">
        <w:rPr>
          <w:rtl/>
        </w:rPr>
        <w:t xml:space="preserve">، </w:t>
      </w:r>
      <w:r w:rsidRPr="00822CE9">
        <w:rPr>
          <w:rFonts w:hint="cs"/>
          <w:rtl/>
        </w:rPr>
        <w:t>فتكون أمراً بالسكون إلى خروج الإمام المهدي، فتكون دالّةً بوضوح على المطلوب.</w:t>
      </w:r>
    </w:p>
    <w:p w14:paraId="68830448" w14:textId="77777777" w:rsidR="000A4159" w:rsidRPr="00822CE9" w:rsidRDefault="000A4159" w:rsidP="00A079D6">
      <w:pPr>
        <w:spacing w:line="214" w:lineRule="auto"/>
        <w:rPr>
          <w:b/>
          <w:bCs/>
          <w:rtl/>
        </w:rPr>
      </w:pPr>
      <w:r w:rsidRPr="00822CE9">
        <w:rPr>
          <w:rFonts w:hint="cs"/>
          <w:b/>
          <w:bCs/>
          <w:rtl/>
        </w:rPr>
        <w:t>إلا أنّ في الرواية مناقشات</w:t>
      </w:r>
      <w:r w:rsidR="0040489D">
        <w:rPr>
          <w:rFonts w:hint="cs"/>
          <w:b/>
          <w:bCs/>
          <w:rtl/>
        </w:rPr>
        <w:t>، عُمدتُها</w:t>
      </w:r>
      <w:r w:rsidRPr="00822CE9">
        <w:rPr>
          <w:rFonts w:hint="cs"/>
          <w:b/>
          <w:bCs/>
          <w:rtl/>
        </w:rPr>
        <w:t>:</w:t>
      </w:r>
    </w:p>
    <w:p w14:paraId="054839F1" w14:textId="77777777" w:rsidR="000A4159" w:rsidRPr="00822CE9" w:rsidRDefault="000A4159" w:rsidP="00557331">
      <w:pPr>
        <w:spacing w:line="214" w:lineRule="auto"/>
        <w:rPr>
          <w:rtl/>
        </w:rPr>
      </w:pPr>
      <w:r w:rsidRPr="00822CE9">
        <w:rPr>
          <w:rFonts w:hint="cs"/>
          <w:b/>
          <w:bCs/>
          <w:rtl/>
        </w:rPr>
        <w:t>المناقشة الأولى:</w:t>
      </w:r>
      <w:r w:rsidRPr="00822CE9">
        <w:rPr>
          <w:rFonts w:hint="cs"/>
          <w:rtl/>
        </w:rPr>
        <w:t xml:space="preserve"> إنّ الرواية وإن عدّت موثقةً ومعتبرة السند عندهم، إلا أن</w:t>
      </w:r>
      <w:r w:rsidR="00D8406C">
        <w:rPr>
          <w:rFonts w:hint="cs"/>
          <w:rtl/>
        </w:rPr>
        <w:t>ّ</w:t>
      </w:r>
      <w:r w:rsidRPr="00822CE9">
        <w:rPr>
          <w:rFonts w:hint="cs"/>
          <w:rtl/>
        </w:rPr>
        <w:t>ه ربما أمكن النقاش في سندها من ناحية سدير الصيرفي الراوي لها، فالرجل لم يوثقه علماء الرجال، والروايات فيه بعضها يمدحه وبعضها يذمّه وهي ضعيفة السند</w:t>
      </w:r>
      <w:r w:rsidR="00D8406C">
        <w:rPr>
          <w:rFonts w:hint="cs"/>
          <w:rtl/>
        </w:rPr>
        <w:t>.</w:t>
      </w:r>
      <w:r w:rsidRPr="00822CE9">
        <w:rPr>
          <w:rFonts w:hint="cs"/>
          <w:rtl/>
        </w:rPr>
        <w:t xml:space="preserve"> نعم، وثاقته من حيث إن</w:t>
      </w:r>
      <w:r w:rsidR="00D8406C">
        <w:rPr>
          <w:rFonts w:hint="cs"/>
          <w:rtl/>
        </w:rPr>
        <w:t>ّ</w:t>
      </w:r>
      <w:r w:rsidRPr="00822CE9">
        <w:rPr>
          <w:rFonts w:hint="cs"/>
          <w:rtl/>
        </w:rPr>
        <w:t>ه قد ورد في أسانيد تفسير القمّي وكامل الزيار</w:t>
      </w:r>
      <w:r w:rsidR="00557331">
        <w:rPr>
          <w:rFonts w:hint="cs"/>
          <w:rtl/>
        </w:rPr>
        <w:t>ات</w:t>
      </w:r>
      <w:r w:rsidRPr="00822CE9">
        <w:rPr>
          <w:rFonts w:hint="cs"/>
          <w:rtl/>
        </w:rPr>
        <w:t>، وليس من المشايخ المباشرين</w:t>
      </w:r>
      <w:r w:rsidRPr="000A4159">
        <w:rPr>
          <w:rFonts w:cs="Taher"/>
          <w:vertAlign w:val="superscript"/>
          <w:rtl/>
        </w:rPr>
        <w:t>(</w:t>
      </w:r>
      <w:r w:rsidRPr="000A4159">
        <w:rPr>
          <w:rStyle w:val="FootnoteReference"/>
          <w:rFonts w:cs="Taher"/>
          <w:rtl/>
        </w:rPr>
        <w:footnoteReference w:id="375"/>
      </w:r>
      <w:r w:rsidRPr="000A4159">
        <w:rPr>
          <w:rFonts w:cs="Taher"/>
          <w:vertAlign w:val="superscript"/>
          <w:rtl/>
        </w:rPr>
        <w:t>)</w:t>
      </w:r>
      <w:r w:rsidRPr="00822CE9">
        <w:rPr>
          <w:rtl/>
        </w:rPr>
        <w:t xml:space="preserve">، </w:t>
      </w:r>
      <w:r w:rsidRPr="00822CE9">
        <w:rPr>
          <w:rFonts w:hint="cs"/>
          <w:rtl/>
        </w:rPr>
        <w:t>فعلى مبنى عدم اعتبار التوثيق العام في هذين الكتابين لاسيما لغير المشايخ المباشرين، يشكل الأمر فيه</w:t>
      </w:r>
      <w:r w:rsidR="00D8406C">
        <w:rPr>
          <w:rFonts w:hint="cs"/>
          <w:rtl/>
        </w:rPr>
        <w:t>،</w:t>
      </w:r>
      <w:r w:rsidRPr="00822CE9">
        <w:rPr>
          <w:rFonts w:hint="cs"/>
          <w:rtl/>
        </w:rPr>
        <w:t xml:space="preserve"> وهو الصحيح كما بحثناه في محلّه من علم الرجال</w:t>
      </w:r>
      <w:r w:rsidR="00D8406C" w:rsidRPr="000A4159">
        <w:rPr>
          <w:rFonts w:cs="Taher"/>
          <w:vertAlign w:val="superscript"/>
          <w:rtl/>
        </w:rPr>
        <w:t>(</w:t>
      </w:r>
      <w:r w:rsidR="00D8406C" w:rsidRPr="000A4159">
        <w:rPr>
          <w:rStyle w:val="FootnoteReference"/>
          <w:rFonts w:cs="Taher"/>
          <w:rtl/>
        </w:rPr>
        <w:footnoteReference w:id="376"/>
      </w:r>
      <w:r w:rsidR="00D8406C" w:rsidRPr="000A4159">
        <w:rPr>
          <w:rFonts w:cs="Taher"/>
          <w:vertAlign w:val="superscript"/>
          <w:rtl/>
        </w:rPr>
        <w:t>)</w:t>
      </w:r>
      <w:r w:rsidRPr="00822CE9">
        <w:rPr>
          <w:rFonts w:hint="cs"/>
          <w:rtl/>
        </w:rPr>
        <w:t>، وإلا أمكن الأخذ بالرواية، لاسيما مع ادّعاء ابن شهر آشوب ـ وهو من المتأخ</w:t>
      </w:r>
      <w:r w:rsidR="00053E1F">
        <w:rPr>
          <w:rFonts w:hint="cs"/>
          <w:rtl/>
        </w:rPr>
        <w:t>ّ</w:t>
      </w:r>
      <w:r w:rsidRPr="00822CE9">
        <w:rPr>
          <w:rFonts w:hint="cs"/>
          <w:rtl/>
        </w:rPr>
        <w:t>رين الذي</w:t>
      </w:r>
      <w:r w:rsidR="00053E1F">
        <w:rPr>
          <w:rFonts w:hint="cs"/>
          <w:rtl/>
        </w:rPr>
        <w:t>ن</w:t>
      </w:r>
      <w:r w:rsidRPr="00822CE9">
        <w:rPr>
          <w:rFonts w:hint="cs"/>
          <w:rtl/>
        </w:rPr>
        <w:t xml:space="preserve"> لا حجي</w:t>
      </w:r>
      <w:r w:rsidR="00053E1F">
        <w:rPr>
          <w:rFonts w:hint="cs"/>
          <w:rtl/>
        </w:rPr>
        <w:t>ّ</w:t>
      </w:r>
      <w:r w:rsidRPr="00822CE9">
        <w:rPr>
          <w:rFonts w:hint="cs"/>
          <w:rtl/>
        </w:rPr>
        <w:t>ة لتوثيقاتهم ـ أنّه من خواصّ الإمام الصادق، فيما يبدو أن</w:t>
      </w:r>
      <w:r w:rsidR="00053E1F">
        <w:rPr>
          <w:rFonts w:hint="cs"/>
          <w:rtl/>
        </w:rPr>
        <w:t>ّ</w:t>
      </w:r>
      <w:r w:rsidRPr="00822CE9">
        <w:rPr>
          <w:rFonts w:hint="cs"/>
          <w:rtl/>
        </w:rPr>
        <w:t>ه استنتجه اجتهاداً من الروايات المادحة الواردة حوله.</w:t>
      </w:r>
    </w:p>
    <w:p w14:paraId="3EE388B9" w14:textId="77777777" w:rsidR="000F47C4" w:rsidRPr="000F47C4" w:rsidRDefault="000F47C4" w:rsidP="000153E6">
      <w:pPr>
        <w:pStyle w:val="Heading4"/>
        <w:rPr>
          <w:rtl/>
        </w:rPr>
      </w:pPr>
      <w:bookmarkStart w:id="227" w:name="_Toc143804193"/>
      <w:bookmarkStart w:id="228" w:name="_Toc238123318"/>
      <w:r w:rsidRPr="000F47C4">
        <w:rPr>
          <w:rFonts w:hint="cs"/>
          <w:rtl/>
        </w:rPr>
        <w:t xml:space="preserve">وقفات نقاش </w:t>
      </w:r>
      <w:r>
        <w:rPr>
          <w:rFonts w:hint="cs"/>
          <w:rtl/>
        </w:rPr>
        <w:t>مع المنتظري والحائري</w:t>
      </w:r>
      <w:r w:rsidR="005F2D24">
        <w:rPr>
          <w:rFonts w:hint="cs"/>
          <w:rtl/>
        </w:rPr>
        <w:t xml:space="preserve"> والآصفي</w:t>
      </w:r>
      <w:r>
        <w:rPr>
          <w:rFonts w:hint="cs"/>
          <w:rtl/>
        </w:rPr>
        <w:t xml:space="preserve"> </w:t>
      </w:r>
      <w:r w:rsidRPr="000F47C4">
        <w:rPr>
          <w:rFonts w:hint="cs"/>
          <w:rtl/>
        </w:rPr>
        <w:t>في رواية سدير المشهورة</w:t>
      </w:r>
      <w:bookmarkEnd w:id="227"/>
      <w:bookmarkEnd w:id="228"/>
    </w:p>
    <w:p w14:paraId="3A01078F" w14:textId="77777777" w:rsidR="000A4159" w:rsidRPr="00822CE9" w:rsidRDefault="000A4159" w:rsidP="00A079D6">
      <w:pPr>
        <w:spacing w:line="214" w:lineRule="auto"/>
        <w:rPr>
          <w:rtl/>
        </w:rPr>
      </w:pPr>
      <w:r w:rsidRPr="00822CE9">
        <w:rPr>
          <w:rFonts w:hint="cs"/>
          <w:b/>
          <w:bCs/>
          <w:rtl/>
        </w:rPr>
        <w:t>المناقشة الثانية:</w:t>
      </w:r>
      <w:r w:rsidRPr="00822CE9">
        <w:rPr>
          <w:rFonts w:hint="cs"/>
          <w:rtl/>
        </w:rPr>
        <w:t xml:space="preserve"> ما ذكره الشيخ المنتظري، من أنّه يصعب إلغاء خصوصي</w:t>
      </w:r>
      <w:r w:rsidR="00053E1F">
        <w:rPr>
          <w:rFonts w:hint="cs"/>
          <w:rtl/>
        </w:rPr>
        <w:t>ّ</w:t>
      </w:r>
      <w:r w:rsidRPr="00822CE9">
        <w:rPr>
          <w:rFonts w:hint="cs"/>
          <w:rtl/>
        </w:rPr>
        <w:t>ة سدير في هذا الخبر؛ فإذا درسنا شخصي</w:t>
      </w:r>
      <w:r w:rsidR="00053E1F">
        <w:rPr>
          <w:rFonts w:hint="cs"/>
          <w:rtl/>
        </w:rPr>
        <w:t>ّ</w:t>
      </w:r>
      <w:r w:rsidRPr="00822CE9">
        <w:rPr>
          <w:rFonts w:hint="cs"/>
          <w:rtl/>
        </w:rPr>
        <w:t>ة هذا السائل سنجد أن</w:t>
      </w:r>
      <w:r w:rsidR="00053E1F">
        <w:rPr>
          <w:rFonts w:hint="cs"/>
          <w:rtl/>
        </w:rPr>
        <w:t>ّ</w:t>
      </w:r>
      <w:r w:rsidRPr="00822CE9">
        <w:rPr>
          <w:rFonts w:hint="cs"/>
          <w:rtl/>
        </w:rPr>
        <w:t>ه كان إنساناً عادياً ليست لديه إمكانات الثورة، لهذا طلب منه الإمام أن يسكن ولا يتحرّك؛ لعدم كون حركته ناجحة، وأين هذا من شخص يملك الإمكانات والقدرات التي قد تغيّر الواقع كلّه؟! فالظاهر اختصاص الرواية بسدير وأمثاله، ولا يحرز إمكان إلغاء الخصوصية فيها كي تعمّم إلى جميع الأفراد والأحوال والأزمنة</w:t>
      </w:r>
      <w:r w:rsidRPr="000A4159">
        <w:rPr>
          <w:rFonts w:cs="Taher"/>
          <w:vertAlign w:val="superscript"/>
          <w:rtl/>
        </w:rPr>
        <w:t>(</w:t>
      </w:r>
      <w:r w:rsidRPr="000A4159">
        <w:rPr>
          <w:rStyle w:val="FootnoteReference"/>
          <w:rFonts w:cs="Taher"/>
          <w:rtl/>
        </w:rPr>
        <w:footnoteReference w:id="377"/>
      </w:r>
      <w:r w:rsidRPr="000A4159">
        <w:rPr>
          <w:rFonts w:cs="Taher"/>
          <w:vertAlign w:val="superscript"/>
          <w:rtl/>
        </w:rPr>
        <w:t>)</w:t>
      </w:r>
      <w:r w:rsidRPr="00822CE9">
        <w:rPr>
          <w:rtl/>
        </w:rPr>
        <w:t>.</w:t>
      </w:r>
    </w:p>
    <w:p w14:paraId="548BD76F" w14:textId="77777777" w:rsidR="000A4159" w:rsidRPr="00822CE9" w:rsidRDefault="000A4159" w:rsidP="00053E1F">
      <w:pPr>
        <w:spacing w:line="214" w:lineRule="auto"/>
        <w:rPr>
          <w:rtl/>
        </w:rPr>
      </w:pPr>
      <w:r w:rsidRPr="00822CE9">
        <w:rPr>
          <w:rFonts w:hint="cs"/>
          <w:b/>
          <w:bCs/>
          <w:rtl/>
        </w:rPr>
        <w:lastRenderedPageBreak/>
        <w:t>وهذه المناقشة لا تبدو موف</w:t>
      </w:r>
      <w:r w:rsidR="00097298">
        <w:rPr>
          <w:rFonts w:hint="cs"/>
          <w:b/>
          <w:bCs/>
          <w:rtl/>
        </w:rPr>
        <w:t>ّ</w:t>
      </w:r>
      <w:r w:rsidRPr="00822CE9">
        <w:rPr>
          <w:rFonts w:hint="cs"/>
          <w:b/>
          <w:bCs/>
          <w:rtl/>
        </w:rPr>
        <w:t>قة؛</w:t>
      </w:r>
      <w:r w:rsidRPr="00822CE9">
        <w:rPr>
          <w:rFonts w:hint="cs"/>
          <w:rtl/>
        </w:rPr>
        <w:t xml:space="preserve"> فإذا كان المعيار هو عدم القدرة فلماذا علّق الإمام الخروج على ظهور السفياني ولم يعلّقه على ظهور شخص مقتدر ناجح؛ فقد كان بإمكان الإمام أن يأمر السائل بالسكون حتى خروج من يقدر على تحقيق الأهداف الكبرى، ولو افترضنا أن</w:t>
      </w:r>
      <w:r w:rsidR="00053E1F">
        <w:rPr>
          <w:rFonts w:hint="cs"/>
          <w:rtl/>
        </w:rPr>
        <w:t>ّ</w:t>
      </w:r>
      <w:r w:rsidRPr="00822CE9">
        <w:rPr>
          <w:rFonts w:hint="cs"/>
          <w:rtl/>
        </w:rPr>
        <w:t>ه لن يظهر مثل هذا الشخص في حياة سدير، ولهذا لم يعلّق الإمام عليه، كان الجواب إنّ السفياني لم يظهر أيضاً في حياة سدير، فأيّ معنى لتعليق الخروج على السفياني؟! بل الأولى تعليق الخروج على أمرٍ كلّي، وهو خروج من يتصف بصفات خاص</w:t>
      </w:r>
      <w:r w:rsidR="00053E1F">
        <w:rPr>
          <w:rFonts w:hint="cs"/>
          <w:rtl/>
        </w:rPr>
        <w:t>ّ</w:t>
      </w:r>
      <w:r w:rsidRPr="00822CE9">
        <w:rPr>
          <w:rFonts w:hint="cs"/>
          <w:rtl/>
        </w:rPr>
        <w:t>ة يرى الإمام أنها توف</w:t>
      </w:r>
      <w:r w:rsidR="006F7EC4">
        <w:rPr>
          <w:rFonts w:hint="cs"/>
          <w:rtl/>
        </w:rPr>
        <w:t>ّ</w:t>
      </w:r>
      <w:r w:rsidRPr="00822CE9">
        <w:rPr>
          <w:rFonts w:hint="cs"/>
          <w:rtl/>
        </w:rPr>
        <w:t>ر نجاح الثورة ضدّ الظالمين، فتعليق الخروج على السفياني إشارة إلى ربط الأمور بخروج قائم آل محم</w:t>
      </w:r>
      <w:r w:rsidR="00053E1F">
        <w:rPr>
          <w:rFonts w:hint="cs"/>
          <w:rtl/>
        </w:rPr>
        <w:t>ّ</w:t>
      </w:r>
      <w:r w:rsidRPr="00822CE9">
        <w:rPr>
          <w:rFonts w:hint="cs"/>
          <w:rtl/>
        </w:rPr>
        <w:t>د بعد ضمّ سائر روايات السفياني هنا أيضاً.</w:t>
      </w:r>
    </w:p>
    <w:p w14:paraId="13D4990A" w14:textId="77777777" w:rsidR="000A4159" w:rsidRPr="00822CE9" w:rsidRDefault="000A4159" w:rsidP="000E47B2">
      <w:pPr>
        <w:pStyle w:val="normal84"/>
        <w:rPr>
          <w:rtl/>
        </w:rPr>
      </w:pPr>
      <w:r w:rsidRPr="00822CE9">
        <w:rPr>
          <w:rFonts w:hint="cs"/>
          <w:b/>
          <w:bCs/>
          <w:rtl/>
        </w:rPr>
        <w:t>وربما نقوم بتطوير إشكال المنتظري ـ كما فعل السيد الحائري ـ</w:t>
      </w:r>
      <w:r w:rsidRPr="00822CE9">
        <w:rPr>
          <w:rFonts w:hint="cs"/>
          <w:rtl/>
        </w:rPr>
        <w:t xml:space="preserve"> بافتراض أنّ الرواية لا تحوي نصاً عاماً تقعيدياً وإن</w:t>
      </w:r>
      <w:r w:rsidR="00053E1F">
        <w:rPr>
          <w:rFonts w:hint="cs"/>
          <w:rtl/>
        </w:rPr>
        <w:t>ّ</w:t>
      </w:r>
      <w:r w:rsidRPr="00822CE9">
        <w:rPr>
          <w:rFonts w:hint="cs"/>
          <w:rtl/>
        </w:rPr>
        <w:t>ما ه</w:t>
      </w:r>
      <w:r w:rsidR="00053E1F">
        <w:rPr>
          <w:rFonts w:hint="cs"/>
          <w:rtl/>
        </w:rPr>
        <w:t>و</w:t>
      </w:r>
      <w:r w:rsidRPr="00822CE9">
        <w:rPr>
          <w:rFonts w:hint="cs"/>
          <w:rtl/>
        </w:rPr>
        <w:t xml:space="preserve"> خطاب خاصّ لسدير، والتعليق فيها على السفياني، كان للإشارة إلى أن</w:t>
      </w:r>
      <w:r w:rsidR="00053E1F">
        <w:rPr>
          <w:rFonts w:hint="cs"/>
          <w:rtl/>
        </w:rPr>
        <w:t>ّ</w:t>
      </w:r>
      <w:r w:rsidRPr="00822CE9">
        <w:rPr>
          <w:rFonts w:hint="cs"/>
          <w:rtl/>
        </w:rPr>
        <w:t>ه لن تكون هناك ثورات شرعي</w:t>
      </w:r>
      <w:r w:rsidR="00053E1F">
        <w:rPr>
          <w:rFonts w:hint="cs"/>
          <w:rtl/>
        </w:rPr>
        <w:t>ّ</w:t>
      </w:r>
      <w:r w:rsidRPr="00822CE9">
        <w:rPr>
          <w:rFonts w:hint="cs"/>
          <w:rtl/>
        </w:rPr>
        <w:t>ة في عصر أيّ من الأئم</w:t>
      </w:r>
      <w:r w:rsidR="00053E1F">
        <w:rPr>
          <w:rFonts w:hint="cs"/>
          <w:rtl/>
        </w:rPr>
        <w:t>ّ</w:t>
      </w:r>
      <w:r w:rsidRPr="00822CE9">
        <w:rPr>
          <w:rFonts w:hint="cs"/>
          <w:rtl/>
        </w:rPr>
        <w:t>ة سوى المهدي، فلا يفكرنّ أحدٌ بالثورة في عصر الحضور، وهذا معناه أن</w:t>
      </w:r>
      <w:r w:rsidR="00053E1F">
        <w:rPr>
          <w:rFonts w:hint="cs"/>
          <w:rtl/>
        </w:rPr>
        <w:t>ّ</w:t>
      </w:r>
      <w:r w:rsidRPr="00822CE9">
        <w:rPr>
          <w:rFonts w:hint="cs"/>
          <w:rtl/>
        </w:rPr>
        <w:t>ها غير ناظرة إلى عصر الغيبة إطلاقاً، حتى يتمسّك بها في أمثال زماننا</w:t>
      </w:r>
      <w:r w:rsidRPr="000A4159">
        <w:rPr>
          <w:rFonts w:cs="Taher"/>
          <w:vertAlign w:val="superscript"/>
          <w:rtl/>
        </w:rPr>
        <w:t>(</w:t>
      </w:r>
      <w:r w:rsidRPr="000A4159">
        <w:rPr>
          <w:rStyle w:val="FootnoteReference"/>
          <w:rFonts w:cs="Taher"/>
          <w:rtl/>
        </w:rPr>
        <w:footnoteReference w:id="378"/>
      </w:r>
      <w:r w:rsidRPr="000A4159">
        <w:rPr>
          <w:rFonts w:cs="Taher"/>
          <w:vertAlign w:val="superscript"/>
          <w:rtl/>
        </w:rPr>
        <w:t>)</w:t>
      </w:r>
      <w:r w:rsidRPr="00822CE9">
        <w:rPr>
          <w:rFonts w:hint="cs"/>
          <w:rtl/>
        </w:rPr>
        <w:t>.</w:t>
      </w:r>
    </w:p>
    <w:p w14:paraId="5DFFD4B2" w14:textId="77777777" w:rsidR="000A4159" w:rsidRPr="00822CE9" w:rsidRDefault="000A4159" w:rsidP="00053E1F">
      <w:pPr>
        <w:spacing w:line="214" w:lineRule="auto"/>
        <w:rPr>
          <w:rtl/>
        </w:rPr>
      </w:pPr>
      <w:r w:rsidRPr="00822CE9">
        <w:rPr>
          <w:rFonts w:hint="cs"/>
          <w:b/>
          <w:bCs/>
          <w:rtl/>
        </w:rPr>
        <w:t>وهذا التطوير بهذه الصيغة مشكلٌ أيضاً؛</w:t>
      </w:r>
      <w:r w:rsidRPr="00822CE9">
        <w:rPr>
          <w:rFonts w:hint="cs"/>
          <w:rtl/>
        </w:rPr>
        <w:t xml:space="preserve"> إذ نسأل أنفسنا: لماذا يريد الإمام أن يبيّن حكم ثورات المعصومين وأنّ غير المهدي منهم لا ثورة شرعي</w:t>
      </w:r>
      <w:r w:rsidR="00053E1F">
        <w:rPr>
          <w:rFonts w:hint="cs"/>
          <w:rtl/>
        </w:rPr>
        <w:t>ّ</w:t>
      </w:r>
      <w:r w:rsidRPr="00822CE9">
        <w:rPr>
          <w:rFonts w:hint="cs"/>
          <w:rtl/>
        </w:rPr>
        <w:t>ة</w:t>
      </w:r>
      <w:r w:rsidR="00053E1F">
        <w:rPr>
          <w:rFonts w:hint="cs"/>
          <w:rtl/>
        </w:rPr>
        <w:t>ً</w:t>
      </w:r>
      <w:r w:rsidRPr="00822CE9">
        <w:rPr>
          <w:rFonts w:hint="cs"/>
          <w:rtl/>
        </w:rPr>
        <w:t xml:space="preserve"> في حقّه ولا في زمنه؟ فهل هذا هو الموضوع؟ إنّ سديراً إما يريد معرفة حال عصره أو يريد معرفة قاعدة عامة، وحال عصره لا حاجة فيه إلى ذكر السفياني أساساً، فلماذا حشرت الرواية السفيانيَّ وطلبت من سدير الرحيل عند ظهور السفياني، مع أنه سيمضي على ظهور السفياني مئات السنين بعد وفاة سدير؟! فكيف تقولون بأنّ الرواية مع ذلك خاصّةٌ بسدير؛ وإذا كان يهدف هنا قاعدة عامة فلماذا استثناء عصر الغيبة بطوله، مع أنّه أقرب إلى عصر سدير من عصر السفياني؟!</w:t>
      </w:r>
    </w:p>
    <w:p w14:paraId="3A8F961E" w14:textId="77777777" w:rsidR="000A4159" w:rsidRPr="00822CE9" w:rsidRDefault="000A4159" w:rsidP="004527EF">
      <w:pPr>
        <w:spacing w:line="214" w:lineRule="auto"/>
        <w:rPr>
          <w:rtl/>
        </w:rPr>
      </w:pPr>
      <w:r w:rsidRPr="00822CE9">
        <w:rPr>
          <w:rFonts w:hint="cs"/>
          <w:rtl/>
        </w:rPr>
        <w:t>ي</w:t>
      </w:r>
      <w:r w:rsidR="00053E1F">
        <w:rPr>
          <w:rFonts w:hint="cs"/>
          <w:rtl/>
        </w:rPr>
        <w:t>ُضاف إليه أ</w:t>
      </w:r>
      <w:r w:rsidRPr="00822CE9">
        <w:rPr>
          <w:rFonts w:hint="cs"/>
          <w:rtl/>
        </w:rPr>
        <w:t>نّ السيد الحائري نفسه قَبِل بشرعي</w:t>
      </w:r>
      <w:r w:rsidR="00053E1F">
        <w:rPr>
          <w:rFonts w:hint="cs"/>
          <w:rtl/>
        </w:rPr>
        <w:t>ّ</w:t>
      </w:r>
      <w:r w:rsidRPr="00822CE9">
        <w:rPr>
          <w:rFonts w:hint="cs"/>
          <w:rtl/>
        </w:rPr>
        <w:t xml:space="preserve">ة ثورة صاحب فخّ وكلّ الثورات التي لا ذمّ لها من جانب </w:t>
      </w:r>
      <w:r w:rsidR="00053E1F">
        <w:rPr>
          <w:rFonts w:hint="cs"/>
          <w:rtl/>
        </w:rPr>
        <w:t>الأئمّة</w:t>
      </w:r>
      <w:r w:rsidRPr="00822CE9">
        <w:rPr>
          <w:rFonts w:hint="cs"/>
          <w:rtl/>
        </w:rPr>
        <w:t xml:space="preserve">، كما أسلفنا الحديث عن مقولته هذه سابقاً، فكيف يضمّ تلك القاعدة إلى </w:t>
      </w:r>
      <w:r w:rsidRPr="00822CE9">
        <w:rPr>
          <w:rFonts w:hint="cs"/>
          <w:rtl/>
        </w:rPr>
        <w:lastRenderedPageBreak/>
        <w:t>هذا النصّ هنا؟! ولماذا علّق الخروج على ظهور السفياني لا على ظهور أحد الثوري</w:t>
      </w:r>
      <w:r w:rsidR="00053E1F">
        <w:rPr>
          <w:rFonts w:hint="cs"/>
          <w:rtl/>
        </w:rPr>
        <w:t>ّ</w:t>
      </w:r>
      <w:r w:rsidRPr="00822CE9">
        <w:rPr>
          <w:rFonts w:hint="cs"/>
          <w:rtl/>
        </w:rPr>
        <w:t>ين قريبي العصر من سدير كصاحب فخ</w:t>
      </w:r>
      <w:r w:rsidR="00053E1F">
        <w:rPr>
          <w:rFonts w:hint="cs"/>
          <w:rtl/>
        </w:rPr>
        <w:t>ّ</w:t>
      </w:r>
      <w:r w:rsidRPr="00822CE9">
        <w:rPr>
          <w:rFonts w:hint="cs"/>
          <w:rtl/>
        </w:rPr>
        <w:t xml:space="preserve"> الذي ق</w:t>
      </w:r>
      <w:r w:rsidR="00053E1F">
        <w:rPr>
          <w:rFonts w:hint="cs"/>
          <w:rtl/>
        </w:rPr>
        <w:t>َ</w:t>
      </w:r>
      <w:r w:rsidRPr="00822CE9">
        <w:rPr>
          <w:rFonts w:hint="cs"/>
          <w:rtl/>
        </w:rPr>
        <w:t>ب</w:t>
      </w:r>
      <w:r w:rsidR="00053E1F">
        <w:rPr>
          <w:rFonts w:hint="cs"/>
          <w:rtl/>
        </w:rPr>
        <w:t>ِ</w:t>
      </w:r>
      <w:r w:rsidRPr="00822CE9">
        <w:rPr>
          <w:rFonts w:hint="cs"/>
          <w:rtl/>
        </w:rPr>
        <w:t>ل السيد الحائري شرعيّة ثورته رغم أنّها في عصر الحضور. إلا إذا قيل: إنّ سديراً لم يكن يجب عليه ـ شخصاً ـ الخروج في هذه الثورات، مع أنّ الحائري جعل الرواية بصدد بيان حال عصور الأئم</w:t>
      </w:r>
      <w:r w:rsidR="00053E1F">
        <w:rPr>
          <w:rFonts w:hint="cs"/>
          <w:rtl/>
        </w:rPr>
        <w:t>ّ</w:t>
      </w:r>
      <w:r w:rsidRPr="00822CE9">
        <w:rPr>
          <w:rFonts w:hint="cs"/>
          <w:rtl/>
        </w:rPr>
        <w:t xml:space="preserve">ة، لا </w:t>
      </w:r>
      <w:r w:rsidR="004527EF">
        <w:rPr>
          <w:rFonts w:hint="cs"/>
          <w:rtl/>
        </w:rPr>
        <w:t xml:space="preserve">حال </w:t>
      </w:r>
      <w:r w:rsidRPr="00822CE9">
        <w:rPr>
          <w:rFonts w:hint="cs"/>
          <w:rtl/>
        </w:rPr>
        <w:t>سدير</w:t>
      </w:r>
      <w:r w:rsidR="004527EF">
        <w:rPr>
          <w:rFonts w:hint="cs"/>
          <w:rtl/>
        </w:rPr>
        <w:t>ٍ</w:t>
      </w:r>
      <w:r w:rsidRPr="00822CE9">
        <w:rPr>
          <w:rFonts w:hint="cs"/>
          <w:rtl/>
        </w:rPr>
        <w:t xml:space="preserve"> فقط.</w:t>
      </w:r>
    </w:p>
    <w:p w14:paraId="317ED47E" w14:textId="77777777" w:rsidR="000A4159" w:rsidRPr="00822CE9" w:rsidRDefault="000A4159" w:rsidP="00053E1F">
      <w:pPr>
        <w:spacing w:line="214" w:lineRule="auto"/>
        <w:rPr>
          <w:rtl/>
        </w:rPr>
      </w:pPr>
      <w:r w:rsidRPr="00822CE9">
        <w:rPr>
          <w:rFonts w:hint="cs"/>
          <w:b/>
          <w:bCs/>
          <w:rtl/>
        </w:rPr>
        <w:t>المناقشة الثالثة:</w:t>
      </w:r>
      <w:r w:rsidRPr="00822CE9">
        <w:rPr>
          <w:rFonts w:hint="cs"/>
          <w:rtl/>
        </w:rPr>
        <w:t xml:space="preserve"> ما ألمح إليه الحائري، من احتمال اختصاص هذه الرواية بفرض أنّ الإمام يريد أن ينهى سديراً عن الخروج المستقلّ في مقابل المعصوم وفي عرضه، </w:t>
      </w:r>
      <w:r w:rsidR="00053E1F">
        <w:rPr>
          <w:rFonts w:hint="cs"/>
          <w:rtl/>
        </w:rPr>
        <w:t xml:space="preserve">دون </w:t>
      </w:r>
      <w:r w:rsidRPr="00822CE9">
        <w:rPr>
          <w:rFonts w:hint="cs"/>
          <w:rtl/>
        </w:rPr>
        <w:t>مطلق الخروج، وهذا لا علاقة له بالخروج مع المعصوم أو في عصر الغيبة</w:t>
      </w:r>
      <w:r w:rsidRPr="000A4159">
        <w:rPr>
          <w:rFonts w:cs="Taher"/>
          <w:vertAlign w:val="superscript"/>
          <w:rtl/>
        </w:rPr>
        <w:t>(</w:t>
      </w:r>
      <w:r w:rsidRPr="000A4159">
        <w:rPr>
          <w:rStyle w:val="FootnoteReference"/>
          <w:rFonts w:cs="Taher"/>
          <w:rtl/>
        </w:rPr>
        <w:footnoteReference w:id="379"/>
      </w:r>
      <w:r w:rsidRPr="000A4159">
        <w:rPr>
          <w:rFonts w:cs="Taher"/>
          <w:vertAlign w:val="superscript"/>
          <w:rtl/>
        </w:rPr>
        <w:t>)</w:t>
      </w:r>
      <w:r w:rsidRPr="00822CE9">
        <w:rPr>
          <w:rFonts w:hint="cs"/>
          <w:rtl/>
        </w:rPr>
        <w:t>.</w:t>
      </w:r>
    </w:p>
    <w:p w14:paraId="69AAA636" w14:textId="77777777" w:rsidR="000A4159" w:rsidRPr="00822CE9" w:rsidRDefault="000A4159" w:rsidP="000E47B2">
      <w:pPr>
        <w:pStyle w:val="normal84"/>
        <w:rPr>
          <w:rtl/>
        </w:rPr>
      </w:pPr>
      <w:r w:rsidRPr="00822CE9">
        <w:rPr>
          <w:rFonts w:hint="cs"/>
          <w:b/>
          <w:bCs/>
          <w:rtl/>
        </w:rPr>
        <w:t>وهذا الكلام أبعد من سابقه؛</w:t>
      </w:r>
      <w:r w:rsidRPr="00822CE9">
        <w:rPr>
          <w:rFonts w:hint="cs"/>
          <w:rtl/>
        </w:rPr>
        <w:t xml:space="preserve"> إذ لو كان هذا هو الموضوع لكان المفترض أن يكون سياق الكلام ولحنه مختلفاً، كأن يقول له: لا تخرج بلا إذن إمامك أو.. ثم لماذا استثناء السفياني؟</w:t>
      </w:r>
      <w:r w:rsidR="00053E1F">
        <w:rPr>
          <w:rFonts w:hint="cs"/>
          <w:rtl/>
        </w:rPr>
        <w:t>!</w:t>
      </w:r>
      <w:r w:rsidRPr="00822CE9">
        <w:rPr>
          <w:rFonts w:hint="cs"/>
          <w:rtl/>
        </w:rPr>
        <w:t xml:space="preserve"> فهل معناه أنّه إذا ظهر السفياني خرج في عرض الإمام أو معه كما يظهر من الرواية؟</w:t>
      </w:r>
      <w:r w:rsidR="00702CD9">
        <w:rPr>
          <w:rFonts w:hint="cs"/>
          <w:rtl/>
        </w:rPr>
        <w:t>!</w:t>
      </w:r>
      <w:r w:rsidRPr="00822CE9">
        <w:rPr>
          <w:rFonts w:hint="cs"/>
          <w:rtl/>
        </w:rPr>
        <w:t xml:space="preserve"> وما دام سيظهر مع ظهور السفياني تحت راية الإمام، وكانت العقبة هي الخروج المستقلّ، فلماذا لم يعلّق على كبرى كلية، كالخروج مع إمامك أو عندما يناديك أو ما شابه ذلك؟ فلسان الرواية يبعّد هذا الاحتمال، </w:t>
      </w:r>
      <w:r w:rsidR="00053E1F">
        <w:rPr>
          <w:rFonts w:hint="cs"/>
          <w:rtl/>
        </w:rPr>
        <w:t>و</w:t>
      </w:r>
      <w:r w:rsidRPr="00822CE9">
        <w:rPr>
          <w:rFonts w:hint="cs"/>
          <w:rtl/>
        </w:rPr>
        <w:t>لا</w:t>
      </w:r>
      <w:r w:rsidR="00053E1F">
        <w:rPr>
          <w:rFonts w:hint="cs"/>
          <w:rtl/>
        </w:rPr>
        <w:t xml:space="preserve"> </w:t>
      </w:r>
      <w:r w:rsidRPr="00822CE9">
        <w:rPr>
          <w:rFonts w:hint="cs"/>
          <w:rtl/>
        </w:rPr>
        <w:t>سيما أن</w:t>
      </w:r>
      <w:r w:rsidR="00053E1F">
        <w:rPr>
          <w:rFonts w:hint="cs"/>
          <w:rtl/>
        </w:rPr>
        <w:t>ّ</w:t>
      </w:r>
      <w:r w:rsidRPr="00822CE9">
        <w:rPr>
          <w:rFonts w:hint="cs"/>
          <w:rtl/>
        </w:rPr>
        <w:t>ه لا شاهد على وجود فكرة للخروج المستقلّ عند سدير.</w:t>
      </w:r>
    </w:p>
    <w:p w14:paraId="52B7478C" w14:textId="77777777" w:rsidR="000A4159" w:rsidRPr="00822CE9" w:rsidRDefault="000A4159" w:rsidP="00053E1F">
      <w:pPr>
        <w:spacing w:line="214" w:lineRule="auto"/>
        <w:rPr>
          <w:rtl/>
        </w:rPr>
      </w:pPr>
      <w:r w:rsidRPr="00822CE9">
        <w:rPr>
          <w:rFonts w:hint="cs"/>
          <w:b/>
          <w:bCs/>
          <w:rtl/>
        </w:rPr>
        <w:t>المناقشة الرابعة:</w:t>
      </w:r>
      <w:r w:rsidRPr="00822CE9">
        <w:rPr>
          <w:rFonts w:hint="cs"/>
          <w:rtl/>
        </w:rPr>
        <w:t xml:space="preserve"> ما ذكره الآصفي</w:t>
      </w:r>
      <w:r w:rsidRPr="000A4159">
        <w:rPr>
          <w:rFonts w:cs="Taher"/>
          <w:vertAlign w:val="superscript"/>
          <w:rtl/>
        </w:rPr>
        <w:t>(</w:t>
      </w:r>
      <w:r w:rsidRPr="000A4159">
        <w:rPr>
          <w:rStyle w:val="FootnoteReference"/>
          <w:rFonts w:cs="Taher"/>
          <w:rtl/>
        </w:rPr>
        <w:footnoteReference w:id="380"/>
      </w:r>
      <w:r w:rsidRPr="000A4159">
        <w:rPr>
          <w:rFonts w:cs="Taher"/>
          <w:vertAlign w:val="superscript"/>
          <w:rtl/>
        </w:rPr>
        <w:t>)</w:t>
      </w:r>
      <w:r w:rsidRPr="00822CE9">
        <w:rPr>
          <w:rFonts w:hint="cs"/>
          <w:rtl/>
        </w:rPr>
        <w:t>،</w:t>
      </w:r>
      <w:r w:rsidRPr="00822CE9">
        <w:rPr>
          <w:rtl/>
        </w:rPr>
        <w:t xml:space="preserve"> </w:t>
      </w:r>
      <w:r w:rsidRPr="00822CE9">
        <w:rPr>
          <w:rFonts w:hint="cs"/>
          <w:rtl/>
        </w:rPr>
        <w:t>من تخصيص هذه الرواية بعصر الصادق</w:t>
      </w:r>
      <w:r w:rsidR="00053E1F">
        <w:rPr>
          <w:rFonts w:hint="cs"/>
          <w:rtl/>
        </w:rPr>
        <w:t>،</w:t>
      </w:r>
      <w:r w:rsidRPr="00822CE9">
        <w:rPr>
          <w:rFonts w:hint="cs"/>
          <w:rtl/>
        </w:rPr>
        <w:t xml:space="preserve"> وظروف ذلك العصر؛ لعدم وجود تقعيد عام فيها.</w:t>
      </w:r>
    </w:p>
    <w:p w14:paraId="5C40AF35" w14:textId="77777777" w:rsidR="000A4159" w:rsidRPr="00822CE9" w:rsidRDefault="000A4159" w:rsidP="000860E3">
      <w:pPr>
        <w:spacing w:line="214" w:lineRule="auto"/>
        <w:rPr>
          <w:rtl/>
        </w:rPr>
      </w:pPr>
      <w:r w:rsidRPr="00822CE9">
        <w:rPr>
          <w:rFonts w:hint="cs"/>
          <w:b/>
          <w:bCs/>
          <w:rtl/>
        </w:rPr>
        <w:t>وهذه أضعف من سابقاتها من حيث ل</w:t>
      </w:r>
      <w:r w:rsidR="00053E1F">
        <w:rPr>
          <w:rFonts w:hint="cs"/>
          <w:b/>
          <w:bCs/>
          <w:rtl/>
        </w:rPr>
        <w:t>َ</w:t>
      </w:r>
      <w:r w:rsidRPr="00822CE9">
        <w:rPr>
          <w:rFonts w:hint="cs"/>
          <w:b/>
          <w:bCs/>
          <w:rtl/>
        </w:rPr>
        <w:t>غ</w:t>
      </w:r>
      <w:r w:rsidR="00053E1F">
        <w:rPr>
          <w:rFonts w:hint="cs"/>
          <w:b/>
          <w:bCs/>
          <w:rtl/>
        </w:rPr>
        <w:t>ْ</w:t>
      </w:r>
      <w:r w:rsidRPr="00822CE9">
        <w:rPr>
          <w:rFonts w:hint="cs"/>
          <w:b/>
          <w:bCs/>
          <w:rtl/>
        </w:rPr>
        <w:t>وي</w:t>
      </w:r>
      <w:r w:rsidR="00053E1F">
        <w:rPr>
          <w:rFonts w:hint="cs"/>
          <w:b/>
          <w:bCs/>
          <w:rtl/>
        </w:rPr>
        <w:t>ّ</w:t>
      </w:r>
      <w:r w:rsidRPr="00822CE9">
        <w:rPr>
          <w:rFonts w:hint="cs"/>
          <w:b/>
          <w:bCs/>
          <w:rtl/>
        </w:rPr>
        <w:t>ة التعليق على خروج السفياني،</w:t>
      </w:r>
      <w:r w:rsidRPr="00822CE9">
        <w:rPr>
          <w:rFonts w:hint="cs"/>
          <w:rtl/>
        </w:rPr>
        <w:t xml:space="preserve"> الذي يعلم ارتباطه بعصر ظهور المهدي</w:t>
      </w:r>
      <w:r w:rsidR="00053E1F">
        <w:rPr>
          <w:rFonts w:hint="cs"/>
          <w:rtl/>
        </w:rPr>
        <w:t>ّ</w:t>
      </w:r>
      <w:r w:rsidRPr="00822CE9">
        <w:rPr>
          <w:rFonts w:hint="cs"/>
          <w:rtl/>
        </w:rPr>
        <w:t xml:space="preserve">، </w:t>
      </w:r>
      <w:r w:rsidR="000860E3">
        <w:rPr>
          <w:rFonts w:hint="cs"/>
          <w:rtl/>
        </w:rPr>
        <w:t xml:space="preserve">ما لم ندعِ أنّ ذكر قضية السفياني مرتبطٌ بنقض دعاوى المهدويّة آنذاك فقط، </w:t>
      </w:r>
      <w:r w:rsidRPr="00822CE9">
        <w:rPr>
          <w:rFonts w:hint="cs"/>
          <w:rtl/>
        </w:rPr>
        <w:t>وقد صار الردّ على مثل هذه المناقشة واضحاً. وسوف يأتي في المناقشات اللاحقة والروايات القادمة بعض ما يفيد هنا إن شاء الله.</w:t>
      </w:r>
    </w:p>
    <w:p w14:paraId="388E6CEE" w14:textId="77777777" w:rsidR="000A4159" w:rsidRPr="00822CE9" w:rsidRDefault="000A4159" w:rsidP="00053E1F">
      <w:pPr>
        <w:spacing w:line="214" w:lineRule="auto"/>
        <w:rPr>
          <w:rtl/>
        </w:rPr>
      </w:pPr>
      <w:r w:rsidRPr="00822CE9">
        <w:rPr>
          <w:rFonts w:hint="cs"/>
          <w:b/>
          <w:bCs/>
          <w:rtl/>
        </w:rPr>
        <w:t>المناقشة الخامسة:</w:t>
      </w:r>
      <w:r w:rsidRPr="00822CE9">
        <w:rPr>
          <w:rFonts w:hint="cs"/>
          <w:rtl/>
        </w:rPr>
        <w:t xml:space="preserve"> وهي مناقشة تتركّز على ذيل الرواية، الذي نعتقد أن</w:t>
      </w:r>
      <w:r w:rsidR="00053E1F">
        <w:rPr>
          <w:rFonts w:hint="cs"/>
          <w:rtl/>
        </w:rPr>
        <w:t>ّ</w:t>
      </w:r>
      <w:r w:rsidRPr="00822CE9">
        <w:rPr>
          <w:rFonts w:hint="cs"/>
          <w:rtl/>
        </w:rPr>
        <w:t>ه الأساس في الاستدلال بها، ولولاه لأمكن جعلها خاصّةً بسدير لظروف تلك المرحلة، لا</w:t>
      </w:r>
      <w:r w:rsidR="00702CD9">
        <w:rPr>
          <w:rFonts w:hint="cs"/>
          <w:rtl/>
        </w:rPr>
        <w:t xml:space="preserve"> </w:t>
      </w:r>
      <w:r w:rsidRPr="00822CE9">
        <w:rPr>
          <w:rFonts w:hint="cs"/>
          <w:rtl/>
        </w:rPr>
        <w:t>سي</w:t>
      </w:r>
      <w:r w:rsidR="00702CD9">
        <w:rPr>
          <w:rFonts w:hint="cs"/>
          <w:rtl/>
        </w:rPr>
        <w:t>ّ</w:t>
      </w:r>
      <w:r w:rsidRPr="00822CE9">
        <w:rPr>
          <w:rFonts w:hint="cs"/>
          <w:rtl/>
        </w:rPr>
        <w:t>ما على ما حقّقناه في مباحث حجية السنّة الشريفة من عدم ثبوت أصالة الإلهي</w:t>
      </w:r>
      <w:r w:rsidR="00053E1F">
        <w:rPr>
          <w:rFonts w:hint="cs"/>
          <w:rtl/>
        </w:rPr>
        <w:t>ّ</w:t>
      </w:r>
      <w:r w:rsidRPr="00822CE9">
        <w:rPr>
          <w:rFonts w:hint="cs"/>
          <w:rtl/>
        </w:rPr>
        <w:t xml:space="preserve">ة والتأبيد عند الشك الحقيقي ـ </w:t>
      </w:r>
      <w:r w:rsidR="00053E1F">
        <w:rPr>
          <w:rFonts w:hint="cs"/>
          <w:rtl/>
        </w:rPr>
        <w:t xml:space="preserve">دون </w:t>
      </w:r>
      <w:r w:rsidRPr="00822CE9">
        <w:rPr>
          <w:rFonts w:hint="cs"/>
          <w:rtl/>
        </w:rPr>
        <w:t xml:space="preserve">الافتراضي </w:t>
      </w:r>
      <w:r w:rsidRPr="00822CE9">
        <w:rPr>
          <w:rFonts w:hint="cs"/>
          <w:rtl/>
        </w:rPr>
        <w:lastRenderedPageBreak/>
        <w:t>ـ بين التأبيد والتاريخي</w:t>
      </w:r>
      <w:r w:rsidR="00053E1F">
        <w:rPr>
          <w:rFonts w:hint="cs"/>
          <w:rtl/>
        </w:rPr>
        <w:t>ّ</w:t>
      </w:r>
      <w:r w:rsidRPr="00822CE9">
        <w:rPr>
          <w:rFonts w:hint="cs"/>
          <w:rtl/>
        </w:rPr>
        <w:t>ة</w:t>
      </w:r>
      <w:r w:rsidRPr="000A4159">
        <w:rPr>
          <w:rFonts w:cs="Taher"/>
          <w:vertAlign w:val="superscript"/>
          <w:rtl/>
        </w:rPr>
        <w:t>(</w:t>
      </w:r>
      <w:r w:rsidRPr="000A4159">
        <w:rPr>
          <w:rStyle w:val="FootnoteReference"/>
          <w:rFonts w:cs="Taher"/>
          <w:rtl/>
        </w:rPr>
        <w:footnoteReference w:id="381"/>
      </w:r>
      <w:r w:rsidRPr="000A4159">
        <w:rPr>
          <w:rFonts w:cs="Taher"/>
          <w:vertAlign w:val="superscript"/>
          <w:rtl/>
        </w:rPr>
        <w:t>)</w:t>
      </w:r>
      <w:r w:rsidRPr="00822CE9">
        <w:rPr>
          <w:rFonts w:hint="cs"/>
          <w:rtl/>
        </w:rPr>
        <w:t>.</w:t>
      </w:r>
    </w:p>
    <w:p w14:paraId="4AF5B6C9" w14:textId="77777777" w:rsidR="000A4159" w:rsidRPr="00822CE9" w:rsidRDefault="000A4159" w:rsidP="000E47B2">
      <w:pPr>
        <w:pStyle w:val="normal930"/>
        <w:rPr>
          <w:rtl/>
        </w:rPr>
      </w:pPr>
      <w:r w:rsidRPr="00822CE9">
        <w:rPr>
          <w:rFonts w:hint="cs"/>
          <w:rtl/>
        </w:rPr>
        <w:t>وعليه، لماذا جاء ذكر السفياني في الرواية مع أنّ سديراً سيموت قبل ظهور السفياني بأكثر من ألف عام؟ وهل من المنطقي أن يبيّن الإمام هذا الأمر بهذه الطريقة إلا أن يكون معناه قرب ظهور السفياني من عصر سدير؟ يضاف إليه أنّه مادام السفياني سيسبق بقليل ظهور المهدي والمفروض أنّ الرواية هنا عن الصادق، ممّا يعني أنّ الإمام الصادق يدرك أن</w:t>
      </w:r>
      <w:r w:rsidR="00053E1F">
        <w:rPr>
          <w:rFonts w:hint="cs"/>
          <w:rtl/>
        </w:rPr>
        <w:t>ّ</w:t>
      </w:r>
      <w:r w:rsidRPr="00822CE9">
        <w:rPr>
          <w:rFonts w:hint="cs"/>
          <w:rtl/>
        </w:rPr>
        <w:t>ه حتى بالمعايير العادية لن يكون سدير حياً، بل المفروض أن يكون سدير عالماً بذلك طبقاً لإيمانه بالأئم</w:t>
      </w:r>
      <w:r w:rsidR="00053E1F">
        <w:rPr>
          <w:rFonts w:hint="cs"/>
          <w:rtl/>
        </w:rPr>
        <w:t>ّ</w:t>
      </w:r>
      <w:r w:rsidRPr="00822CE9">
        <w:rPr>
          <w:rFonts w:hint="cs"/>
          <w:rtl/>
        </w:rPr>
        <w:t>ة الاثني عشر، وعليه فما معنى أن يعلّق له الإمام على ظهور السفياني؟ فهذا أشبه بأن أقول اليوم لشخص عمره سبعين سنة لا تخرج، ولكن إذا خرج حفيد حفيدي فالح</w:t>
      </w:r>
      <w:r w:rsidR="00053E1F">
        <w:rPr>
          <w:rFonts w:hint="cs"/>
          <w:rtl/>
        </w:rPr>
        <w:t>َ</w:t>
      </w:r>
      <w:r w:rsidRPr="00822CE9">
        <w:rPr>
          <w:rFonts w:hint="cs"/>
          <w:rtl/>
        </w:rPr>
        <w:t>ق</w:t>
      </w:r>
      <w:r w:rsidR="00053E1F">
        <w:rPr>
          <w:rFonts w:hint="cs"/>
          <w:rtl/>
        </w:rPr>
        <w:t>ْ</w:t>
      </w:r>
      <w:r w:rsidRPr="00822CE9">
        <w:rPr>
          <w:rFonts w:hint="cs"/>
          <w:rtl/>
        </w:rPr>
        <w:t xml:space="preserve"> به، فهذا ما يوجب السخري</w:t>
      </w:r>
      <w:r w:rsidR="00053E1F">
        <w:rPr>
          <w:rFonts w:hint="cs"/>
          <w:rtl/>
        </w:rPr>
        <w:t>ّ</w:t>
      </w:r>
      <w:r w:rsidRPr="00822CE9">
        <w:rPr>
          <w:rFonts w:hint="cs"/>
          <w:rtl/>
        </w:rPr>
        <w:t>ة والاستغراب؟!</w:t>
      </w:r>
    </w:p>
    <w:p w14:paraId="4F720C11" w14:textId="77777777" w:rsidR="000A4159" w:rsidRPr="00822CE9" w:rsidRDefault="000A4159" w:rsidP="000E47B2">
      <w:pPr>
        <w:pStyle w:val="normal930"/>
        <w:rPr>
          <w:rtl/>
        </w:rPr>
      </w:pPr>
      <w:r w:rsidRPr="00822CE9">
        <w:rPr>
          <w:rFonts w:hint="cs"/>
          <w:rtl/>
        </w:rPr>
        <w:t>من هنا فهذا المقطع مشكوك</w:t>
      </w:r>
      <w:r w:rsidR="00053E1F">
        <w:rPr>
          <w:rFonts w:hint="cs"/>
          <w:rtl/>
        </w:rPr>
        <w:t>ٌ</w:t>
      </w:r>
      <w:r w:rsidRPr="00822CE9">
        <w:rPr>
          <w:rFonts w:hint="cs"/>
          <w:rtl/>
        </w:rPr>
        <w:t xml:space="preserve"> فيه، لا نراه إلا غريباً ي</w:t>
      </w:r>
      <w:r w:rsidR="00053E1F">
        <w:rPr>
          <w:rFonts w:hint="cs"/>
          <w:rtl/>
        </w:rPr>
        <w:t>ُ</w:t>
      </w:r>
      <w:r w:rsidRPr="00822CE9">
        <w:rPr>
          <w:rFonts w:hint="cs"/>
          <w:rtl/>
        </w:rPr>
        <w:t xml:space="preserve">لقي في قلوبنا التردّد والريبة من صدور الحديث، </w:t>
      </w:r>
      <w:r w:rsidR="00053E1F">
        <w:rPr>
          <w:rFonts w:hint="cs"/>
          <w:rtl/>
        </w:rPr>
        <w:t xml:space="preserve">وخاصّة </w:t>
      </w:r>
      <w:r w:rsidRPr="00822CE9">
        <w:rPr>
          <w:rFonts w:hint="cs"/>
          <w:rtl/>
        </w:rPr>
        <w:t>بعد أن لم ن</w:t>
      </w:r>
      <w:r w:rsidR="00053E1F">
        <w:rPr>
          <w:rFonts w:hint="cs"/>
          <w:rtl/>
        </w:rPr>
        <w:t>َ</w:t>
      </w:r>
      <w:r w:rsidRPr="00822CE9">
        <w:rPr>
          <w:rFonts w:hint="cs"/>
          <w:rtl/>
        </w:rPr>
        <w:t>م</w:t>
      </w:r>
      <w:r w:rsidR="00053E1F">
        <w:rPr>
          <w:rFonts w:hint="cs"/>
          <w:rtl/>
        </w:rPr>
        <w:t>ِ</w:t>
      </w:r>
      <w:r w:rsidRPr="00822CE9">
        <w:rPr>
          <w:rFonts w:hint="cs"/>
          <w:rtl/>
        </w:rPr>
        <w:t>ل</w:t>
      </w:r>
      <w:r w:rsidR="00053E1F">
        <w:rPr>
          <w:rFonts w:hint="cs"/>
          <w:rtl/>
        </w:rPr>
        <w:t>ْ</w:t>
      </w:r>
      <w:r w:rsidRPr="00822CE9">
        <w:rPr>
          <w:rFonts w:hint="cs"/>
          <w:rtl/>
        </w:rPr>
        <w:t xml:space="preserve"> إلى ثبوته السندي، فالاعتماد على هذه الرواية مشكل</w:t>
      </w:r>
      <w:r w:rsidR="00053E1F">
        <w:rPr>
          <w:rFonts w:hint="cs"/>
          <w:rtl/>
        </w:rPr>
        <w:t>ٌ</w:t>
      </w:r>
      <w:r w:rsidRPr="00822CE9">
        <w:rPr>
          <w:rFonts w:hint="cs"/>
          <w:rtl/>
        </w:rPr>
        <w:t>، كيف وقد تدفع للتورّط بإشكالي</w:t>
      </w:r>
      <w:r w:rsidR="00053E1F">
        <w:rPr>
          <w:rFonts w:hint="cs"/>
          <w:rtl/>
        </w:rPr>
        <w:t>ّ</w:t>
      </w:r>
      <w:r w:rsidRPr="00822CE9">
        <w:rPr>
          <w:rFonts w:hint="cs"/>
          <w:rtl/>
        </w:rPr>
        <w:t>ات عقدي</w:t>
      </w:r>
      <w:r w:rsidR="00053E1F">
        <w:rPr>
          <w:rFonts w:hint="cs"/>
          <w:rtl/>
        </w:rPr>
        <w:t>ّ</w:t>
      </w:r>
      <w:r w:rsidRPr="00822CE9">
        <w:rPr>
          <w:rFonts w:hint="cs"/>
          <w:rtl/>
        </w:rPr>
        <w:t>ة في نظري</w:t>
      </w:r>
      <w:r w:rsidR="00053E1F">
        <w:rPr>
          <w:rFonts w:hint="cs"/>
          <w:rtl/>
        </w:rPr>
        <w:t>ّ</w:t>
      </w:r>
      <w:r w:rsidRPr="00822CE9">
        <w:rPr>
          <w:rFonts w:hint="cs"/>
          <w:rtl/>
        </w:rPr>
        <w:t xml:space="preserve">ة الإمامة </w:t>
      </w:r>
      <w:r w:rsidR="00BD59D5">
        <w:rPr>
          <w:rFonts w:hint="cs"/>
          <w:rtl/>
        </w:rPr>
        <w:t xml:space="preserve">وفقاً لفهمها المشهوري، </w:t>
      </w:r>
      <w:r w:rsidRPr="00822CE9">
        <w:rPr>
          <w:rFonts w:hint="cs"/>
          <w:rtl/>
        </w:rPr>
        <w:t>لا حاجة لبحثها هنا</w:t>
      </w:r>
      <w:r w:rsidR="00BD59D5">
        <w:rPr>
          <w:rFonts w:hint="cs"/>
          <w:rtl/>
        </w:rPr>
        <w:t>، مثل أن يقال بأنّ الأئمّة لم يكونوا ليعرفوا أصلاً فكرة الغَيبة الكبرى ولم يكن متعيّناً في ذهنهم من هو الإمام القائم المهديّ من بينهم، وغير ذلك.</w:t>
      </w:r>
    </w:p>
    <w:p w14:paraId="6545DA37" w14:textId="77777777" w:rsidR="000A4159" w:rsidRDefault="000A4159" w:rsidP="00053E1F">
      <w:pPr>
        <w:spacing w:line="214" w:lineRule="auto"/>
        <w:rPr>
          <w:rtl/>
        </w:rPr>
      </w:pPr>
      <w:r w:rsidRPr="00822CE9">
        <w:rPr>
          <w:rFonts w:hint="cs"/>
          <w:rtl/>
        </w:rPr>
        <w:t>وأحتمل أنّ الرواية ـ أو هذا المقطع الأخير منها على الأقلّ ـ من وضع شخص يعتقد بأنّ الصادق أو الكاظم مثلاً هو مهديّ هذه الأمة، والله العالم.</w:t>
      </w:r>
    </w:p>
    <w:p w14:paraId="43D15B5A" w14:textId="77777777" w:rsidR="0011145E" w:rsidRPr="0011145E" w:rsidRDefault="0011145E" w:rsidP="000153E6">
      <w:pPr>
        <w:pStyle w:val="Heading4"/>
        <w:rPr>
          <w:rtl/>
        </w:rPr>
      </w:pPr>
      <w:bookmarkStart w:id="229" w:name="_Toc143804194"/>
      <w:bookmarkStart w:id="230" w:name="_Toc238123319"/>
      <w:r w:rsidRPr="0011145E">
        <w:rPr>
          <w:rFonts w:hint="cs"/>
          <w:rtl/>
        </w:rPr>
        <w:t xml:space="preserve">وقفة مع </w:t>
      </w:r>
      <w:r>
        <w:rPr>
          <w:rFonts w:hint="cs"/>
          <w:rtl/>
        </w:rPr>
        <w:t xml:space="preserve">روايات </w:t>
      </w:r>
      <w:r w:rsidRPr="0011145E">
        <w:rPr>
          <w:rFonts w:hint="cs"/>
          <w:rtl/>
        </w:rPr>
        <w:t xml:space="preserve">توصيف الخروج بالفرخ </w:t>
      </w:r>
      <w:r>
        <w:rPr>
          <w:rFonts w:hint="cs"/>
          <w:rtl/>
        </w:rPr>
        <w:t xml:space="preserve">الطائر </w:t>
      </w:r>
      <w:r w:rsidRPr="0011145E">
        <w:rPr>
          <w:rFonts w:hint="cs"/>
          <w:rtl/>
        </w:rPr>
        <w:t>الواقع</w:t>
      </w:r>
      <w:r>
        <w:rPr>
          <w:rFonts w:hint="cs"/>
          <w:rtl/>
        </w:rPr>
        <w:t xml:space="preserve"> من وكره</w:t>
      </w:r>
      <w:r w:rsidRPr="0011145E">
        <w:rPr>
          <w:rFonts w:hint="cs"/>
          <w:rtl/>
        </w:rPr>
        <w:t>، دلالات ومعانٍ</w:t>
      </w:r>
      <w:bookmarkEnd w:id="229"/>
      <w:bookmarkEnd w:id="230"/>
    </w:p>
    <w:p w14:paraId="51AA70B3" w14:textId="77777777" w:rsidR="000A4159" w:rsidRPr="00822CE9" w:rsidRDefault="0041719A" w:rsidP="006E6104">
      <w:pPr>
        <w:spacing w:line="214" w:lineRule="auto"/>
        <w:rPr>
          <w:rtl/>
        </w:rPr>
      </w:pPr>
      <w:r>
        <w:rPr>
          <w:rFonts w:hint="cs"/>
          <w:b/>
          <w:bCs/>
          <w:rtl/>
        </w:rPr>
        <w:t>ا</w:t>
      </w:r>
      <w:r w:rsidR="00053E1F">
        <w:rPr>
          <w:rFonts w:hint="cs"/>
          <w:b/>
          <w:bCs/>
          <w:rtl/>
        </w:rPr>
        <w:t>لرواية الثالثة والرابعة:</w:t>
      </w:r>
      <w:r w:rsidR="000A4159" w:rsidRPr="00822CE9">
        <w:rPr>
          <w:rFonts w:hint="cs"/>
          <w:b/>
          <w:bCs/>
          <w:rtl/>
        </w:rPr>
        <w:t xml:space="preserve"> مرفوعة ربعي،</w:t>
      </w:r>
      <w:r w:rsidR="000A4159" w:rsidRPr="00822CE9">
        <w:rPr>
          <w:rFonts w:hint="cs"/>
          <w:rtl/>
        </w:rPr>
        <w:t xml:space="preserve"> عن علي</w:t>
      </w:r>
      <w:r w:rsidR="006E6104">
        <w:rPr>
          <w:rFonts w:hint="cs"/>
          <w:rtl/>
        </w:rPr>
        <w:t>ّ</w:t>
      </w:r>
      <w:r w:rsidR="000A4159" w:rsidRPr="00822CE9">
        <w:rPr>
          <w:rFonts w:hint="cs"/>
          <w:rtl/>
        </w:rPr>
        <w:t xml:space="preserve"> بن الحسين</w:t>
      </w:r>
      <w:r w:rsidR="006E6104">
        <w:rPr>
          <w:rFonts w:hint="cs"/>
          <w:rtl/>
        </w:rPr>
        <w:t>×</w:t>
      </w:r>
      <w:r w:rsidR="000A4159" w:rsidRPr="00822CE9">
        <w:rPr>
          <w:rFonts w:hint="cs"/>
          <w:rtl/>
        </w:rPr>
        <w:t>، قال: «والله لا يخرج واحدٌ (أحد) منّا قبل خروج القائم، إلا كان مثله كمثل فرخ</w:t>
      </w:r>
      <w:r w:rsidR="006E6104">
        <w:rPr>
          <w:rFonts w:hint="cs"/>
          <w:rtl/>
        </w:rPr>
        <w:t>ٍ</w:t>
      </w:r>
      <w:r w:rsidR="000A4159" w:rsidRPr="00822CE9">
        <w:rPr>
          <w:rFonts w:hint="cs"/>
          <w:rtl/>
        </w:rPr>
        <w:t xml:space="preserve"> طار من وكره قبل أن يستوي جناحاه؛ فأخذه الصبيان فعبثوا به»</w:t>
      </w:r>
      <w:r w:rsidR="000A4159" w:rsidRPr="000A4159">
        <w:rPr>
          <w:rFonts w:cs="Taher"/>
          <w:vertAlign w:val="superscript"/>
          <w:rtl/>
        </w:rPr>
        <w:t>(</w:t>
      </w:r>
      <w:r w:rsidR="000A4159" w:rsidRPr="000A4159">
        <w:rPr>
          <w:rStyle w:val="FootnoteReference"/>
          <w:rFonts w:cs="Taher"/>
          <w:rtl/>
        </w:rPr>
        <w:footnoteReference w:id="382"/>
      </w:r>
      <w:r w:rsidR="000A4159" w:rsidRPr="000A4159">
        <w:rPr>
          <w:rFonts w:cs="Taher"/>
          <w:vertAlign w:val="superscript"/>
          <w:rtl/>
        </w:rPr>
        <w:t>)</w:t>
      </w:r>
      <w:r w:rsidR="000A4159" w:rsidRPr="00822CE9">
        <w:rPr>
          <w:rFonts w:hint="cs"/>
          <w:rtl/>
        </w:rPr>
        <w:t>.</w:t>
      </w:r>
    </w:p>
    <w:p w14:paraId="12B2572D" w14:textId="77777777" w:rsidR="000A4159" w:rsidRPr="00822CE9" w:rsidRDefault="000A4159" w:rsidP="00ED3C4C">
      <w:pPr>
        <w:spacing w:line="214" w:lineRule="auto"/>
        <w:rPr>
          <w:rtl/>
        </w:rPr>
      </w:pPr>
      <w:r w:rsidRPr="00822CE9">
        <w:rPr>
          <w:rFonts w:hint="cs"/>
          <w:b/>
          <w:bCs/>
          <w:rtl/>
        </w:rPr>
        <w:t>ومثل هذا الحديث خبر جابر،</w:t>
      </w:r>
      <w:r w:rsidRPr="00822CE9">
        <w:rPr>
          <w:rFonts w:hint="cs"/>
          <w:rtl/>
        </w:rPr>
        <w:t xml:space="preserve"> عن الإمام الباقر</w:t>
      </w:r>
      <w:r w:rsidR="00ED3C4C">
        <w:rPr>
          <w:rFonts w:hint="cs"/>
          <w:rtl/>
        </w:rPr>
        <w:t>×</w:t>
      </w:r>
      <w:r w:rsidRPr="00822CE9">
        <w:rPr>
          <w:rFonts w:hint="cs"/>
          <w:rtl/>
        </w:rPr>
        <w:t xml:space="preserve">، قال: «مثل خروج القائم منّا أهل البيت </w:t>
      </w:r>
      <w:r w:rsidRPr="00822CE9">
        <w:rPr>
          <w:rFonts w:hint="cs"/>
          <w:rtl/>
        </w:rPr>
        <w:lastRenderedPageBreak/>
        <w:t>كخروج رسول الله</w:t>
      </w:r>
      <w:r w:rsidR="00ED3C4C">
        <w:rPr>
          <w:rFonts w:hint="cs"/>
          <w:rtl/>
        </w:rPr>
        <w:t>‘</w:t>
      </w:r>
      <w:r w:rsidRPr="00822CE9">
        <w:rPr>
          <w:rFonts w:hint="cs"/>
          <w:rtl/>
        </w:rPr>
        <w:t>، ومثل من خرج منّا أهل البيت قبل قيام القائم مثل فرخ</w:t>
      </w:r>
      <w:r w:rsidR="00ED3C4C">
        <w:rPr>
          <w:rFonts w:hint="cs"/>
          <w:rtl/>
        </w:rPr>
        <w:t>ٍ</w:t>
      </w:r>
      <w:r w:rsidRPr="00822CE9">
        <w:rPr>
          <w:rFonts w:hint="cs"/>
          <w:rtl/>
        </w:rPr>
        <w:t xml:space="preserve"> طار فوقع (ووقع) من وكره، فتلاعبت به الصبيان»</w:t>
      </w:r>
      <w:r w:rsidRPr="000A4159">
        <w:rPr>
          <w:rFonts w:cs="Taher"/>
          <w:vertAlign w:val="superscript"/>
          <w:rtl/>
        </w:rPr>
        <w:t>(</w:t>
      </w:r>
      <w:r w:rsidRPr="000A4159">
        <w:rPr>
          <w:rStyle w:val="FootnoteReference"/>
          <w:rFonts w:cs="Taher"/>
          <w:rtl/>
        </w:rPr>
        <w:footnoteReference w:id="383"/>
      </w:r>
      <w:r w:rsidRPr="000A4159">
        <w:rPr>
          <w:rFonts w:cs="Taher"/>
          <w:vertAlign w:val="superscript"/>
          <w:rtl/>
        </w:rPr>
        <w:t>)</w:t>
      </w:r>
      <w:r w:rsidRPr="00822CE9">
        <w:rPr>
          <w:rFonts w:hint="cs"/>
          <w:rtl/>
        </w:rPr>
        <w:t>.</w:t>
      </w:r>
    </w:p>
    <w:p w14:paraId="5EC70C26" w14:textId="77777777" w:rsidR="000A4159" w:rsidRPr="00822CE9" w:rsidRDefault="000A4159" w:rsidP="000E47B2">
      <w:pPr>
        <w:pStyle w:val="normal870"/>
        <w:rPr>
          <w:rtl/>
        </w:rPr>
      </w:pPr>
      <w:r w:rsidRPr="00822CE9">
        <w:rPr>
          <w:rFonts w:hint="cs"/>
          <w:rtl/>
        </w:rPr>
        <w:t>يدلّ هذا الحديث على فشل كلّ المحاولات الثوري</w:t>
      </w:r>
      <w:r w:rsidR="00ED3C4C">
        <w:rPr>
          <w:rFonts w:hint="cs"/>
          <w:rtl/>
        </w:rPr>
        <w:t>ّ</w:t>
      </w:r>
      <w:r w:rsidRPr="00822CE9">
        <w:rPr>
          <w:rFonts w:hint="cs"/>
          <w:rtl/>
        </w:rPr>
        <w:t>ة التي سوف يقوم بها الشيعة قبل خروج المهدي</w:t>
      </w:r>
      <w:r w:rsidR="00ED3C4C">
        <w:rPr>
          <w:rFonts w:hint="cs"/>
          <w:rtl/>
        </w:rPr>
        <w:t>ّ</w:t>
      </w:r>
      <w:r w:rsidRPr="00822CE9">
        <w:rPr>
          <w:rFonts w:hint="cs"/>
          <w:rtl/>
        </w:rPr>
        <w:t>، فتشمل عصر</w:t>
      </w:r>
      <w:r w:rsidR="00ED3C4C">
        <w:rPr>
          <w:rFonts w:hint="cs"/>
          <w:rtl/>
        </w:rPr>
        <w:t>َ</w:t>
      </w:r>
      <w:r w:rsidRPr="00822CE9">
        <w:rPr>
          <w:rFonts w:hint="cs"/>
          <w:rtl/>
        </w:rPr>
        <w:t>ي: الحضور والغيبة، وهي لا تتحدّث بصراحة عن التحريم، لكن</w:t>
      </w:r>
      <w:r w:rsidR="00ED3C4C">
        <w:rPr>
          <w:rFonts w:hint="cs"/>
          <w:rtl/>
        </w:rPr>
        <w:t>ّ</w:t>
      </w:r>
      <w:r w:rsidRPr="00822CE9">
        <w:rPr>
          <w:rFonts w:hint="cs"/>
          <w:rtl/>
        </w:rPr>
        <w:t xml:space="preserve">ها </w:t>
      </w:r>
      <w:r w:rsidR="00ED3C4C">
        <w:rPr>
          <w:rFonts w:hint="cs"/>
          <w:rtl/>
        </w:rPr>
        <w:t>تخبر أو تتنبّأ ب</w:t>
      </w:r>
      <w:r w:rsidRPr="00822CE9">
        <w:rPr>
          <w:rFonts w:hint="cs"/>
          <w:rtl/>
        </w:rPr>
        <w:t>الفشل، في دلالة جليّة على رفض هذه المحاولات؛ لأن</w:t>
      </w:r>
      <w:r w:rsidR="00ED3C4C">
        <w:rPr>
          <w:rFonts w:hint="cs"/>
          <w:rtl/>
        </w:rPr>
        <w:t>ّ</w:t>
      </w:r>
      <w:r w:rsidRPr="00822CE9">
        <w:rPr>
          <w:rFonts w:hint="cs"/>
          <w:rtl/>
        </w:rPr>
        <w:t>ها قبل أوانها.</w:t>
      </w:r>
    </w:p>
    <w:p w14:paraId="1529ED7E" w14:textId="77777777" w:rsidR="000A4159" w:rsidRPr="00822CE9" w:rsidRDefault="000A4159" w:rsidP="00A079D6">
      <w:pPr>
        <w:spacing w:line="214" w:lineRule="auto"/>
        <w:rPr>
          <w:b/>
          <w:bCs/>
          <w:rtl/>
        </w:rPr>
      </w:pPr>
      <w:r w:rsidRPr="00822CE9">
        <w:rPr>
          <w:rFonts w:hint="cs"/>
          <w:b/>
          <w:bCs/>
          <w:rtl/>
        </w:rPr>
        <w:t>ويمكن المناقشة هنا:</w:t>
      </w:r>
    </w:p>
    <w:p w14:paraId="0488AC88" w14:textId="77777777" w:rsidR="000A4159" w:rsidRPr="00822CE9" w:rsidRDefault="000A4159" w:rsidP="00A079D6">
      <w:pPr>
        <w:spacing w:line="214" w:lineRule="auto"/>
        <w:rPr>
          <w:rtl/>
        </w:rPr>
      </w:pPr>
      <w:r w:rsidRPr="00822CE9">
        <w:rPr>
          <w:rFonts w:hint="cs"/>
          <w:b/>
          <w:bCs/>
          <w:rtl/>
        </w:rPr>
        <w:t>أو</w:t>
      </w:r>
      <w:r w:rsidR="00ED3C4C">
        <w:rPr>
          <w:rFonts w:hint="cs"/>
          <w:b/>
          <w:bCs/>
          <w:rtl/>
        </w:rPr>
        <w:t>ّ</w:t>
      </w:r>
      <w:r w:rsidRPr="00822CE9">
        <w:rPr>
          <w:rFonts w:hint="cs"/>
          <w:b/>
          <w:bCs/>
          <w:rtl/>
        </w:rPr>
        <w:t>لاً:</w:t>
      </w:r>
      <w:r w:rsidRPr="00822CE9">
        <w:rPr>
          <w:rFonts w:hint="cs"/>
          <w:rtl/>
        </w:rPr>
        <w:t xml:space="preserve"> إنّ الرواية ضعيفة السند، وذلك أنّها مرسلة مرفوعة لم تذكر مسندةً إلى الإمام زين العابدين، فلا يستند إليها. ونظري</w:t>
      </w:r>
      <w:r w:rsidR="00ED3C4C">
        <w:rPr>
          <w:rFonts w:hint="cs"/>
          <w:rtl/>
        </w:rPr>
        <w:t>ّ</w:t>
      </w:r>
      <w:r w:rsidRPr="00822CE9">
        <w:rPr>
          <w:rFonts w:hint="cs"/>
          <w:rtl/>
        </w:rPr>
        <w:t>ة تصحيح السند الواقع قبل أحد أصحاب الإجماع غير ثابتة كما عليه جمهور المتأخّرين من محقّقي علم الرجال، فلا قيمة لرواية حمّاد بن عيسى هنا عن ربعي.</w:t>
      </w:r>
    </w:p>
    <w:p w14:paraId="0A4F81E6" w14:textId="77777777" w:rsidR="000A4159" w:rsidRPr="00822CE9" w:rsidRDefault="000A4159" w:rsidP="000E47B2">
      <w:pPr>
        <w:pStyle w:val="normal84"/>
        <w:rPr>
          <w:rtl/>
        </w:rPr>
      </w:pPr>
      <w:r w:rsidRPr="00822CE9">
        <w:rPr>
          <w:rFonts w:hint="cs"/>
          <w:rtl/>
        </w:rPr>
        <w:t>وهكذا الحال في الرواية الثانية، فهي ضعيفة السند بكلّ من: المثنى الحضرمي</w:t>
      </w:r>
      <w:r w:rsidRPr="00822CE9">
        <w:rPr>
          <w:rtl/>
        </w:rPr>
        <w:t xml:space="preserve">، </w:t>
      </w:r>
      <w:r w:rsidRPr="00822CE9">
        <w:rPr>
          <w:rFonts w:hint="cs"/>
          <w:rtl/>
        </w:rPr>
        <w:t>وعثمان بن يزيد</w:t>
      </w:r>
      <w:r w:rsidRPr="00822CE9">
        <w:rPr>
          <w:rtl/>
        </w:rPr>
        <w:t xml:space="preserve">، </w:t>
      </w:r>
      <w:r w:rsidRPr="00822CE9">
        <w:rPr>
          <w:rFonts w:hint="cs"/>
          <w:rtl/>
        </w:rPr>
        <w:t>وأحمد بن علي الجعفي</w:t>
      </w:r>
      <w:r w:rsidRPr="00822CE9">
        <w:rPr>
          <w:rtl/>
        </w:rPr>
        <w:t xml:space="preserve">، </w:t>
      </w:r>
      <w:r w:rsidRPr="00822CE9">
        <w:rPr>
          <w:rFonts w:hint="cs"/>
          <w:rtl/>
        </w:rPr>
        <w:t>وجعفر بن محمد بن مالك، حيث لم تثبت وثاقتهم.</w:t>
      </w:r>
    </w:p>
    <w:p w14:paraId="273719A4" w14:textId="77777777" w:rsidR="000A4159" w:rsidRPr="00822CE9" w:rsidRDefault="000A4159" w:rsidP="00ED3C4C">
      <w:pPr>
        <w:spacing w:line="214" w:lineRule="auto"/>
        <w:rPr>
          <w:rtl/>
        </w:rPr>
      </w:pPr>
      <w:r w:rsidRPr="00822CE9">
        <w:rPr>
          <w:rFonts w:hint="cs"/>
          <w:b/>
          <w:bCs/>
          <w:rtl/>
        </w:rPr>
        <w:t>ثانياً:</w:t>
      </w:r>
      <w:r w:rsidRPr="00822CE9">
        <w:rPr>
          <w:rFonts w:hint="cs"/>
          <w:rtl/>
        </w:rPr>
        <w:t xml:space="preserve"> إنّ هذه الرواية ليست بصدد إصدار حكم شرعي بالتحريم، بل بصدد الإخبار الغيبي عن أنّ الثورات التي ستقع قبل ظهور القائم سوف تنتهي بالفشل والإخفاق، لكن مع ذلك ربما تكون جائزةً أو واجبة، لما لها من آثار مهمّة</w:t>
      </w:r>
      <w:r w:rsidRPr="000A4159">
        <w:rPr>
          <w:rFonts w:cs="Taher"/>
          <w:vertAlign w:val="superscript"/>
          <w:rtl/>
        </w:rPr>
        <w:t>(</w:t>
      </w:r>
      <w:r w:rsidRPr="000A4159">
        <w:rPr>
          <w:rStyle w:val="FootnoteReference"/>
          <w:rFonts w:cs="Taher"/>
          <w:rtl/>
        </w:rPr>
        <w:footnoteReference w:id="384"/>
      </w:r>
      <w:r w:rsidRPr="000A4159">
        <w:rPr>
          <w:rFonts w:cs="Taher"/>
          <w:vertAlign w:val="superscript"/>
          <w:rtl/>
        </w:rPr>
        <w:t>)</w:t>
      </w:r>
      <w:r w:rsidRPr="00822CE9">
        <w:rPr>
          <w:rtl/>
        </w:rPr>
        <w:t xml:space="preserve">، </w:t>
      </w:r>
      <w:r w:rsidRPr="00822CE9">
        <w:rPr>
          <w:rFonts w:hint="cs"/>
          <w:rtl/>
        </w:rPr>
        <w:t>تماماً مثل ثورة الإمام الحسين التي ينطبق عليها مفهوم الفشل دنيوياً بالمعنى الضيّق، وتصدق عليها هذه الرواية؛ إلا أنها ـ مع ذلك ـ واجبٌ شرعي وفريضة إلهية قام بها الحسين، فلا تلازم بين الفشل والحرمة.</w:t>
      </w:r>
    </w:p>
    <w:p w14:paraId="07DF6E31" w14:textId="77777777" w:rsidR="000A4159" w:rsidRPr="00822CE9" w:rsidRDefault="000A4159" w:rsidP="00ED3C4C">
      <w:pPr>
        <w:spacing w:line="214" w:lineRule="auto"/>
        <w:rPr>
          <w:rtl/>
        </w:rPr>
      </w:pPr>
      <w:r w:rsidRPr="00822CE9">
        <w:rPr>
          <w:rFonts w:hint="cs"/>
          <w:rtl/>
        </w:rPr>
        <w:t>وقد يتعز</w:t>
      </w:r>
      <w:r w:rsidR="00ED3C4C">
        <w:rPr>
          <w:rFonts w:hint="cs"/>
          <w:rtl/>
        </w:rPr>
        <w:t>ّ</w:t>
      </w:r>
      <w:r w:rsidRPr="00822CE9">
        <w:rPr>
          <w:rFonts w:hint="cs"/>
          <w:rtl/>
        </w:rPr>
        <w:t>ز ذلك ـ كما يقول الحائري ـ بضمّ مواقف أهل البيت المؤيّدة لثورة زيد وصاحب فخ</w:t>
      </w:r>
      <w:r w:rsidR="00ED3C4C">
        <w:rPr>
          <w:rFonts w:hint="cs"/>
          <w:rtl/>
        </w:rPr>
        <w:t>ّ</w:t>
      </w:r>
      <w:r w:rsidRPr="00822CE9">
        <w:rPr>
          <w:rFonts w:hint="cs"/>
          <w:rtl/>
        </w:rPr>
        <w:t>، فهذه الثورات وقعت بعد صدور هذا النصّ من الإمام زين العابدين، مما يكشف عن عدم إرادة التحريم من هذا النص</w:t>
      </w:r>
      <w:r w:rsidRPr="000A4159">
        <w:rPr>
          <w:rFonts w:cs="Taher"/>
          <w:vertAlign w:val="superscript"/>
          <w:rtl/>
        </w:rPr>
        <w:t>(</w:t>
      </w:r>
      <w:r w:rsidRPr="000A4159">
        <w:rPr>
          <w:rStyle w:val="FootnoteReference"/>
          <w:rFonts w:cs="Taher"/>
          <w:rtl/>
        </w:rPr>
        <w:footnoteReference w:id="385"/>
      </w:r>
      <w:r w:rsidRPr="000A4159">
        <w:rPr>
          <w:rFonts w:cs="Taher"/>
          <w:vertAlign w:val="superscript"/>
          <w:rtl/>
        </w:rPr>
        <w:t>)</w:t>
      </w:r>
      <w:r w:rsidRPr="00822CE9">
        <w:rPr>
          <w:rFonts w:hint="cs"/>
          <w:rtl/>
        </w:rPr>
        <w:t>.</w:t>
      </w:r>
    </w:p>
    <w:p w14:paraId="2192F777" w14:textId="77777777" w:rsidR="000A4159" w:rsidRPr="00822CE9" w:rsidRDefault="000A4159" w:rsidP="00EE25D7">
      <w:pPr>
        <w:spacing w:line="214" w:lineRule="auto"/>
        <w:rPr>
          <w:rtl/>
        </w:rPr>
      </w:pPr>
      <w:r w:rsidRPr="00822CE9">
        <w:rPr>
          <w:rFonts w:hint="cs"/>
          <w:b/>
          <w:bCs/>
          <w:rtl/>
        </w:rPr>
        <w:t>لكنّ هذه الملاحظة غير دقيقة؛</w:t>
      </w:r>
      <w:r w:rsidRPr="00822CE9">
        <w:rPr>
          <w:rFonts w:hint="cs"/>
          <w:rtl/>
        </w:rPr>
        <w:t xml:space="preserve"> لأن</w:t>
      </w:r>
      <w:r w:rsidR="00ED3C4C">
        <w:rPr>
          <w:rFonts w:hint="cs"/>
          <w:rtl/>
        </w:rPr>
        <w:t>ّ</w:t>
      </w:r>
      <w:r w:rsidRPr="00822CE9">
        <w:rPr>
          <w:rFonts w:hint="cs"/>
          <w:rtl/>
        </w:rPr>
        <w:t>ه لا يشترط في إصدار بيان تحريمي أن يكون بلغةٍ فقهي</w:t>
      </w:r>
      <w:r w:rsidR="00ED3C4C">
        <w:rPr>
          <w:rFonts w:hint="cs"/>
          <w:rtl/>
        </w:rPr>
        <w:t>ّ</w:t>
      </w:r>
      <w:r w:rsidRPr="00822CE9">
        <w:rPr>
          <w:rFonts w:hint="cs"/>
          <w:rtl/>
        </w:rPr>
        <w:t>ة أو قانوني</w:t>
      </w:r>
      <w:r w:rsidR="00ED3C4C">
        <w:rPr>
          <w:rFonts w:hint="cs"/>
          <w:rtl/>
        </w:rPr>
        <w:t>ّ</w:t>
      </w:r>
      <w:r w:rsidRPr="00822CE9">
        <w:rPr>
          <w:rFonts w:hint="cs"/>
          <w:rtl/>
        </w:rPr>
        <w:t xml:space="preserve">ة، فعندما يعلن إمامٌ أنّ أيّ محاولة ثورية هي محاولة تشبه حركة فرخ سقط ولعب به </w:t>
      </w:r>
      <w:r w:rsidRPr="00822CE9">
        <w:rPr>
          <w:rFonts w:hint="cs"/>
          <w:rtl/>
        </w:rPr>
        <w:lastRenderedPageBreak/>
        <w:t xml:space="preserve">الصبيان؛ فإنّ هذا معناه عرفاً أنّ هذا الخروج هو خروج غير عقلائي ولا ناضج بل هو عبثي؛ إنّ وصف ثورةٍ </w:t>
      </w:r>
      <w:r w:rsidR="00EE25D7">
        <w:rPr>
          <w:rFonts w:hint="cs"/>
          <w:rtl/>
        </w:rPr>
        <w:t xml:space="preserve">ـ تستبطن سفك الدماء في العادة ـ </w:t>
      </w:r>
      <w:r w:rsidRPr="00822CE9">
        <w:rPr>
          <w:rFonts w:hint="cs"/>
          <w:rtl/>
        </w:rPr>
        <w:t>بهذا الوصف ليس تعبيراً عن إخبار بحت، وإن</w:t>
      </w:r>
      <w:r w:rsidR="00ED3C4C">
        <w:rPr>
          <w:rFonts w:hint="cs"/>
          <w:rtl/>
        </w:rPr>
        <w:t>ّ</w:t>
      </w:r>
      <w:r w:rsidRPr="00822CE9">
        <w:rPr>
          <w:rFonts w:hint="cs"/>
          <w:rtl/>
        </w:rPr>
        <w:t>ما فيه دلالة على عدم صواب هذا الخروج، وإذا كان قصده الفشل فلماذا التشبيه بالفرخ الذي لم يستوِ جناحاه في إشارة إلى عدم عقلاني</w:t>
      </w:r>
      <w:r w:rsidR="00ED3C4C">
        <w:rPr>
          <w:rFonts w:hint="cs"/>
          <w:rtl/>
        </w:rPr>
        <w:t>ّ</w:t>
      </w:r>
      <w:r w:rsidRPr="00822CE9">
        <w:rPr>
          <w:rFonts w:hint="cs"/>
          <w:rtl/>
        </w:rPr>
        <w:t>ة الخروج؟!</w:t>
      </w:r>
    </w:p>
    <w:p w14:paraId="1E2C4369" w14:textId="77777777" w:rsidR="000A4159" w:rsidRPr="00822CE9" w:rsidRDefault="000A4159" w:rsidP="00ED3C4C">
      <w:pPr>
        <w:spacing w:line="214" w:lineRule="auto"/>
        <w:rPr>
          <w:rtl/>
        </w:rPr>
      </w:pPr>
      <w:r w:rsidRPr="00822CE9">
        <w:rPr>
          <w:rFonts w:hint="cs"/>
          <w:rtl/>
        </w:rPr>
        <w:t>وبعبارة ثانية: فليرجع كلّ واحد إلى وجدانه، هل يصحّ التعبير بهذا اللسان عن ثورة الحسين بحجّة أن</w:t>
      </w:r>
      <w:r w:rsidR="00ED3C4C">
        <w:rPr>
          <w:rFonts w:hint="cs"/>
          <w:rtl/>
        </w:rPr>
        <w:t>ّ</w:t>
      </w:r>
      <w:r w:rsidRPr="00822CE9">
        <w:rPr>
          <w:rFonts w:hint="cs"/>
          <w:rtl/>
        </w:rPr>
        <w:t>ه محض إخبار؟!</w:t>
      </w:r>
    </w:p>
    <w:p w14:paraId="2322C8F2" w14:textId="77777777" w:rsidR="000A4159" w:rsidRPr="00822CE9" w:rsidRDefault="000A4159" w:rsidP="00ED3C4C">
      <w:pPr>
        <w:spacing w:line="214" w:lineRule="auto"/>
        <w:rPr>
          <w:rtl/>
        </w:rPr>
      </w:pPr>
      <w:r w:rsidRPr="00822CE9">
        <w:rPr>
          <w:rFonts w:hint="cs"/>
          <w:rtl/>
        </w:rPr>
        <w:t>طبعاً نحن لا نقول: إنّها نصّ في التحريم، لكن</w:t>
      </w:r>
      <w:r w:rsidR="00ED3C4C">
        <w:rPr>
          <w:rFonts w:hint="cs"/>
          <w:rtl/>
        </w:rPr>
        <w:t>ّ</w:t>
      </w:r>
      <w:r w:rsidRPr="00822CE9">
        <w:rPr>
          <w:rFonts w:hint="cs"/>
          <w:rtl/>
        </w:rPr>
        <w:t>نا نقول: إنها واضحة في عدم الرغبة في هذه الثورات قبل خروج المهدي.</w:t>
      </w:r>
    </w:p>
    <w:p w14:paraId="0883AF6E" w14:textId="77777777" w:rsidR="000A4159" w:rsidRPr="00822CE9" w:rsidRDefault="000A4159" w:rsidP="0000092D">
      <w:pPr>
        <w:spacing w:line="214" w:lineRule="auto"/>
        <w:rPr>
          <w:rtl/>
        </w:rPr>
      </w:pPr>
      <w:r w:rsidRPr="00822CE9">
        <w:rPr>
          <w:rFonts w:hint="cs"/>
          <w:rtl/>
        </w:rPr>
        <w:t>وأم</w:t>
      </w:r>
      <w:r w:rsidR="00ED3C4C">
        <w:rPr>
          <w:rFonts w:hint="cs"/>
          <w:rtl/>
        </w:rPr>
        <w:t>ّ</w:t>
      </w:r>
      <w:r w:rsidRPr="00822CE9">
        <w:rPr>
          <w:rFonts w:hint="cs"/>
          <w:rtl/>
        </w:rPr>
        <w:t>ا الاستشهاد بثورت</w:t>
      </w:r>
      <w:r w:rsidR="00ED3C4C">
        <w:rPr>
          <w:rFonts w:hint="cs"/>
          <w:rtl/>
        </w:rPr>
        <w:t>َ</w:t>
      </w:r>
      <w:r w:rsidRPr="00822CE9">
        <w:rPr>
          <w:rFonts w:hint="cs"/>
          <w:rtl/>
        </w:rPr>
        <w:t>ي</w:t>
      </w:r>
      <w:r w:rsidR="00ED3C4C">
        <w:rPr>
          <w:rFonts w:hint="cs"/>
          <w:rtl/>
        </w:rPr>
        <w:t>:</w:t>
      </w:r>
      <w:r w:rsidRPr="00822CE9">
        <w:rPr>
          <w:rFonts w:hint="cs"/>
          <w:rtl/>
        </w:rPr>
        <w:t xml:space="preserve"> زيد وصاحب فخ</w:t>
      </w:r>
      <w:r w:rsidR="00ED3C4C">
        <w:rPr>
          <w:rFonts w:hint="cs"/>
          <w:rtl/>
        </w:rPr>
        <w:t>ّ</w:t>
      </w:r>
      <w:r w:rsidRPr="00822CE9">
        <w:rPr>
          <w:rFonts w:hint="cs"/>
          <w:rtl/>
        </w:rPr>
        <w:t>، فقد كان لنا موقفٌ متحف</w:t>
      </w:r>
      <w:r w:rsidR="00ED3C4C">
        <w:rPr>
          <w:rFonts w:hint="cs"/>
          <w:rtl/>
        </w:rPr>
        <w:t>ّ</w:t>
      </w:r>
      <w:r w:rsidRPr="00822CE9">
        <w:rPr>
          <w:rFonts w:hint="cs"/>
          <w:rtl/>
        </w:rPr>
        <w:t>ظ سابقاً حيث لم نحرز تأييدهما من جانب أهل البيت، تماماً كما لم نحرز الرفض، ولعلّ هذه الرواية تعزّز موقفنا هناك.</w:t>
      </w:r>
    </w:p>
    <w:p w14:paraId="3EEDB553" w14:textId="77777777" w:rsidR="000A4159" w:rsidRPr="00822CE9" w:rsidRDefault="000A4159" w:rsidP="00ED3C4C">
      <w:pPr>
        <w:spacing w:line="214" w:lineRule="auto"/>
        <w:rPr>
          <w:rtl/>
        </w:rPr>
      </w:pPr>
      <w:r w:rsidRPr="00822CE9">
        <w:rPr>
          <w:rFonts w:hint="cs"/>
          <w:rtl/>
        </w:rPr>
        <w:t>نعم، إنّ النصوص المؤيّدة لثورة زيد وصاحب فخ</w:t>
      </w:r>
      <w:r w:rsidR="00ED3C4C">
        <w:rPr>
          <w:rFonts w:hint="cs"/>
          <w:rtl/>
        </w:rPr>
        <w:t>ّ</w:t>
      </w:r>
      <w:r w:rsidRPr="00822CE9">
        <w:rPr>
          <w:rFonts w:hint="cs"/>
          <w:rtl/>
        </w:rPr>
        <w:t xml:space="preserve"> وأمثالهما حتى لو لم تعطنا وضوحاً في موقف أهل البيت، لكنّ معارضتها لمثل هذا النص</w:t>
      </w:r>
      <w:r w:rsidR="00ED3C4C">
        <w:rPr>
          <w:rFonts w:hint="cs"/>
          <w:rtl/>
        </w:rPr>
        <w:t>ّ</w:t>
      </w:r>
      <w:r w:rsidRPr="00822CE9">
        <w:rPr>
          <w:rFonts w:hint="cs"/>
          <w:rtl/>
        </w:rPr>
        <w:t xml:space="preserve"> هنا قد تضع جملة النصوص كلّها في حال فقدان الوثوق بالصدور بنحو التعيين، والذي هو العمدة في حجيّة الأخبار، فإذا قصد السيد الحائري ذلك فهو جيّد، وإلا جرت مناقشتنا المتقدّمة في حقّه.</w:t>
      </w:r>
    </w:p>
    <w:p w14:paraId="40520AFE" w14:textId="77777777" w:rsidR="000A4159" w:rsidRPr="00822CE9" w:rsidRDefault="000A4159" w:rsidP="00A079D6">
      <w:pPr>
        <w:spacing w:line="214" w:lineRule="auto"/>
        <w:rPr>
          <w:rtl/>
        </w:rPr>
      </w:pPr>
      <w:r w:rsidRPr="00822CE9">
        <w:rPr>
          <w:rFonts w:hint="cs"/>
          <w:b/>
          <w:bCs/>
          <w:rtl/>
        </w:rPr>
        <w:t>ثالثاً:</w:t>
      </w:r>
      <w:r w:rsidRPr="00822CE9">
        <w:rPr>
          <w:rFonts w:hint="cs"/>
          <w:rtl/>
        </w:rPr>
        <w:t xml:space="preserve"> ما هوالمقصود بكلمة «منّا» الواردة في الرواية</w:t>
      </w:r>
      <w:r w:rsidRPr="000A4159">
        <w:rPr>
          <w:rFonts w:cs="Taher"/>
          <w:vertAlign w:val="superscript"/>
          <w:rtl/>
        </w:rPr>
        <w:t>(</w:t>
      </w:r>
      <w:r w:rsidRPr="000A4159">
        <w:rPr>
          <w:rStyle w:val="FootnoteReference"/>
          <w:rFonts w:cs="Taher"/>
          <w:rtl/>
        </w:rPr>
        <w:footnoteReference w:id="386"/>
      </w:r>
      <w:r w:rsidRPr="000A4159">
        <w:rPr>
          <w:rFonts w:cs="Taher"/>
          <w:vertAlign w:val="superscript"/>
          <w:rtl/>
        </w:rPr>
        <w:t>)</w:t>
      </w:r>
      <w:r w:rsidRPr="00822CE9">
        <w:rPr>
          <w:rtl/>
        </w:rPr>
        <w:t>؟</w:t>
      </w:r>
    </w:p>
    <w:p w14:paraId="267C83F2" w14:textId="77777777" w:rsidR="000A4159" w:rsidRPr="00822CE9" w:rsidRDefault="000A4159" w:rsidP="00ED3C4C">
      <w:pPr>
        <w:spacing w:line="214" w:lineRule="auto"/>
        <w:rPr>
          <w:rtl/>
        </w:rPr>
      </w:pPr>
      <w:r w:rsidRPr="00822CE9">
        <w:rPr>
          <w:rFonts w:hint="cs"/>
          <w:b/>
          <w:bCs/>
          <w:rtl/>
        </w:rPr>
        <w:t>أ ـ</w:t>
      </w:r>
      <w:r w:rsidRPr="00822CE9">
        <w:rPr>
          <w:rFonts w:hint="cs"/>
          <w:rtl/>
        </w:rPr>
        <w:t xml:space="preserve"> إذا كان المقصود الإشارة إلى أهل البيت، أي خروج واحد من الأئم</w:t>
      </w:r>
      <w:r w:rsidR="00ED3C4C">
        <w:rPr>
          <w:rFonts w:hint="cs"/>
          <w:rtl/>
        </w:rPr>
        <w:t>ّ</w:t>
      </w:r>
      <w:r w:rsidRPr="00822CE9">
        <w:rPr>
          <w:rFonts w:hint="cs"/>
          <w:rtl/>
        </w:rPr>
        <w:t xml:space="preserve">ة قبل المهدي، فهذا ما يجعل الرواية أجنبيةً عن بحثنا، فنحن نريد تحديد موقفنا الشرعي </w:t>
      </w:r>
      <w:r w:rsidR="00ED3C4C">
        <w:rPr>
          <w:rFonts w:hint="cs"/>
          <w:rtl/>
        </w:rPr>
        <w:t xml:space="preserve">دون </w:t>
      </w:r>
      <w:r w:rsidRPr="00822CE9">
        <w:rPr>
          <w:rFonts w:hint="cs"/>
          <w:rtl/>
        </w:rPr>
        <w:t>وظيفة الأئم</w:t>
      </w:r>
      <w:r w:rsidR="00ED3C4C">
        <w:rPr>
          <w:rFonts w:hint="cs"/>
          <w:rtl/>
        </w:rPr>
        <w:t>ّ</w:t>
      </w:r>
      <w:r w:rsidRPr="00822CE9">
        <w:rPr>
          <w:rFonts w:hint="cs"/>
          <w:rtl/>
        </w:rPr>
        <w:t>ة أنفسهم.</w:t>
      </w:r>
    </w:p>
    <w:p w14:paraId="11DEB44F" w14:textId="77777777" w:rsidR="000A4159" w:rsidRPr="00822CE9" w:rsidRDefault="000A4159" w:rsidP="00A079D6">
      <w:pPr>
        <w:spacing w:line="214" w:lineRule="auto"/>
        <w:rPr>
          <w:rtl/>
        </w:rPr>
      </w:pPr>
      <w:r w:rsidRPr="00822CE9">
        <w:rPr>
          <w:rFonts w:hint="cs"/>
          <w:b/>
          <w:bCs/>
          <w:rtl/>
        </w:rPr>
        <w:t>ب ـ</w:t>
      </w:r>
      <w:r w:rsidRPr="00822CE9">
        <w:rPr>
          <w:rFonts w:hint="cs"/>
          <w:rtl/>
        </w:rPr>
        <w:t xml:space="preserve"> وإذا كان المقصود أحد العلويين، أي البيت العلوي أو الفاطمي وربما الهاشمي، بمعنى أنّ كلّ شخص يخرج من البيت العلوي والفاطمي سوف يكون مصيره كذا وكذا، سواء كان من الأئمّة أم من غيرهم، فهذا شيء قد تناقضه حقائق التاريخ؛ فقد خرج علويّون ـ بهذا المعنى ـ وانتصروا وتحوّلوا إلى دول مقتدرة لا يصدق عليها التوصيف بالطائر الفرخ، فهذه دولة </w:t>
      </w:r>
      <w:r w:rsidRPr="00822CE9">
        <w:rPr>
          <w:rFonts w:hint="cs"/>
          <w:rtl/>
        </w:rPr>
        <w:lastRenderedPageBreak/>
        <w:t>الأدارسة التي دامت لأكثر من قرنين من الزمان في المغرب، وهذه الدولة الفاطمي</w:t>
      </w:r>
      <w:r w:rsidR="00ED3C4C">
        <w:rPr>
          <w:rFonts w:hint="cs"/>
          <w:rtl/>
        </w:rPr>
        <w:t>ّ</w:t>
      </w:r>
      <w:r w:rsidRPr="00822CE9">
        <w:rPr>
          <w:rFonts w:hint="cs"/>
          <w:rtl/>
        </w:rPr>
        <w:t>ة، إذا كان أعلامها علويّين، وغيرها من الدول التي دامت مئات السنين مقتدرةً بحيث لا يصحّ وصفها بهذا الوصف الوارد في الرواية، مما يبطل الإنباء الغيبي الموجود فيها، وما ذكره مثل الشيخ المنتظري من عدم شمول سلطان هذه الدول لتمام بلاد المسلمين</w:t>
      </w:r>
      <w:r w:rsidRPr="000A4159">
        <w:rPr>
          <w:rFonts w:cs="Taher"/>
          <w:vertAlign w:val="superscript"/>
          <w:rtl/>
        </w:rPr>
        <w:t>(</w:t>
      </w:r>
      <w:r w:rsidRPr="000A4159">
        <w:rPr>
          <w:rStyle w:val="FootnoteReference"/>
          <w:rFonts w:cs="Taher"/>
          <w:rtl/>
        </w:rPr>
        <w:footnoteReference w:id="387"/>
      </w:r>
      <w:r w:rsidRPr="000A4159">
        <w:rPr>
          <w:rFonts w:cs="Taher"/>
          <w:vertAlign w:val="superscript"/>
          <w:rtl/>
        </w:rPr>
        <w:t>)</w:t>
      </w:r>
      <w:r w:rsidRPr="00822CE9">
        <w:rPr>
          <w:rFonts w:hint="cs"/>
          <w:rtl/>
        </w:rPr>
        <w:t>، لا يضرّ، فالرواية لا حديث فيها عن ذلك إطلاقاً، وإنّما عن أصل النجاح، أفهل يشكّ في نجاح ثورات أو حركات علويّة أو فاطميّة عبر التاريخ قامت لها دول مقتدرة كالأدارسة والفاطمي</w:t>
      </w:r>
      <w:r w:rsidR="00ED3C4C">
        <w:rPr>
          <w:rFonts w:hint="cs"/>
          <w:rtl/>
        </w:rPr>
        <w:t>ّ</w:t>
      </w:r>
      <w:r w:rsidRPr="00822CE9">
        <w:rPr>
          <w:rFonts w:hint="cs"/>
          <w:rtl/>
        </w:rPr>
        <w:t>ين وغيرهم؟</w:t>
      </w:r>
      <w:r w:rsidR="005919A7">
        <w:rPr>
          <w:rFonts w:hint="cs"/>
          <w:rtl/>
        </w:rPr>
        <w:t>!</w:t>
      </w:r>
    </w:p>
    <w:p w14:paraId="27B7E290" w14:textId="77777777" w:rsidR="000A4159" w:rsidRPr="00822CE9" w:rsidRDefault="000A4159" w:rsidP="00A079D6">
      <w:pPr>
        <w:spacing w:line="214" w:lineRule="auto"/>
        <w:rPr>
          <w:rtl/>
        </w:rPr>
      </w:pPr>
      <w:r w:rsidRPr="00822CE9">
        <w:rPr>
          <w:rFonts w:hint="cs"/>
          <w:b/>
          <w:bCs/>
          <w:rtl/>
        </w:rPr>
        <w:t>ج ـ</w:t>
      </w:r>
      <w:r w:rsidRPr="00822CE9">
        <w:rPr>
          <w:rFonts w:hint="cs"/>
          <w:rtl/>
        </w:rPr>
        <w:t xml:space="preserve"> وأم</w:t>
      </w:r>
      <w:r w:rsidR="00ED3C4C">
        <w:rPr>
          <w:rFonts w:hint="cs"/>
          <w:rtl/>
        </w:rPr>
        <w:t>ّ</w:t>
      </w:r>
      <w:r w:rsidRPr="00822CE9">
        <w:rPr>
          <w:rFonts w:hint="cs"/>
          <w:rtl/>
        </w:rPr>
        <w:t>ا إذا كان المقصود أحدٌ من شيعتنا بالمعنى العام للشيعي، فهو الآخر ينتقض بحقائق التاريخ كالبويهي</w:t>
      </w:r>
      <w:r w:rsidR="00ED3C4C">
        <w:rPr>
          <w:rFonts w:hint="cs"/>
          <w:rtl/>
        </w:rPr>
        <w:t>ّ</w:t>
      </w:r>
      <w:r w:rsidRPr="00822CE9">
        <w:rPr>
          <w:rFonts w:hint="cs"/>
          <w:rtl/>
        </w:rPr>
        <w:t>ين والحمداني</w:t>
      </w:r>
      <w:r w:rsidR="00ED3C4C">
        <w:rPr>
          <w:rFonts w:hint="cs"/>
          <w:rtl/>
        </w:rPr>
        <w:t>ّ</w:t>
      </w:r>
      <w:r w:rsidRPr="00822CE9">
        <w:rPr>
          <w:rFonts w:hint="cs"/>
          <w:rtl/>
        </w:rPr>
        <w:t>ين والصفوي</w:t>
      </w:r>
      <w:r w:rsidR="00ED3C4C">
        <w:rPr>
          <w:rFonts w:hint="cs"/>
          <w:rtl/>
        </w:rPr>
        <w:t>ّ</w:t>
      </w:r>
      <w:r w:rsidRPr="00822CE9">
        <w:rPr>
          <w:rFonts w:hint="cs"/>
          <w:rtl/>
        </w:rPr>
        <w:t>ين والفاطمي</w:t>
      </w:r>
      <w:r w:rsidR="00ED3C4C">
        <w:rPr>
          <w:rFonts w:hint="cs"/>
          <w:rtl/>
        </w:rPr>
        <w:t>ّ</w:t>
      </w:r>
      <w:r w:rsidRPr="00822CE9">
        <w:rPr>
          <w:rFonts w:hint="cs"/>
          <w:rtl/>
        </w:rPr>
        <w:t>ين والأدارسة، فهم شيعة بالمعنى العام.</w:t>
      </w:r>
    </w:p>
    <w:p w14:paraId="547B7A10" w14:textId="77777777" w:rsidR="000A4159" w:rsidRPr="00822CE9" w:rsidRDefault="000A4159" w:rsidP="000E47B2">
      <w:pPr>
        <w:pStyle w:val="normal870"/>
        <w:rPr>
          <w:rtl/>
        </w:rPr>
      </w:pPr>
      <w:r w:rsidRPr="00822CE9">
        <w:rPr>
          <w:rFonts w:hint="cs"/>
          <w:rtl/>
        </w:rPr>
        <w:t>وعليه، فلا أقلّ من الشك في المراد من كلمة «منّا»؛ إذ لا يوجد ما يثبت شمولها لتمام المسلمين، بل قد تكون مختصّة بهم</w:t>
      </w:r>
      <w:r w:rsidR="00ED3C4C">
        <w:rPr>
          <w:rFonts w:hint="cs"/>
          <w:rtl/>
        </w:rPr>
        <w:t xml:space="preserve"> عليهم السلام</w:t>
      </w:r>
      <w:r w:rsidRPr="00822CE9">
        <w:rPr>
          <w:rFonts w:hint="cs"/>
          <w:rtl/>
        </w:rPr>
        <w:t>، في محاولة للحدّ من المطالبات الشعبي</w:t>
      </w:r>
      <w:r w:rsidR="00ED3C4C">
        <w:rPr>
          <w:rFonts w:hint="cs"/>
          <w:rtl/>
        </w:rPr>
        <w:t>ّ</w:t>
      </w:r>
      <w:r w:rsidRPr="00822CE9">
        <w:rPr>
          <w:rFonts w:hint="cs"/>
          <w:rtl/>
        </w:rPr>
        <w:t>ة لهم بالثورة والخروج، والرواية الثانية الواردة في غ</w:t>
      </w:r>
      <w:r w:rsidR="00ED3C4C">
        <w:rPr>
          <w:rFonts w:hint="cs"/>
          <w:rtl/>
        </w:rPr>
        <w:t>َ</w:t>
      </w:r>
      <w:r w:rsidRPr="00822CE9">
        <w:rPr>
          <w:rFonts w:hint="cs"/>
          <w:rtl/>
        </w:rPr>
        <w:t>يبة النعماني أكثر وضوحاً في هذا الأمر من حيث تعبيرها صراحةً بأهل البيت.</w:t>
      </w:r>
    </w:p>
    <w:p w14:paraId="2006AA28" w14:textId="77777777" w:rsidR="000A4159" w:rsidRPr="00822CE9" w:rsidRDefault="000A4159" w:rsidP="000E47B2">
      <w:pPr>
        <w:pStyle w:val="normal84"/>
        <w:rPr>
          <w:rtl/>
        </w:rPr>
      </w:pPr>
      <w:r w:rsidRPr="00822CE9">
        <w:rPr>
          <w:rFonts w:hint="cs"/>
          <w:b/>
          <w:bCs/>
          <w:rtl/>
        </w:rPr>
        <w:t>رابعاً:</w:t>
      </w:r>
      <w:r w:rsidRPr="00822CE9">
        <w:rPr>
          <w:rFonts w:hint="cs"/>
          <w:rtl/>
        </w:rPr>
        <w:t xml:space="preserve"> ما ذكره بعض المعاصرين</w:t>
      </w:r>
      <w:r w:rsidR="00ED3C4C">
        <w:rPr>
          <w:rFonts w:hint="cs"/>
          <w:rtl/>
        </w:rPr>
        <w:t>،</w:t>
      </w:r>
      <w:r w:rsidRPr="00822CE9">
        <w:rPr>
          <w:rFonts w:hint="cs"/>
          <w:rtl/>
        </w:rPr>
        <w:t xml:space="preserve"> من أنّ التعبير بالفرخ</w:t>
      </w:r>
      <w:r w:rsidR="00ED3C4C">
        <w:rPr>
          <w:rFonts w:hint="cs"/>
          <w:rtl/>
        </w:rPr>
        <w:t>،</w:t>
      </w:r>
      <w:r w:rsidRPr="00822CE9">
        <w:rPr>
          <w:rFonts w:hint="cs"/>
          <w:rtl/>
        </w:rPr>
        <w:t xml:space="preserve"> وكذلك الحديث عن الإمام المهدي يدلان على أنّ الحديث ناظر إلى الأمور الخارجي</w:t>
      </w:r>
      <w:r w:rsidR="00ED3C4C">
        <w:rPr>
          <w:rFonts w:hint="cs"/>
          <w:rtl/>
        </w:rPr>
        <w:t>ّ</w:t>
      </w:r>
      <w:r w:rsidRPr="00822CE9">
        <w:rPr>
          <w:rFonts w:hint="cs"/>
          <w:rtl/>
        </w:rPr>
        <w:t>ة، وتوف</w:t>
      </w:r>
      <w:r w:rsidR="00ED3C4C">
        <w:rPr>
          <w:rFonts w:hint="cs"/>
          <w:rtl/>
        </w:rPr>
        <w:t>ّ</w:t>
      </w:r>
      <w:r w:rsidRPr="00822CE9">
        <w:rPr>
          <w:rFonts w:hint="cs"/>
          <w:rtl/>
        </w:rPr>
        <w:t>رها وعدم توفرها، فإذا توف</w:t>
      </w:r>
      <w:r w:rsidR="00ED3C4C">
        <w:rPr>
          <w:rFonts w:hint="cs"/>
          <w:rtl/>
        </w:rPr>
        <w:t>ّ</w:t>
      </w:r>
      <w:r w:rsidRPr="00822CE9">
        <w:rPr>
          <w:rFonts w:hint="cs"/>
          <w:rtl/>
        </w:rPr>
        <w:t>رت جاز الخروج</w:t>
      </w:r>
      <w:r w:rsidRPr="000A4159">
        <w:rPr>
          <w:rFonts w:cs="Taher"/>
          <w:vertAlign w:val="superscript"/>
          <w:rtl/>
        </w:rPr>
        <w:t>(</w:t>
      </w:r>
      <w:r w:rsidRPr="000A4159">
        <w:rPr>
          <w:rStyle w:val="FootnoteReference"/>
          <w:rFonts w:cs="Taher"/>
          <w:rtl/>
        </w:rPr>
        <w:footnoteReference w:id="388"/>
      </w:r>
      <w:r w:rsidRPr="000A4159">
        <w:rPr>
          <w:rFonts w:cs="Taher"/>
          <w:vertAlign w:val="superscript"/>
          <w:rtl/>
        </w:rPr>
        <w:t>)</w:t>
      </w:r>
      <w:r w:rsidRPr="00822CE9">
        <w:rPr>
          <w:rFonts w:hint="cs"/>
          <w:rtl/>
        </w:rPr>
        <w:t>.</w:t>
      </w:r>
    </w:p>
    <w:p w14:paraId="3ABA7B0D" w14:textId="77777777" w:rsidR="000A4159" w:rsidRPr="00822CE9" w:rsidRDefault="000A4159" w:rsidP="00A079D6">
      <w:pPr>
        <w:spacing w:line="214" w:lineRule="auto"/>
        <w:rPr>
          <w:rtl/>
        </w:rPr>
      </w:pPr>
      <w:r w:rsidRPr="00822CE9">
        <w:rPr>
          <w:rFonts w:hint="cs"/>
          <w:b/>
          <w:bCs/>
          <w:rtl/>
        </w:rPr>
        <w:t>ويناقش</w:t>
      </w:r>
      <w:r w:rsidRPr="00822CE9">
        <w:rPr>
          <w:rFonts w:hint="cs"/>
          <w:rtl/>
        </w:rPr>
        <w:t xml:space="preserve"> بأنّ ذلك صحيح، لكنّ المفروض أنّ الرواية تخبر عن عدم توف</w:t>
      </w:r>
      <w:r w:rsidR="00ED3C4C">
        <w:rPr>
          <w:rFonts w:hint="cs"/>
          <w:rtl/>
        </w:rPr>
        <w:t>ّ</w:t>
      </w:r>
      <w:r w:rsidRPr="00822CE9">
        <w:rPr>
          <w:rFonts w:hint="cs"/>
          <w:rtl/>
        </w:rPr>
        <w:t>ر الظروف مطلقاً قبل قيام الإمام المهدي في هذه الأمّة، فكيف نتجاهل إخبارها هذا ثم نأخذ بالنكتة التي من أجلها حرم الخروج أو منع؟!</w:t>
      </w:r>
    </w:p>
    <w:p w14:paraId="1F0F763E" w14:textId="77777777" w:rsidR="000A4159" w:rsidRDefault="000A4159" w:rsidP="00ED3C4C">
      <w:pPr>
        <w:spacing w:line="214" w:lineRule="auto"/>
        <w:rPr>
          <w:b/>
          <w:bCs/>
          <w:rtl/>
        </w:rPr>
      </w:pPr>
      <w:r w:rsidRPr="00ED3C4C">
        <w:rPr>
          <w:rFonts w:hint="cs"/>
          <w:b/>
          <w:bCs/>
          <w:rtl/>
        </w:rPr>
        <w:t>ومعه، فالاستدلال به</w:t>
      </w:r>
      <w:r w:rsidR="00ED3C4C">
        <w:rPr>
          <w:rFonts w:hint="cs"/>
          <w:b/>
          <w:bCs/>
          <w:rtl/>
        </w:rPr>
        <w:t xml:space="preserve">اتين الروايتين </w:t>
      </w:r>
      <w:r w:rsidRPr="00ED3C4C">
        <w:rPr>
          <w:rFonts w:hint="cs"/>
          <w:b/>
          <w:bCs/>
          <w:rtl/>
        </w:rPr>
        <w:t>غير</w:t>
      </w:r>
      <w:r w:rsidR="00ED3C4C">
        <w:rPr>
          <w:rFonts w:hint="cs"/>
          <w:b/>
          <w:bCs/>
          <w:rtl/>
        </w:rPr>
        <w:t>ُ</w:t>
      </w:r>
      <w:r w:rsidRPr="00ED3C4C">
        <w:rPr>
          <w:rFonts w:hint="cs"/>
          <w:b/>
          <w:bCs/>
          <w:rtl/>
        </w:rPr>
        <w:t xml:space="preserve"> تام</w:t>
      </w:r>
      <w:r w:rsidR="00ED3C4C" w:rsidRPr="00ED3C4C">
        <w:rPr>
          <w:rFonts w:hint="cs"/>
          <w:b/>
          <w:bCs/>
          <w:rtl/>
        </w:rPr>
        <w:t>ّ</w:t>
      </w:r>
      <w:r w:rsidRPr="00ED3C4C">
        <w:rPr>
          <w:rFonts w:hint="cs"/>
          <w:b/>
          <w:bCs/>
          <w:rtl/>
        </w:rPr>
        <w:t xml:space="preserve"> أيضاً لا سنداً ولا دلالة.</w:t>
      </w:r>
    </w:p>
    <w:p w14:paraId="2F37FE2B" w14:textId="77777777" w:rsidR="0011145E" w:rsidRPr="0011145E" w:rsidRDefault="0011145E" w:rsidP="000153E6">
      <w:pPr>
        <w:pStyle w:val="Heading4"/>
        <w:rPr>
          <w:rtl/>
        </w:rPr>
      </w:pPr>
      <w:bookmarkStart w:id="231" w:name="_Toc143804195"/>
      <w:bookmarkStart w:id="232" w:name="_Toc238123320"/>
      <w:r w:rsidRPr="0011145E">
        <w:rPr>
          <w:rFonts w:hint="cs"/>
          <w:rtl/>
        </w:rPr>
        <w:t xml:space="preserve">مع رواية </w:t>
      </w:r>
      <w:r>
        <w:rPr>
          <w:rFonts w:hint="cs"/>
          <w:rtl/>
        </w:rPr>
        <w:t>"</w:t>
      </w:r>
      <w:r w:rsidRPr="0011145E">
        <w:rPr>
          <w:rFonts w:hint="cs"/>
          <w:rtl/>
        </w:rPr>
        <w:t>الغبرة على من أثارها</w:t>
      </w:r>
      <w:r>
        <w:rPr>
          <w:rFonts w:hint="cs"/>
          <w:rtl/>
        </w:rPr>
        <w:t>"</w:t>
      </w:r>
      <w:r w:rsidRPr="0011145E">
        <w:rPr>
          <w:rFonts w:hint="cs"/>
          <w:rtl/>
        </w:rPr>
        <w:t xml:space="preserve"> والنهي عن الاستعجال</w:t>
      </w:r>
      <w:bookmarkEnd w:id="231"/>
      <w:bookmarkEnd w:id="232"/>
    </w:p>
    <w:p w14:paraId="121E82B4" w14:textId="5FFD34B8" w:rsidR="000A4159" w:rsidRPr="00822CE9" w:rsidRDefault="00ED3C4C" w:rsidP="00714F90">
      <w:pPr>
        <w:spacing w:line="214" w:lineRule="auto"/>
        <w:rPr>
          <w:rtl/>
        </w:rPr>
      </w:pPr>
      <w:r>
        <w:rPr>
          <w:rFonts w:hint="cs"/>
          <w:b/>
          <w:bCs/>
          <w:rtl/>
        </w:rPr>
        <w:t xml:space="preserve">الرواية الخامسة: </w:t>
      </w:r>
      <w:r w:rsidR="000A4159" w:rsidRPr="00822CE9">
        <w:rPr>
          <w:rFonts w:hint="cs"/>
          <w:b/>
          <w:bCs/>
          <w:rtl/>
        </w:rPr>
        <w:t>خبر أبي المرهف،</w:t>
      </w:r>
      <w:r w:rsidR="000A4159" w:rsidRPr="00822CE9">
        <w:rPr>
          <w:rFonts w:hint="cs"/>
          <w:rtl/>
        </w:rPr>
        <w:t xml:space="preserve"> عن أبي جعفر</w:t>
      </w:r>
      <w:r w:rsidR="00714F90">
        <w:rPr>
          <w:rFonts w:hint="cs"/>
          <w:rtl/>
        </w:rPr>
        <w:t>×</w:t>
      </w:r>
      <w:r w:rsidR="000A4159" w:rsidRPr="00822CE9">
        <w:rPr>
          <w:rFonts w:hint="cs"/>
          <w:rtl/>
        </w:rPr>
        <w:t xml:space="preserve">، قال: «الغبرة على من أثارها، هلك </w:t>
      </w:r>
      <w:r w:rsidR="000A4159" w:rsidRPr="00822CE9">
        <w:rPr>
          <w:rFonts w:hint="cs"/>
          <w:rtl/>
        </w:rPr>
        <w:lastRenderedPageBreak/>
        <w:t>المحاضير (المحاصير)</w:t>
      </w:r>
      <w:r w:rsidR="00D537A9" w:rsidRPr="00D537A9">
        <w:rPr>
          <w:rFonts w:hint="cs"/>
          <w:rtl/>
        </w:rPr>
        <w:t xml:space="preserve"> </w:t>
      </w:r>
      <w:r w:rsidR="00D537A9" w:rsidRPr="00822CE9">
        <w:rPr>
          <w:rFonts w:hint="cs"/>
          <w:rtl/>
        </w:rPr>
        <w:t>»</w:t>
      </w:r>
      <w:r w:rsidR="000A4159" w:rsidRPr="00822CE9">
        <w:rPr>
          <w:rFonts w:hint="cs"/>
          <w:rtl/>
        </w:rPr>
        <w:t>، قلت: جعلت فداك، وما المحاضير (المحاصير)؟ قال: «المستعجلون، أما إنهم لن يردوا (يريدوا) الأمر (إلا من) يعرض لهم ـ إلى أن قال ـ: يا أبا المرهف، أترى قوماً حبسوا أنفسهم على الله لا يجعل لهم فرجاً؟ بلى والله ليجعلنّ الله لهم فرجاً»</w:t>
      </w:r>
      <w:r w:rsidR="000A4159" w:rsidRPr="000A4159">
        <w:rPr>
          <w:rFonts w:cs="Taher"/>
          <w:vertAlign w:val="superscript"/>
          <w:rtl/>
        </w:rPr>
        <w:t>(</w:t>
      </w:r>
      <w:r w:rsidR="000A4159" w:rsidRPr="000A4159">
        <w:rPr>
          <w:rStyle w:val="FootnoteReference"/>
          <w:rFonts w:cs="Taher"/>
          <w:rtl/>
        </w:rPr>
        <w:footnoteReference w:id="389"/>
      </w:r>
      <w:r w:rsidR="000A4159" w:rsidRPr="000A4159">
        <w:rPr>
          <w:rFonts w:cs="Taher"/>
          <w:vertAlign w:val="superscript"/>
          <w:rtl/>
        </w:rPr>
        <w:t>)</w:t>
      </w:r>
      <w:r w:rsidR="000A4159" w:rsidRPr="00822CE9">
        <w:rPr>
          <w:rtl/>
        </w:rPr>
        <w:t xml:space="preserve">، </w:t>
      </w:r>
      <w:r w:rsidR="000A4159" w:rsidRPr="00822CE9">
        <w:rPr>
          <w:rFonts w:hint="cs"/>
          <w:rtl/>
        </w:rPr>
        <w:t>ونحوه خبر</w:t>
      </w:r>
      <w:r w:rsidR="000860E3">
        <w:rPr>
          <w:rFonts w:hint="cs"/>
          <w:rtl/>
        </w:rPr>
        <w:t>ٌ</w:t>
      </w:r>
      <w:r w:rsidR="000A4159" w:rsidRPr="00822CE9">
        <w:rPr>
          <w:rFonts w:hint="cs"/>
          <w:rtl/>
        </w:rPr>
        <w:t xml:space="preserve"> آخر له أيضاً</w:t>
      </w:r>
      <w:r w:rsidR="000A4159" w:rsidRPr="000A4159">
        <w:rPr>
          <w:rFonts w:cs="Taher"/>
          <w:vertAlign w:val="superscript"/>
          <w:rtl/>
        </w:rPr>
        <w:t>(</w:t>
      </w:r>
      <w:r w:rsidR="000A4159" w:rsidRPr="000A4159">
        <w:rPr>
          <w:rStyle w:val="FootnoteReference"/>
          <w:rFonts w:cs="Taher"/>
          <w:rtl/>
        </w:rPr>
        <w:footnoteReference w:id="390"/>
      </w:r>
      <w:r w:rsidR="000A4159" w:rsidRPr="000A4159">
        <w:rPr>
          <w:rFonts w:cs="Taher"/>
          <w:vertAlign w:val="superscript"/>
          <w:rtl/>
        </w:rPr>
        <w:t>)</w:t>
      </w:r>
      <w:r w:rsidR="000A4159" w:rsidRPr="00822CE9">
        <w:rPr>
          <w:rFonts w:hint="cs"/>
          <w:rtl/>
        </w:rPr>
        <w:t>، ولعلّهما واحد.</w:t>
      </w:r>
    </w:p>
    <w:p w14:paraId="3788E704" w14:textId="77777777" w:rsidR="000A4159" w:rsidRPr="00822CE9" w:rsidRDefault="000A4159" w:rsidP="00A079D6">
      <w:pPr>
        <w:spacing w:line="214" w:lineRule="auto"/>
        <w:rPr>
          <w:rtl/>
        </w:rPr>
      </w:pPr>
      <w:r w:rsidRPr="00822CE9">
        <w:rPr>
          <w:rFonts w:hint="cs"/>
          <w:rtl/>
        </w:rPr>
        <w:t>فهذا الخبر ينهى عن استعجال الأمر، وكأنّه يرى في خطوات الثورات عجلةً.</w:t>
      </w:r>
    </w:p>
    <w:p w14:paraId="1A136410" w14:textId="77777777" w:rsidR="000A4159" w:rsidRPr="00822CE9" w:rsidRDefault="000A4159" w:rsidP="00D832B9">
      <w:pPr>
        <w:spacing w:line="214" w:lineRule="auto"/>
        <w:rPr>
          <w:b/>
          <w:bCs/>
          <w:rtl/>
        </w:rPr>
      </w:pPr>
      <w:r w:rsidRPr="00822CE9">
        <w:rPr>
          <w:rFonts w:hint="cs"/>
          <w:b/>
          <w:bCs/>
          <w:rtl/>
        </w:rPr>
        <w:t xml:space="preserve">ويمكن مناقشة الاستناد </w:t>
      </w:r>
      <w:r w:rsidR="00D832B9">
        <w:rPr>
          <w:rFonts w:hint="cs"/>
          <w:b/>
          <w:bCs/>
          <w:rtl/>
        </w:rPr>
        <w:t xml:space="preserve">على </w:t>
      </w:r>
      <w:r w:rsidRPr="00822CE9">
        <w:rPr>
          <w:rFonts w:hint="cs"/>
          <w:b/>
          <w:bCs/>
          <w:rtl/>
        </w:rPr>
        <w:t>هاتين الروايتين</w:t>
      </w:r>
      <w:r w:rsidR="00D832B9">
        <w:rPr>
          <w:rFonts w:hint="cs"/>
          <w:b/>
          <w:bCs/>
          <w:rtl/>
        </w:rPr>
        <w:t xml:space="preserve"> (أو الرواية الواحدة)</w:t>
      </w:r>
      <w:r w:rsidRPr="00822CE9">
        <w:rPr>
          <w:rFonts w:hint="cs"/>
          <w:b/>
          <w:bCs/>
          <w:rtl/>
        </w:rPr>
        <w:t>:</w:t>
      </w:r>
    </w:p>
    <w:p w14:paraId="74F28AF5" w14:textId="77777777" w:rsidR="000A4159" w:rsidRPr="00822CE9" w:rsidRDefault="000A4159" w:rsidP="00A079D6">
      <w:pPr>
        <w:spacing w:line="214" w:lineRule="auto"/>
        <w:rPr>
          <w:rtl/>
        </w:rPr>
      </w:pPr>
      <w:r w:rsidRPr="00822CE9">
        <w:rPr>
          <w:rFonts w:hint="cs"/>
          <w:b/>
          <w:bCs/>
          <w:rtl/>
        </w:rPr>
        <w:t>أو</w:t>
      </w:r>
      <w:r w:rsidR="000860E3">
        <w:rPr>
          <w:rFonts w:hint="cs"/>
          <w:b/>
          <w:bCs/>
          <w:rtl/>
        </w:rPr>
        <w:t>ّ</w:t>
      </w:r>
      <w:r w:rsidRPr="00822CE9">
        <w:rPr>
          <w:rFonts w:hint="cs"/>
          <w:b/>
          <w:bCs/>
          <w:rtl/>
        </w:rPr>
        <w:t>لاً:</w:t>
      </w:r>
      <w:r w:rsidRPr="00822CE9">
        <w:rPr>
          <w:rFonts w:hint="cs"/>
          <w:rtl/>
        </w:rPr>
        <w:t xml:space="preserve"> إن</w:t>
      </w:r>
      <w:r w:rsidR="000860E3">
        <w:rPr>
          <w:rFonts w:hint="cs"/>
          <w:rtl/>
        </w:rPr>
        <w:t>ّ</w:t>
      </w:r>
      <w:r w:rsidRPr="00822CE9">
        <w:rPr>
          <w:rFonts w:hint="cs"/>
          <w:rtl/>
        </w:rPr>
        <w:t>هما ضعيفتا السند بأبي المرهف نفسه، فهو مجهول جداً</w:t>
      </w:r>
      <w:r w:rsidRPr="000A4159">
        <w:rPr>
          <w:rFonts w:cs="Taher"/>
          <w:vertAlign w:val="superscript"/>
          <w:rtl/>
        </w:rPr>
        <w:t>(</w:t>
      </w:r>
      <w:r w:rsidRPr="000A4159">
        <w:rPr>
          <w:rStyle w:val="FootnoteReference"/>
          <w:rFonts w:cs="Taher"/>
          <w:rtl/>
        </w:rPr>
        <w:footnoteReference w:id="391"/>
      </w:r>
      <w:r w:rsidRPr="000A4159">
        <w:rPr>
          <w:rFonts w:cs="Taher"/>
          <w:vertAlign w:val="superscript"/>
          <w:rtl/>
        </w:rPr>
        <w:t>)</w:t>
      </w:r>
      <w:r w:rsidRPr="00822CE9">
        <w:rPr>
          <w:rFonts w:hint="cs"/>
          <w:rtl/>
        </w:rPr>
        <w:t>.</w:t>
      </w:r>
    </w:p>
    <w:p w14:paraId="17C9CE58" w14:textId="77777777" w:rsidR="000A4159" w:rsidRDefault="000A4159" w:rsidP="000E47B2">
      <w:pPr>
        <w:pStyle w:val="normal84"/>
        <w:rPr>
          <w:rtl/>
        </w:rPr>
      </w:pPr>
      <w:r w:rsidRPr="00822CE9">
        <w:rPr>
          <w:rFonts w:hint="cs"/>
          <w:b/>
          <w:bCs/>
          <w:rtl/>
        </w:rPr>
        <w:t>ثانياً:</w:t>
      </w:r>
      <w:r w:rsidRPr="00822CE9">
        <w:rPr>
          <w:rFonts w:hint="cs"/>
          <w:rtl/>
        </w:rPr>
        <w:t xml:space="preserve"> لا إشارة فيهما إلى التأبيد، فقد تحكيان عن واقع قائم آنذاك، كما لا ضبط فيهما لمفهوم المستعجلين ولا لمفهوم الفرج، فقد تكون بعض الثورات من مصاديق هذا الفرج؛ لأنها لا تتحدّث عن الإمام المهدي كي نعمّمها إلى عصره، فدلالتها في غاية الضعف.</w:t>
      </w:r>
    </w:p>
    <w:p w14:paraId="33FDCAD4" w14:textId="77777777" w:rsidR="0080620D" w:rsidRPr="0080620D" w:rsidRDefault="0080620D" w:rsidP="000153E6">
      <w:pPr>
        <w:pStyle w:val="Heading4"/>
        <w:rPr>
          <w:rtl/>
        </w:rPr>
      </w:pPr>
      <w:bookmarkStart w:id="233" w:name="_Toc143804196"/>
      <w:bookmarkStart w:id="234" w:name="_Toc238123321"/>
      <w:r>
        <w:rPr>
          <w:rFonts w:hint="cs"/>
          <w:rtl/>
        </w:rPr>
        <w:t xml:space="preserve">موقف الإمام الصادق من </w:t>
      </w:r>
      <w:r w:rsidRPr="0080620D">
        <w:rPr>
          <w:rFonts w:hint="cs"/>
          <w:rtl/>
        </w:rPr>
        <w:t>ك</w:t>
      </w:r>
      <w:r>
        <w:rPr>
          <w:rFonts w:hint="cs"/>
          <w:rtl/>
        </w:rPr>
        <w:t>تاب أبي مسلم الخراساني ودلالاته</w:t>
      </w:r>
      <w:bookmarkEnd w:id="233"/>
      <w:bookmarkEnd w:id="234"/>
    </w:p>
    <w:p w14:paraId="2A5AFE15" w14:textId="1294554D" w:rsidR="000A4159" w:rsidRPr="00822CE9" w:rsidRDefault="000860E3" w:rsidP="000E47B2">
      <w:pPr>
        <w:pStyle w:val="normal84"/>
        <w:rPr>
          <w:rtl/>
        </w:rPr>
      </w:pPr>
      <w:r>
        <w:rPr>
          <w:rFonts w:hint="cs"/>
          <w:b/>
          <w:bCs/>
          <w:rtl/>
        </w:rPr>
        <w:t xml:space="preserve">الرواية السادسة: </w:t>
      </w:r>
      <w:r w:rsidR="000A4159" w:rsidRPr="00822CE9">
        <w:rPr>
          <w:rFonts w:hint="cs"/>
          <w:b/>
          <w:bCs/>
          <w:rtl/>
        </w:rPr>
        <w:t>خبر الفضل الكاتب،</w:t>
      </w:r>
      <w:r w:rsidR="000A4159" w:rsidRPr="00822CE9">
        <w:rPr>
          <w:rFonts w:hint="cs"/>
          <w:rtl/>
        </w:rPr>
        <w:t xml:space="preserve"> قال: كنت عند أبي عبد الله</w:t>
      </w:r>
      <w:r>
        <w:rPr>
          <w:rFonts w:hint="cs"/>
          <w:rtl/>
        </w:rPr>
        <w:t>×</w:t>
      </w:r>
      <w:r w:rsidR="000A4159" w:rsidRPr="00822CE9">
        <w:rPr>
          <w:rFonts w:hint="cs"/>
          <w:rtl/>
        </w:rPr>
        <w:t>، فأتاه كتاب أبي مسلم، فقال: «ليس لكتابك جواب أخرج عنّا</w:t>
      </w:r>
      <w:r w:rsidR="00D537A9" w:rsidRPr="00822CE9">
        <w:rPr>
          <w:rFonts w:hint="cs"/>
          <w:rtl/>
        </w:rPr>
        <w:t>»</w:t>
      </w:r>
      <w:r w:rsidR="000A4159" w:rsidRPr="00822CE9">
        <w:rPr>
          <w:rFonts w:hint="cs"/>
          <w:rtl/>
        </w:rPr>
        <w:t xml:space="preserve">، فجعلنا يسارّ بعضنا بعضاً، فقال: </w:t>
      </w:r>
      <w:r w:rsidR="00D537A9" w:rsidRPr="00822CE9">
        <w:rPr>
          <w:rFonts w:hint="cs"/>
          <w:rtl/>
        </w:rPr>
        <w:t>«</w:t>
      </w:r>
      <w:r w:rsidR="000A4159" w:rsidRPr="00822CE9">
        <w:rPr>
          <w:rFonts w:hint="cs"/>
          <w:rtl/>
        </w:rPr>
        <w:t xml:space="preserve">أيّ شيء تسارّون، يا فضل، إنّ الله عز وجلّ ذكره لا يعجل لعجلة العباد؛ ولإزالة جبل عن موضعه أيسر (أهون) من (إزالة) زوال ملك لم ينقض أجله» ـ إلى أن قال ـ: قلت: فما العلامة فيما بيننا وبينك جعلت فداك؟ قال: </w:t>
      </w:r>
      <w:r w:rsidR="00D537A9" w:rsidRPr="00822CE9">
        <w:rPr>
          <w:rFonts w:hint="cs"/>
          <w:rtl/>
        </w:rPr>
        <w:t>«</w:t>
      </w:r>
      <w:r w:rsidR="000A4159" w:rsidRPr="00822CE9">
        <w:rPr>
          <w:rFonts w:hint="cs"/>
          <w:rtl/>
        </w:rPr>
        <w:t>لا تبرح الأرض يا فضل حتى يخرج السفياني؛ فإذا خرج السفياني فأجيبوا إلينا ـ يقولها ثلاثاً ـ وهو من المحتوم»</w:t>
      </w:r>
      <w:r w:rsidR="000A4159" w:rsidRPr="000A4159">
        <w:rPr>
          <w:rFonts w:cs="Taher"/>
          <w:vertAlign w:val="superscript"/>
          <w:rtl/>
        </w:rPr>
        <w:t>(</w:t>
      </w:r>
      <w:r w:rsidR="000A4159" w:rsidRPr="000A4159">
        <w:rPr>
          <w:rStyle w:val="FootnoteReference"/>
          <w:rFonts w:cs="Taher"/>
          <w:rtl/>
        </w:rPr>
        <w:footnoteReference w:id="392"/>
      </w:r>
      <w:r w:rsidR="000A4159" w:rsidRPr="000A4159">
        <w:rPr>
          <w:rFonts w:cs="Taher"/>
          <w:vertAlign w:val="superscript"/>
          <w:rtl/>
        </w:rPr>
        <w:t>)</w:t>
      </w:r>
      <w:r w:rsidR="000A4159" w:rsidRPr="00822CE9">
        <w:rPr>
          <w:rFonts w:hint="cs"/>
          <w:rtl/>
        </w:rPr>
        <w:t>.</w:t>
      </w:r>
    </w:p>
    <w:p w14:paraId="7FD24803" w14:textId="77777777" w:rsidR="000A4159" w:rsidRPr="00822CE9" w:rsidRDefault="000A4159" w:rsidP="000860E3">
      <w:pPr>
        <w:spacing w:line="214" w:lineRule="auto"/>
        <w:rPr>
          <w:rtl/>
        </w:rPr>
      </w:pPr>
      <w:r w:rsidRPr="00822CE9">
        <w:rPr>
          <w:rFonts w:hint="cs"/>
          <w:rtl/>
        </w:rPr>
        <w:t>وهذه الرواية عندما تنهى عن العجلة، تضع علامةً للخروج، وه</w:t>
      </w:r>
      <w:r w:rsidR="000860E3">
        <w:rPr>
          <w:rFonts w:hint="cs"/>
          <w:rtl/>
        </w:rPr>
        <w:t>و</w:t>
      </w:r>
      <w:r w:rsidRPr="00822CE9">
        <w:rPr>
          <w:rFonts w:hint="cs"/>
          <w:rtl/>
        </w:rPr>
        <w:t xml:space="preserve"> خروج السفياني، مما يعطي مؤشراً على أن</w:t>
      </w:r>
      <w:r w:rsidR="000860E3">
        <w:rPr>
          <w:rFonts w:hint="cs"/>
          <w:rtl/>
        </w:rPr>
        <w:t>ّ</w:t>
      </w:r>
      <w:r w:rsidRPr="00822CE9">
        <w:rPr>
          <w:rFonts w:hint="cs"/>
          <w:rtl/>
        </w:rPr>
        <w:t xml:space="preserve">ه قبل خروجه يصدق مفهوم العجلة الذي رفضته الرواية، فتدلّ على </w:t>
      </w:r>
      <w:r w:rsidRPr="00822CE9">
        <w:rPr>
          <w:rFonts w:hint="cs"/>
          <w:rtl/>
        </w:rPr>
        <w:lastRenderedPageBreak/>
        <w:t>المطلوب.</w:t>
      </w:r>
    </w:p>
    <w:p w14:paraId="412199DE" w14:textId="77777777" w:rsidR="000A4159" w:rsidRPr="00822CE9" w:rsidRDefault="000A4159" w:rsidP="00A079D6">
      <w:pPr>
        <w:spacing w:line="214" w:lineRule="auto"/>
        <w:rPr>
          <w:b/>
          <w:bCs/>
          <w:rtl/>
        </w:rPr>
      </w:pPr>
      <w:r w:rsidRPr="00822CE9">
        <w:rPr>
          <w:rFonts w:hint="cs"/>
          <w:b/>
          <w:bCs/>
          <w:rtl/>
        </w:rPr>
        <w:t>وقد يناقش الاستدلال بهذه الرواية:</w:t>
      </w:r>
    </w:p>
    <w:p w14:paraId="4118C060" w14:textId="77777777" w:rsidR="000A4159" w:rsidRPr="00822CE9" w:rsidRDefault="000A4159" w:rsidP="00A079D6">
      <w:pPr>
        <w:spacing w:line="214" w:lineRule="auto"/>
        <w:rPr>
          <w:rtl/>
        </w:rPr>
      </w:pPr>
      <w:r w:rsidRPr="00822CE9">
        <w:rPr>
          <w:rFonts w:hint="cs"/>
          <w:b/>
          <w:bCs/>
          <w:rtl/>
        </w:rPr>
        <w:t>أو</w:t>
      </w:r>
      <w:r w:rsidR="000860E3">
        <w:rPr>
          <w:rFonts w:hint="cs"/>
          <w:b/>
          <w:bCs/>
          <w:rtl/>
        </w:rPr>
        <w:t>ّ</w:t>
      </w:r>
      <w:r w:rsidRPr="00822CE9">
        <w:rPr>
          <w:rFonts w:hint="cs"/>
          <w:b/>
          <w:bCs/>
          <w:rtl/>
        </w:rPr>
        <w:t>لاً:</w:t>
      </w:r>
      <w:r w:rsidRPr="00822CE9">
        <w:rPr>
          <w:rFonts w:hint="cs"/>
          <w:rtl/>
        </w:rPr>
        <w:t xml:space="preserve"> من ناحية السند؛ فإنّ فيه الفضل الكاتب، ويبدو أنّه لا يوجد شخص اسمه الفضل ولقبه الكاتب، سوى:</w:t>
      </w:r>
    </w:p>
    <w:p w14:paraId="6D98FDD6" w14:textId="77777777" w:rsidR="000A4159" w:rsidRPr="00822CE9" w:rsidRDefault="000A4159" w:rsidP="000E47B2">
      <w:pPr>
        <w:pStyle w:val="normal870"/>
        <w:rPr>
          <w:rtl/>
        </w:rPr>
      </w:pPr>
      <w:r w:rsidRPr="00822CE9">
        <w:rPr>
          <w:rFonts w:hint="cs"/>
          <w:b/>
          <w:bCs/>
          <w:rtl/>
        </w:rPr>
        <w:t>أ ـ الفضل بن يونس الكاتب،</w:t>
      </w:r>
      <w:r w:rsidRPr="00822CE9">
        <w:rPr>
          <w:rFonts w:hint="cs"/>
          <w:rtl/>
        </w:rPr>
        <w:t xml:space="preserve"> وقد وثقه النجاشي ولا مشكلة فيه، إلا أنّ ذاك الفضل لو راجعنا طبقته لرأينا أنّ النجاشي والطوسي في الرجال، والبرقي أيضاً، وما رواه في حقّه الكشي..</w:t>
      </w:r>
      <w:r w:rsidR="002D62B0" w:rsidRPr="000A4159">
        <w:rPr>
          <w:rFonts w:cs="Taher"/>
          <w:vertAlign w:val="superscript"/>
          <w:rtl/>
        </w:rPr>
        <w:t>(</w:t>
      </w:r>
      <w:r w:rsidR="002D62B0" w:rsidRPr="000A4159">
        <w:rPr>
          <w:rStyle w:val="FootnoteReference"/>
          <w:rFonts w:cs="Taher"/>
          <w:rtl/>
        </w:rPr>
        <w:footnoteReference w:id="393"/>
      </w:r>
      <w:r w:rsidR="002D62B0" w:rsidRPr="000A4159">
        <w:rPr>
          <w:rFonts w:cs="Taher"/>
          <w:vertAlign w:val="superscript"/>
          <w:rtl/>
        </w:rPr>
        <w:t>)</w:t>
      </w:r>
      <w:r w:rsidRPr="00822CE9">
        <w:rPr>
          <w:rFonts w:hint="cs"/>
          <w:rtl/>
        </w:rPr>
        <w:t xml:space="preserve"> كلّهم يجعلونه في أصحاب الكاظم، ومن روى عنه لا غير، ولا ذكر له في أصحاب الصادق إطلاقاً؛ يضاف إليه أنّ مراجعة رواياته في الكتب الأربعة تشهد بأنّه ليس له أيّ روايةٍ عن </w:t>
      </w:r>
      <w:r w:rsidR="000860E3">
        <w:rPr>
          <w:rFonts w:hint="cs"/>
          <w:rtl/>
        </w:rPr>
        <w:t xml:space="preserve">جعفر </w:t>
      </w:r>
      <w:r w:rsidRPr="00822CE9">
        <w:rPr>
          <w:rFonts w:hint="cs"/>
          <w:rtl/>
        </w:rPr>
        <w:t>الصادق، فيما الرواية التي بأيدينا مرويةٌ عن الإمام الصادق، لهذا ي</w:t>
      </w:r>
      <w:r w:rsidR="000860E3">
        <w:rPr>
          <w:rFonts w:hint="cs"/>
          <w:rtl/>
        </w:rPr>
        <w:t>ُ</w:t>
      </w:r>
      <w:r w:rsidRPr="00822CE9">
        <w:rPr>
          <w:rFonts w:hint="cs"/>
          <w:rtl/>
        </w:rPr>
        <w:t>ستبعد أن يكون الفضل الكاتب فيها هو ابن يونس الثقة فيكون مجهولاً، أو يقال بأنّ هناك شخصاً واسطة بين الفضل والصادق قد سقط فتكون الرواية مرسلة</w:t>
      </w:r>
      <w:r w:rsidR="00BD59D5">
        <w:rPr>
          <w:rFonts w:hint="cs"/>
          <w:rtl/>
        </w:rPr>
        <w:t xml:space="preserve"> في احتمالٍ ضعيف جداً</w:t>
      </w:r>
      <w:r w:rsidRPr="00822CE9">
        <w:rPr>
          <w:rFonts w:hint="cs"/>
          <w:rtl/>
        </w:rPr>
        <w:t xml:space="preserve">، </w:t>
      </w:r>
      <w:r w:rsidR="00BD59D5">
        <w:rPr>
          <w:rFonts w:hint="cs"/>
          <w:rtl/>
        </w:rPr>
        <w:t xml:space="preserve">لأنّ الإمام في خطابه في الرواية يصرّح باسم </w:t>
      </w:r>
      <w:r w:rsidR="00BD59D5">
        <w:rPr>
          <w:rFonts w:cs="Cambria" w:hint="cs"/>
          <w:rtl/>
        </w:rPr>
        <w:t>"</w:t>
      </w:r>
      <w:r w:rsidR="00BD59D5">
        <w:rPr>
          <w:rFonts w:hint="cs"/>
          <w:rtl/>
        </w:rPr>
        <w:t>الفضل</w:t>
      </w:r>
      <w:r w:rsidR="00BD59D5">
        <w:rPr>
          <w:rFonts w:cs="Cambria" w:hint="cs"/>
          <w:rtl/>
        </w:rPr>
        <w:t>"</w:t>
      </w:r>
      <w:r w:rsidR="00BD59D5">
        <w:rPr>
          <w:rFonts w:hint="cs"/>
          <w:rtl/>
        </w:rPr>
        <w:t xml:space="preserve">، </w:t>
      </w:r>
      <w:r w:rsidRPr="00822CE9">
        <w:rPr>
          <w:rFonts w:hint="cs"/>
          <w:rtl/>
        </w:rPr>
        <w:t>فما ذكره السيد الخوئي وتبعه الشيخ النمازي، من اتحاد الفضل الكاتب مع الفضل بن يونس</w:t>
      </w:r>
      <w:r w:rsidR="000860E3" w:rsidRPr="000A4159">
        <w:rPr>
          <w:rFonts w:cs="Taher"/>
          <w:vertAlign w:val="superscript"/>
          <w:rtl/>
        </w:rPr>
        <w:t>(</w:t>
      </w:r>
      <w:r w:rsidR="000860E3" w:rsidRPr="000A4159">
        <w:rPr>
          <w:rStyle w:val="FootnoteReference"/>
          <w:rFonts w:cs="Taher"/>
          <w:rtl/>
        </w:rPr>
        <w:footnoteReference w:id="394"/>
      </w:r>
      <w:r w:rsidR="000860E3" w:rsidRPr="000A4159">
        <w:rPr>
          <w:rFonts w:cs="Taher"/>
          <w:vertAlign w:val="superscript"/>
          <w:rtl/>
        </w:rPr>
        <w:t>)</w:t>
      </w:r>
      <w:r w:rsidR="000860E3">
        <w:rPr>
          <w:rFonts w:hint="cs"/>
          <w:rtl/>
        </w:rPr>
        <w:t>،</w:t>
      </w:r>
      <w:r w:rsidRPr="00822CE9">
        <w:rPr>
          <w:rFonts w:hint="cs"/>
          <w:rtl/>
        </w:rPr>
        <w:t xml:space="preserve"> في غير محلّه؛ لعدم إحراز الاتحاد حتى لو لم نحرز عدم الاتحاد.</w:t>
      </w:r>
    </w:p>
    <w:p w14:paraId="214EE837" w14:textId="77777777" w:rsidR="000A4159" w:rsidRPr="00822CE9" w:rsidRDefault="000A4159" w:rsidP="004A58FE">
      <w:pPr>
        <w:spacing w:line="214" w:lineRule="auto"/>
        <w:rPr>
          <w:rtl/>
        </w:rPr>
      </w:pPr>
      <w:r w:rsidRPr="00822CE9">
        <w:rPr>
          <w:rFonts w:hint="cs"/>
          <w:b/>
          <w:bCs/>
          <w:rtl/>
        </w:rPr>
        <w:t>ب ـ الفضل بن سليمان الكاتب البغدادي،</w:t>
      </w:r>
      <w:r w:rsidRPr="00822CE9">
        <w:rPr>
          <w:rFonts w:hint="cs"/>
          <w:rtl/>
        </w:rPr>
        <w:t xml:space="preserve"> وقد نُصّ على روايته عن أبي عبد الله</w:t>
      </w:r>
      <w:r w:rsidR="004A58FE">
        <w:rPr>
          <w:rFonts w:hint="cs"/>
          <w:rtl/>
        </w:rPr>
        <w:t xml:space="preserve"> الصادق</w:t>
      </w:r>
      <w:r w:rsidRPr="00822CE9">
        <w:rPr>
          <w:rFonts w:hint="cs"/>
          <w:rtl/>
        </w:rPr>
        <w:t>، ويحتمل أكثر أن يكون هو المقصود هنا، وهو مجهول الحال لا توثيق له</w:t>
      </w:r>
      <w:r w:rsidRPr="000A4159">
        <w:rPr>
          <w:rFonts w:cs="Taher"/>
          <w:vertAlign w:val="superscript"/>
          <w:rtl/>
        </w:rPr>
        <w:t>(</w:t>
      </w:r>
      <w:r w:rsidRPr="000A4159">
        <w:rPr>
          <w:rStyle w:val="FootnoteReference"/>
          <w:rFonts w:cs="Taher"/>
          <w:rtl/>
        </w:rPr>
        <w:footnoteReference w:id="395"/>
      </w:r>
      <w:r w:rsidRPr="000A4159">
        <w:rPr>
          <w:rFonts w:cs="Taher"/>
          <w:vertAlign w:val="superscript"/>
          <w:rtl/>
        </w:rPr>
        <w:t>)</w:t>
      </w:r>
      <w:r w:rsidRPr="00822CE9">
        <w:rPr>
          <w:rtl/>
        </w:rPr>
        <w:t xml:space="preserve">، </w:t>
      </w:r>
      <w:r w:rsidRPr="00822CE9">
        <w:rPr>
          <w:rFonts w:hint="cs"/>
          <w:rtl/>
        </w:rPr>
        <w:t>بل ذهب العلامة الشبستري إلى كونه ضعيف الحديث</w:t>
      </w:r>
      <w:r w:rsidRPr="000A4159">
        <w:rPr>
          <w:rFonts w:cs="Taher"/>
          <w:vertAlign w:val="superscript"/>
          <w:rtl/>
        </w:rPr>
        <w:t>(</w:t>
      </w:r>
      <w:r w:rsidRPr="000A4159">
        <w:rPr>
          <w:rStyle w:val="FootnoteReference"/>
          <w:rFonts w:cs="Taher"/>
          <w:rtl/>
        </w:rPr>
        <w:footnoteReference w:id="396"/>
      </w:r>
      <w:r w:rsidRPr="000A4159">
        <w:rPr>
          <w:rFonts w:cs="Taher"/>
          <w:vertAlign w:val="superscript"/>
          <w:rtl/>
        </w:rPr>
        <w:t>)</w:t>
      </w:r>
      <w:r w:rsidRPr="00822CE9">
        <w:rPr>
          <w:rFonts w:hint="cs"/>
          <w:rtl/>
        </w:rPr>
        <w:t>.</w:t>
      </w:r>
    </w:p>
    <w:p w14:paraId="6B2F47FD" w14:textId="77777777" w:rsidR="000A4159" w:rsidRPr="00822CE9" w:rsidRDefault="000A4159" w:rsidP="00BD59D5">
      <w:pPr>
        <w:spacing w:line="214" w:lineRule="auto"/>
        <w:rPr>
          <w:rtl/>
        </w:rPr>
      </w:pPr>
      <w:r w:rsidRPr="00822CE9">
        <w:rPr>
          <w:rFonts w:hint="cs"/>
          <w:rtl/>
        </w:rPr>
        <w:t>وعليه فالرواية ضعيفة السند بجهالة الراوي</w:t>
      </w:r>
      <w:r w:rsidR="00BD59D5">
        <w:rPr>
          <w:rFonts w:hint="cs"/>
          <w:rtl/>
        </w:rPr>
        <w:t>، مع احتمالٍ ضعيف في وجود إرسالٍ خفيّ.</w:t>
      </w:r>
    </w:p>
    <w:p w14:paraId="0FE9B617" w14:textId="77777777" w:rsidR="000A4159" w:rsidRPr="00822CE9" w:rsidRDefault="000A4159" w:rsidP="000E47B2">
      <w:pPr>
        <w:pStyle w:val="normal930"/>
        <w:rPr>
          <w:rtl/>
        </w:rPr>
      </w:pPr>
      <w:r w:rsidRPr="00822CE9">
        <w:rPr>
          <w:rFonts w:hint="cs"/>
          <w:b/>
          <w:bCs/>
          <w:rtl/>
        </w:rPr>
        <w:lastRenderedPageBreak/>
        <w:t>ثانياً:</w:t>
      </w:r>
      <w:r w:rsidRPr="00822CE9">
        <w:rPr>
          <w:rFonts w:hint="cs"/>
          <w:rtl/>
        </w:rPr>
        <w:t xml:space="preserve"> إنّ الفضل الكاتب، وهو الفضل بن سليمان، كان كاتباً في ديوان المنصور والمهدي، ومن المعروف أنّ أبا مسلم الخراساني كان في الفترة الأخيرة معارضاً للمنصور، حيث قيل: إنّ المنصور سمّه وقتله، من هنا، يحتمل جداً في الرواية أن تكون صدرت تقيةً، بمعنى أنّ كاتب المنصور كان حاضراً عند دخول رسول أبي مسلم على الإمام الصادق يطلب منه دعمه، ربما للقضاء على المنصور، ومن الطبيعي في هذه الحال أن يمارس الإمام</w:t>
      </w:r>
      <w:r w:rsidR="00B74BC4">
        <w:rPr>
          <w:rFonts w:hint="cs"/>
          <w:rtl/>
        </w:rPr>
        <w:t xml:space="preserve"> الصادق</w:t>
      </w:r>
      <w:r w:rsidRPr="00822CE9">
        <w:rPr>
          <w:rFonts w:hint="cs"/>
          <w:rtl/>
        </w:rPr>
        <w:t xml:space="preserve"> التقية حفظاً للنفس والموالين؛ لهذا أخبر غيبياً عن سبعة أولاد للمنصور سيحكمون</w:t>
      </w:r>
      <w:r w:rsidRPr="000A4159">
        <w:rPr>
          <w:rFonts w:cs="Taher"/>
          <w:vertAlign w:val="superscript"/>
          <w:rtl/>
        </w:rPr>
        <w:t>(</w:t>
      </w:r>
      <w:r w:rsidRPr="000A4159">
        <w:rPr>
          <w:rStyle w:val="FootnoteReference"/>
          <w:rFonts w:cs="Taher"/>
          <w:rtl/>
        </w:rPr>
        <w:footnoteReference w:id="397"/>
      </w:r>
      <w:r w:rsidRPr="000A4159">
        <w:rPr>
          <w:rFonts w:cs="Taher"/>
          <w:vertAlign w:val="superscript"/>
          <w:rtl/>
        </w:rPr>
        <w:t>)</w:t>
      </w:r>
      <w:r w:rsidRPr="00822CE9">
        <w:rPr>
          <w:rtl/>
        </w:rPr>
        <w:t>.</w:t>
      </w:r>
    </w:p>
    <w:p w14:paraId="13FB4987" w14:textId="77777777" w:rsidR="000A4159" w:rsidRPr="00822CE9" w:rsidRDefault="000A4159" w:rsidP="000E47B2">
      <w:pPr>
        <w:rPr>
          <w:rtl/>
        </w:rPr>
      </w:pPr>
      <w:r w:rsidRPr="00822CE9">
        <w:rPr>
          <w:rFonts w:hint="cs"/>
          <w:b/>
          <w:bCs/>
          <w:rtl/>
        </w:rPr>
        <w:t>إلا أنّ هذه الملاحظة</w:t>
      </w:r>
      <w:r w:rsidRPr="00822CE9">
        <w:rPr>
          <w:rFonts w:hint="cs"/>
          <w:rtl/>
        </w:rPr>
        <w:t xml:space="preserve"> ينافيها لحن الرواية</w:t>
      </w:r>
      <w:r w:rsidR="00BD59D5">
        <w:rPr>
          <w:rFonts w:hint="cs"/>
          <w:rtl/>
        </w:rPr>
        <w:t xml:space="preserve"> بعد افتراض أنّها صدرت ووقعت</w:t>
      </w:r>
      <w:r w:rsidRPr="00822CE9">
        <w:rPr>
          <w:rFonts w:hint="cs"/>
          <w:rtl/>
        </w:rPr>
        <w:t>؛ فإنّ الظاهر من الرواية أنّ الفضل كان من جماعة الإمام الصادق، أي كان شيعيّاً</w:t>
      </w:r>
      <w:r w:rsidRPr="000A4159">
        <w:rPr>
          <w:rFonts w:cs="Taher"/>
          <w:vertAlign w:val="superscript"/>
          <w:rtl/>
        </w:rPr>
        <w:t>(</w:t>
      </w:r>
      <w:r w:rsidRPr="000A4159">
        <w:rPr>
          <w:rStyle w:val="FootnoteReference"/>
          <w:rFonts w:cs="Taher"/>
          <w:rtl/>
        </w:rPr>
        <w:footnoteReference w:id="398"/>
      </w:r>
      <w:r w:rsidRPr="000A4159">
        <w:rPr>
          <w:rFonts w:cs="Taher"/>
          <w:vertAlign w:val="superscript"/>
          <w:rtl/>
        </w:rPr>
        <w:t>)</w:t>
      </w:r>
      <w:r w:rsidRPr="00822CE9">
        <w:rPr>
          <w:rFonts w:hint="cs"/>
          <w:rtl/>
        </w:rPr>
        <w:t xml:space="preserve">، </w:t>
      </w:r>
      <w:r w:rsidR="00B74BC4">
        <w:rPr>
          <w:rFonts w:hint="cs"/>
          <w:rtl/>
        </w:rPr>
        <w:t>و</w:t>
      </w:r>
      <w:r w:rsidRPr="00822CE9">
        <w:rPr>
          <w:rFonts w:hint="cs"/>
          <w:rtl/>
        </w:rPr>
        <w:t>لا</w:t>
      </w:r>
      <w:r w:rsidR="00B74BC4">
        <w:rPr>
          <w:rFonts w:hint="cs"/>
          <w:rtl/>
        </w:rPr>
        <w:t xml:space="preserve"> </w:t>
      </w:r>
      <w:r w:rsidRPr="00822CE9">
        <w:rPr>
          <w:rFonts w:hint="cs"/>
          <w:rtl/>
        </w:rPr>
        <w:t>سيما أنّه سأل الصادق عن العلامة التي بينهم وبينه؛ فأشار له الإمام إلى السفياني، وهذا اللون من الخطاب يبعد أن يصدر من شخص لا يؤمن بالصادق ولا من مواليه، أو يصدر من الصادق في حواره مع شخص من رجال السلطة الذين يت</w:t>
      </w:r>
      <w:r w:rsidR="00B74BC4">
        <w:rPr>
          <w:rFonts w:hint="cs"/>
          <w:rtl/>
        </w:rPr>
        <w:t>ّ</w:t>
      </w:r>
      <w:r w:rsidRPr="00822CE9">
        <w:rPr>
          <w:rFonts w:hint="cs"/>
          <w:rtl/>
        </w:rPr>
        <w:t>قي منهم، ففرضية التقية وإن كانت مقبولة منطقي</w:t>
      </w:r>
      <w:r w:rsidR="00B74BC4">
        <w:rPr>
          <w:rFonts w:hint="cs"/>
          <w:rtl/>
        </w:rPr>
        <w:t>ّاً في هذه المواضع، إلا</w:t>
      </w:r>
      <w:r w:rsidRPr="00822CE9">
        <w:rPr>
          <w:rFonts w:hint="cs"/>
          <w:rtl/>
        </w:rPr>
        <w:t xml:space="preserve"> أن</w:t>
      </w:r>
      <w:r w:rsidR="00D832B9">
        <w:rPr>
          <w:rFonts w:hint="cs"/>
          <w:rtl/>
        </w:rPr>
        <w:t>ّ</w:t>
      </w:r>
      <w:r w:rsidRPr="00822CE9">
        <w:rPr>
          <w:rFonts w:hint="cs"/>
          <w:rtl/>
        </w:rPr>
        <w:t xml:space="preserve"> </w:t>
      </w:r>
      <w:r w:rsidR="00D832B9">
        <w:rPr>
          <w:rFonts w:hint="cs"/>
          <w:rtl/>
        </w:rPr>
        <w:t xml:space="preserve">بعض </w:t>
      </w:r>
      <w:r w:rsidRPr="00822CE9">
        <w:rPr>
          <w:rFonts w:hint="cs"/>
          <w:rtl/>
        </w:rPr>
        <w:t>فقرات الرواية لا تناسبها أو لا تمنحنا وثوقاً بها</w:t>
      </w:r>
      <w:r w:rsidR="00BD59D5">
        <w:rPr>
          <w:rFonts w:hint="cs"/>
          <w:rtl/>
        </w:rPr>
        <w:t>، إلا إذا قيل بأنّ الفضل حاول أن ي</w:t>
      </w:r>
      <w:r w:rsidR="005958D4">
        <w:rPr>
          <w:rFonts w:hint="cs"/>
          <w:rtl/>
        </w:rPr>
        <w:t>ُقحم نفسه بين الشي</w:t>
      </w:r>
      <w:r w:rsidR="00BD59D5">
        <w:rPr>
          <w:rFonts w:hint="cs"/>
          <w:rtl/>
        </w:rPr>
        <w:t>عة فأحرج الإمام</w:t>
      </w:r>
      <w:r w:rsidR="005958D4">
        <w:rPr>
          <w:rFonts w:hint="cs"/>
          <w:rtl/>
        </w:rPr>
        <w:t>َ</w:t>
      </w:r>
      <w:r w:rsidR="00BD59D5">
        <w:rPr>
          <w:rFonts w:hint="cs"/>
          <w:rtl/>
        </w:rPr>
        <w:t xml:space="preserve"> بهذا السؤال!</w:t>
      </w:r>
    </w:p>
    <w:p w14:paraId="2A408A39" w14:textId="77777777" w:rsidR="000A4159" w:rsidRPr="00822CE9" w:rsidRDefault="000A4159" w:rsidP="000E47B2">
      <w:pPr>
        <w:pStyle w:val="normal930"/>
        <w:rPr>
          <w:rtl/>
        </w:rPr>
      </w:pPr>
      <w:r w:rsidRPr="00822CE9">
        <w:rPr>
          <w:rFonts w:hint="cs"/>
          <w:b/>
          <w:bCs/>
          <w:rtl/>
        </w:rPr>
        <w:t>ثالثاً:</w:t>
      </w:r>
      <w:r w:rsidRPr="00822CE9">
        <w:rPr>
          <w:rFonts w:hint="cs"/>
          <w:rtl/>
        </w:rPr>
        <w:t xml:space="preserve"> إنّ أقصى ما تدلّ عليه الرواية أنّ زمان صدورها لم يكن مساعداً على الخروج</w:t>
      </w:r>
      <w:r w:rsidR="00B74BC4">
        <w:rPr>
          <w:rFonts w:hint="cs"/>
          <w:rtl/>
        </w:rPr>
        <w:t>،</w:t>
      </w:r>
      <w:r w:rsidRPr="00822CE9">
        <w:rPr>
          <w:rFonts w:hint="cs"/>
          <w:rtl/>
        </w:rPr>
        <w:t xml:space="preserve"> بل كان استعجالاً للأمر، وأنّ قيام الإمام المهدي إن</w:t>
      </w:r>
      <w:r w:rsidR="00B74BC4">
        <w:rPr>
          <w:rFonts w:hint="cs"/>
          <w:rtl/>
        </w:rPr>
        <w:t>ّ</w:t>
      </w:r>
      <w:r w:rsidRPr="00822CE9">
        <w:rPr>
          <w:rFonts w:hint="cs"/>
          <w:rtl/>
        </w:rPr>
        <w:t>ما يكون عند خروج السفياني، دون إشارة إلى وظيفتنا قبل خروج السفياني وأثناء غيبة الإمام، فلا تدلّ على تحريم الخروج في عصر الغيبة</w:t>
      </w:r>
      <w:r w:rsidRPr="000A4159">
        <w:rPr>
          <w:rFonts w:cs="Taher"/>
          <w:vertAlign w:val="superscript"/>
          <w:rtl/>
        </w:rPr>
        <w:t>(</w:t>
      </w:r>
      <w:r w:rsidRPr="000A4159">
        <w:rPr>
          <w:rStyle w:val="FootnoteReference"/>
          <w:rFonts w:cs="Taher"/>
          <w:rtl/>
        </w:rPr>
        <w:footnoteReference w:id="399"/>
      </w:r>
      <w:r w:rsidRPr="000A4159">
        <w:rPr>
          <w:rFonts w:cs="Taher"/>
          <w:vertAlign w:val="superscript"/>
          <w:rtl/>
        </w:rPr>
        <w:t>)</w:t>
      </w:r>
      <w:r w:rsidRPr="00822CE9">
        <w:rPr>
          <w:rFonts w:hint="cs"/>
          <w:rtl/>
        </w:rPr>
        <w:t>.</w:t>
      </w:r>
    </w:p>
    <w:p w14:paraId="09037FCE" w14:textId="77777777" w:rsidR="000A4159" w:rsidRPr="00822CE9" w:rsidRDefault="000A4159" w:rsidP="00B74BC4">
      <w:pPr>
        <w:spacing w:line="214" w:lineRule="auto"/>
        <w:rPr>
          <w:rtl/>
        </w:rPr>
      </w:pPr>
      <w:r w:rsidRPr="00822CE9">
        <w:rPr>
          <w:rFonts w:hint="cs"/>
          <w:rtl/>
        </w:rPr>
        <w:t>وهذه الملاحظة صحيحة في الشقّ الأول، وهو أنّ الثورة آنذاك كانت استعجالاً وعجلةً، أما القول بأنّ الرواية ساكتة عن موضوع ما قبل الظهور فهذا غير واضح؛ إذ الراوي يسأل عن العلامة التي تجيز الخروج وتعلن موعده؛ والإمام يحيل الأمر إلى زمان القائم، ولا معنى لهذه الإحالة سوى التذكير بأنّنا لا خروج لنا قبل المهدي، وإلا فلماذا لم ي</w:t>
      </w:r>
      <w:r w:rsidR="00B74BC4">
        <w:rPr>
          <w:rFonts w:hint="cs"/>
          <w:rtl/>
        </w:rPr>
        <w:t>ُ</w:t>
      </w:r>
      <w:r w:rsidRPr="00822CE9">
        <w:rPr>
          <w:rFonts w:hint="cs"/>
          <w:rtl/>
        </w:rPr>
        <w:t xml:space="preserve">شر له إلى جواز الخروج قبل </w:t>
      </w:r>
      <w:r w:rsidRPr="00822CE9">
        <w:rPr>
          <w:rFonts w:hint="cs"/>
          <w:rtl/>
        </w:rPr>
        <w:lastRenderedPageBreak/>
        <w:t>ذلك؟!</w:t>
      </w:r>
    </w:p>
    <w:p w14:paraId="664AC62B" w14:textId="77777777" w:rsidR="000A4159" w:rsidRPr="00822CE9" w:rsidRDefault="000A4159" w:rsidP="00A079D6">
      <w:pPr>
        <w:spacing w:line="214" w:lineRule="auto"/>
        <w:rPr>
          <w:rtl/>
        </w:rPr>
      </w:pPr>
      <w:r w:rsidRPr="00822CE9">
        <w:rPr>
          <w:rFonts w:hint="cs"/>
          <w:rtl/>
        </w:rPr>
        <w:t>فالإنصاف أنّ هذا اللحن يربط الثورات الشرعي</w:t>
      </w:r>
      <w:r w:rsidR="00B74BC4">
        <w:rPr>
          <w:rFonts w:hint="cs"/>
          <w:rtl/>
        </w:rPr>
        <w:t>ّ</w:t>
      </w:r>
      <w:r w:rsidRPr="00822CE9">
        <w:rPr>
          <w:rFonts w:hint="cs"/>
          <w:rtl/>
        </w:rPr>
        <w:t>ة بخروج السفياني، مما يجعل غيرها داخلاً في صدر الرواية دون تمييز بين مفهومَي الحضور والغيبة.</w:t>
      </w:r>
    </w:p>
    <w:p w14:paraId="5DA152A2" w14:textId="77777777" w:rsidR="000A4159" w:rsidRPr="00822CE9" w:rsidRDefault="000A4159" w:rsidP="000E47B2">
      <w:pPr>
        <w:pStyle w:val="normal930"/>
        <w:rPr>
          <w:rtl/>
        </w:rPr>
      </w:pPr>
      <w:r w:rsidRPr="00822CE9">
        <w:rPr>
          <w:rFonts w:hint="cs"/>
          <w:b/>
          <w:bCs/>
          <w:rtl/>
        </w:rPr>
        <w:t>رابعاً:</w:t>
      </w:r>
      <w:r w:rsidRPr="00822CE9">
        <w:rPr>
          <w:rFonts w:hint="cs"/>
          <w:rtl/>
        </w:rPr>
        <w:t xml:space="preserve"> إذا أخذنا مضمون الرواية سنجده يخطّئ الإمام علي</w:t>
      </w:r>
      <w:r w:rsidR="00B74BC4">
        <w:rPr>
          <w:rFonts w:hint="cs"/>
          <w:rtl/>
        </w:rPr>
        <w:t>ّ</w:t>
      </w:r>
      <w:r w:rsidRPr="00822CE9">
        <w:rPr>
          <w:rFonts w:hint="cs"/>
          <w:rtl/>
        </w:rPr>
        <w:t>اً في حربه لمعاوية؛ حيث لم يسقط ملك الأخير، والحسين في ثورته ضدّ يزيد، وزيد الشهيد في ثورته ضد</w:t>
      </w:r>
      <w:r w:rsidR="00B74BC4">
        <w:rPr>
          <w:rFonts w:hint="cs"/>
          <w:rtl/>
        </w:rPr>
        <w:t>ّ</w:t>
      </w:r>
      <w:r w:rsidRPr="00822CE9">
        <w:rPr>
          <w:rFonts w:hint="cs"/>
          <w:rtl/>
        </w:rPr>
        <w:t xml:space="preserve"> هشام بن عبد الملك و.. وذلك لصدق هذه القاعدة التي تتحدّث عنها الرواية في حقّهم، مما ي</w:t>
      </w:r>
      <w:r w:rsidR="00B74BC4">
        <w:rPr>
          <w:rFonts w:hint="cs"/>
          <w:rtl/>
        </w:rPr>
        <w:t>ُضع</w:t>
      </w:r>
      <w:r w:rsidRPr="00822CE9">
        <w:rPr>
          <w:rFonts w:hint="cs"/>
          <w:rtl/>
        </w:rPr>
        <w:t xml:space="preserve">ف هذه الرواية عبر هذا النقد </w:t>
      </w:r>
      <w:r w:rsidR="00B74BC4">
        <w:rPr>
          <w:rFonts w:hint="cs"/>
          <w:rtl/>
        </w:rPr>
        <w:t>المتني لها</w:t>
      </w:r>
      <w:r w:rsidRPr="000A4159">
        <w:rPr>
          <w:rFonts w:cs="Taher"/>
          <w:vertAlign w:val="superscript"/>
          <w:rtl/>
        </w:rPr>
        <w:t>(</w:t>
      </w:r>
      <w:r w:rsidRPr="000A4159">
        <w:rPr>
          <w:rStyle w:val="FootnoteReference"/>
          <w:rFonts w:cs="Taher"/>
          <w:rtl/>
        </w:rPr>
        <w:footnoteReference w:id="400"/>
      </w:r>
      <w:r w:rsidRPr="000A4159">
        <w:rPr>
          <w:rFonts w:cs="Taher"/>
          <w:vertAlign w:val="superscript"/>
          <w:rtl/>
        </w:rPr>
        <w:t>)</w:t>
      </w:r>
      <w:r w:rsidRPr="00822CE9">
        <w:rPr>
          <w:rFonts w:hint="cs"/>
          <w:rtl/>
        </w:rPr>
        <w:t>.</w:t>
      </w:r>
    </w:p>
    <w:p w14:paraId="10EC0A17" w14:textId="77777777" w:rsidR="000A4159" w:rsidRPr="00822CE9" w:rsidRDefault="000A4159" w:rsidP="000E47B2">
      <w:pPr>
        <w:pStyle w:val="normal930"/>
        <w:rPr>
          <w:rtl/>
        </w:rPr>
      </w:pPr>
      <w:r w:rsidRPr="00822CE9">
        <w:rPr>
          <w:rFonts w:hint="cs"/>
          <w:rtl/>
        </w:rPr>
        <w:t>وقد يقال هنا: إنّه لم يتضح موقف أهل البيت من ثورة زيد كما بحثناه في محلّه، فلعلّهم يضعّفونها، وأم</w:t>
      </w:r>
      <w:r w:rsidR="00B74BC4">
        <w:rPr>
          <w:rFonts w:hint="cs"/>
          <w:rtl/>
        </w:rPr>
        <w:t>ّ</w:t>
      </w:r>
      <w:r w:rsidRPr="00822CE9">
        <w:rPr>
          <w:rFonts w:hint="cs"/>
          <w:rtl/>
        </w:rPr>
        <w:t>ا ثورة الإمام الحسين فهذا الذي ذكره المناقش هنا منسجم مع النظري</w:t>
      </w:r>
      <w:r w:rsidR="00B74BC4">
        <w:rPr>
          <w:rFonts w:hint="cs"/>
          <w:rtl/>
        </w:rPr>
        <w:t>ّ</w:t>
      </w:r>
      <w:r w:rsidRPr="00822CE9">
        <w:rPr>
          <w:rFonts w:hint="cs"/>
          <w:rtl/>
        </w:rPr>
        <w:t>ة السياسية في تفسير الثورة والتي ذهب إليها مثل الشيخ صالحي نجف آبادي، أم</w:t>
      </w:r>
      <w:r w:rsidR="00B74BC4">
        <w:rPr>
          <w:rFonts w:hint="cs"/>
          <w:rtl/>
        </w:rPr>
        <w:t>ّ</w:t>
      </w:r>
      <w:r w:rsidRPr="00822CE9">
        <w:rPr>
          <w:rFonts w:hint="cs"/>
          <w:rtl/>
        </w:rPr>
        <w:t>ا الآخرون فهم لا يقولون بهذه النظرية فلا دليل عندهم أنه كان يريد إسقاط الملك والنظام حتى يصبح مشمولاً للرواية، وأم</w:t>
      </w:r>
      <w:r w:rsidR="00B74BC4">
        <w:rPr>
          <w:rFonts w:hint="cs"/>
          <w:rtl/>
        </w:rPr>
        <w:t>ّ</w:t>
      </w:r>
      <w:r w:rsidRPr="00822CE9">
        <w:rPr>
          <w:rFonts w:hint="cs"/>
          <w:rtl/>
        </w:rPr>
        <w:t>ا حرب علي</w:t>
      </w:r>
      <w:r w:rsidR="00B74BC4">
        <w:rPr>
          <w:rFonts w:hint="cs"/>
          <w:rtl/>
        </w:rPr>
        <w:t>ّ</w:t>
      </w:r>
      <w:r w:rsidRPr="00822CE9">
        <w:rPr>
          <w:rFonts w:hint="cs"/>
          <w:rtl/>
        </w:rPr>
        <w:t xml:space="preserve"> فقد يقال: إن</w:t>
      </w:r>
      <w:r w:rsidR="00B74BC4">
        <w:rPr>
          <w:rFonts w:hint="cs"/>
          <w:rtl/>
        </w:rPr>
        <w:t>ّ</w:t>
      </w:r>
      <w:r w:rsidRPr="00822CE9">
        <w:rPr>
          <w:rFonts w:hint="cs"/>
          <w:rtl/>
        </w:rPr>
        <w:t>ها ليست لإسقاط ملك، حيث لم يصر معاوية حاكماً بعدُ وإنما كان متمرّداً على حكومة علي</w:t>
      </w:r>
      <w:r w:rsidR="00B74BC4">
        <w:rPr>
          <w:rFonts w:hint="cs"/>
          <w:rtl/>
        </w:rPr>
        <w:t>ّ</w:t>
      </w:r>
      <w:r w:rsidRPr="00822CE9">
        <w:rPr>
          <w:rFonts w:hint="cs"/>
          <w:rtl/>
        </w:rPr>
        <w:t xml:space="preserve"> بالمفهوم السياسي للكلمة.</w:t>
      </w:r>
    </w:p>
    <w:p w14:paraId="4A4BC3C9" w14:textId="77777777" w:rsidR="000A4159" w:rsidRPr="00822CE9" w:rsidRDefault="000A4159" w:rsidP="000E47B2">
      <w:pPr>
        <w:rPr>
          <w:rtl/>
        </w:rPr>
      </w:pPr>
      <w:r w:rsidRPr="00822CE9">
        <w:rPr>
          <w:rFonts w:hint="cs"/>
          <w:b/>
          <w:bCs/>
          <w:rtl/>
        </w:rPr>
        <w:t>خامساً:</w:t>
      </w:r>
      <w:r w:rsidRPr="00822CE9">
        <w:rPr>
          <w:rFonts w:hint="cs"/>
          <w:rtl/>
        </w:rPr>
        <w:t xml:space="preserve"> ما نراه أن</w:t>
      </w:r>
      <w:r w:rsidR="00DE5D68">
        <w:rPr>
          <w:rFonts w:hint="cs"/>
          <w:rtl/>
        </w:rPr>
        <w:t>ّ</w:t>
      </w:r>
      <w:r w:rsidRPr="00822CE9">
        <w:rPr>
          <w:rFonts w:hint="cs"/>
          <w:rtl/>
        </w:rPr>
        <w:t>ه الجواب الصحيح بعد ضمّ النقد السندي، وهو أنّ ذكر السفياني هنا بعد السؤال عن العلامة «بيننا وبينك»، ثم</w:t>
      </w:r>
      <w:r w:rsidR="00DE5D68">
        <w:rPr>
          <w:rFonts w:hint="cs"/>
          <w:rtl/>
        </w:rPr>
        <w:t>ّ</w:t>
      </w:r>
      <w:r w:rsidRPr="00822CE9">
        <w:rPr>
          <w:rFonts w:hint="cs"/>
          <w:rtl/>
        </w:rPr>
        <w:t xml:space="preserve"> جواب الإمام بما أجاب، مع العلم أنّ السفياني سيخرج بعد قرون مديدة، ذلك كلّه شاهد على أنّ الرواية ملتبسة، كما أسلفنا سابقاً، ولعلّها من صنع من يعتقدون بمهدوي</w:t>
      </w:r>
      <w:r w:rsidR="00DE5D68">
        <w:rPr>
          <w:rFonts w:hint="cs"/>
          <w:rtl/>
        </w:rPr>
        <w:t>ّ</w:t>
      </w:r>
      <w:r w:rsidRPr="00822CE9">
        <w:rPr>
          <w:rFonts w:hint="cs"/>
          <w:rtl/>
        </w:rPr>
        <w:t>ة الإمام</w:t>
      </w:r>
      <w:r w:rsidR="00DE5D68">
        <w:rPr>
          <w:rFonts w:hint="cs"/>
          <w:rtl/>
        </w:rPr>
        <w:t>َ</w:t>
      </w:r>
      <w:r w:rsidRPr="00822CE9">
        <w:rPr>
          <w:rFonts w:hint="cs"/>
          <w:rtl/>
        </w:rPr>
        <w:t>ين</w:t>
      </w:r>
      <w:r w:rsidR="00DE5D68">
        <w:rPr>
          <w:rFonts w:hint="cs"/>
          <w:rtl/>
        </w:rPr>
        <w:t>:</w:t>
      </w:r>
      <w:r w:rsidRPr="00822CE9">
        <w:rPr>
          <w:rFonts w:hint="cs"/>
          <w:rtl/>
        </w:rPr>
        <w:t xml:space="preserve"> الصادق أو الكاظم؛ لعدم وجه</w:t>
      </w:r>
      <w:r w:rsidR="00DE5D68">
        <w:rPr>
          <w:rFonts w:hint="cs"/>
          <w:rtl/>
        </w:rPr>
        <w:t>ٍ</w:t>
      </w:r>
      <w:r w:rsidRPr="00822CE9">
        <w:rPr>
          <w:rFonts w:hint="cs"/>
          <w:rtl/>
        </w:rPr>
        <w:t xml:space="preserve"> معقول عرفي لهذا الخطاب دون إشارة إلى أنّ هذه العلامة ستكون بعد غيبة المهدي المعلوم أن</w:t>
      </w:r>
      <w:r w:rsidR="00DE5D68">
        <w:rPr>
          <w:rFonts w:hint="cs"/>
          <w:rtl/>
        </w:rPr>
        <w:t>ّ</w:t>
      </w:r>
      <w:r w:rsidRPr="00822CE9">
        <w:rPr>
          <w:rFonts w:hint="cs"/>
          <w:rtl/>
        </w:rPr>
        <w:t>ها غيبتان إحداهما طويلة. وبعبارةٍ أخرى: من يعيش زمن صدور الحديث يفهم أنّ السفياني مسألةٌ قريبة ربما تحتاج لعقود من الزمن فقط.</w:t>
      </w:r>
    </w:p>
    <w:p w14:paraId="57A2CF09" w14:textId="77777777" w:rsidR="000A4159" w:rsidRDefault="000A4159" w:rsidP="00346C67">
      <w:pPr>
        <w:spacing w:line="214" w:lineRule="auto"/>
        <w:rPr>
          <w:rtl/>
        </w:rPr>
      </w:pPr>
      <w:r w:rsidRPr="00822CE9">
        <w:rPr>
          <w:rFonts w:hint="cs"/>
          <w:rtl/>
        </w:rPr>
        <w:t>فهذا النقد المضموني إلى جانب النقد السندي يضعفان هذه الرواية؛ فلا يستند إليها هنا.</w:t>
      </w:r>
      <w:r w:rsidR="00346C67">
        <w:rPr>
          <w:rFonts w:hint="cs"/>
          <w:rtl/>
        </w:rPr>
        <w:t xml:space="preserve"> وهذا مبنيٌّ على أنّ أهل البيت كانوا يعرفون قصّة السفياني الحقيقيّة وأنّها مرتبطة بما بعد مئات </w:t>
      </w:r>
      <w:r w:rsidR="00346C67">
        <w:rPr>
          <w:rFonts w:hint="cs"/>
          <w:rtl/>
        </w:rPr>
        <w:lastRenderedPageBreak/>
        <w:t>السنين.</w:t>
      </w:r>
    </w:p>
    <w:p w14:paraId="1BED5E05" w14:textId="77777777" w:rsidR="0080620D" w:rsidRPr="0080620D" w:rsidRDefault="0080620D" w:rsidP="000153E6">
      <w:pPr>
        <w:pStyle w:val="Heading4"/>
        <w:rPr>
          <w:rtl/>
        </w:rPr>
      </w:pPr>
      <w:bookmarkStart w:id="235" w:name="_Toc143804197"/>
      <w:bookmarkStart w:id="236" w:name="_Toc238123322"/>
      <w:r w:rsidRPr="0080620D">
        <w:rPr>
          <w:rFonts w:hint="cs"/>
          <w:rtl/>
        </w:rPr>
        <w:t>تأمّلات فاحصة في "كل</w:t>
      </w:r>
      <w:r>
        <w:rPr>
          <w:rFonts w:hint="cs"/>
          <w:rtl/>
        </w:rPr>
        <w:t>ّ</w:t>
      </w:r>
      <w:r w:rsidRPr="0080620D">
        <w:rPr>
          <w:rFonts w:hint="cs"/>
          <w:rtl/>
        </w:rPr>
        <w:t xml:space="preserve"> راية قبل المه</w:t>
      </w:r>
      <w:r>
        <w:rPr>
          <w:rFonts w:hint="cs"/>
          <w:rtl/>
        </w:rPr>
        <w:t>د</w:t>
      </w:r>
      <w:r w:rsidRPr="0080620D">
        <w:rPr>
          <w:rFonts w:hint="cs"/>
          <w:rtl/>
        </w:rPr>
        <w:t>ي</w:t>
      </w:r>
      <w:r>
        <w:rPr>
          <w:rFonts w:hint="cs"/>
          <w:rtl/>
        </w:rPr>
        <w:t>ّ</w:t>
      </w:r>
      <w:r w:rsidRPr="0080620D">
        <w:rPr>
          <w:rFonts w:hint="cs"/>
          <w:rtl/>
        </w:rPr>
        <w:t xml:space="preserve"> فهي راية ضلال وطاغوت"</w:t>
      </w:r>
      <w:bookmarkEnd w:id="235"/>
      <w:bookmarkEnd w:id="236"/>
    </w:p>
    <w:p w14:paraId="7C3C9FCF" w14:textId="77777777" w:rsidR="000A4159" w:rsidRPr="00822CE9" w:rsidRDefault="00DE5D68" w:rsidP="000E47B2">
      <w:pPr>
        <w:rPr>
          <w:rtl/>
        </w:rPr>
      </w:pPr>
      <w:r>
        <w:rPr>
          <w:rFonts w:hint="cs"/>
          <w:b/>
          <w:bCs/>
          <w:rtl/>
        </w:rPr>
        <w:t xml:space="preserve">الرواية السابعة: </w:t>
      </w:r>
      <w:r w:rsidR="000A4159" w:rsidRPr="00822CE9">
        <w:rPr>
          <w:rFonts w:hint="cs"/>
          <w:b/>
          <w:bCs/>
          <w:rtl/>
        </w:rPr>
        <w:t>خبر أبي بصير،</w:t>
      </w:r>
      <w:r w:rsidR="000A4159" w:rsidRPr="00822CE9">
        <w:rPr>
          <w:rFonts w:hint="cs"/>
          <w:rtl/>
        </w:rPr>
        <w:t xml:space="preserve"> عن أبي عبد الله</w:t>
      </w:r>
      <w:r>
        <w:rPr>
          <w:rFonts w:hint="cs"/>
          <w:rtl/>
        </w:rPr>
        <w:t>×</w:t>
      </w:r>
      <w:r w:rsidR="000A4159" w:rsidRPr="00822CE9">
        <w:rPr>
          <w:rFonts w:hint="cs"/>
          <w:rtl/>
        </w:rPr>
        <w:t>، قال: «كلّ راية ترفع قبل قيام القائم فصاحبها طاغوت</w:t>
      </w:r>
      <w:r>
        <w:rPr>
          <w:rFonts w:hint="cs"/>
          <w:rtl/>
        </w:rPr>
        <w:t>ٌ</w:t>
      </w:r>
      <w:r w:rsidR="000A4159" w:rsidRPr="00822CE9">
        <w:rPr>
          <w:rFonts w:hint="cs"/>
          <w:rtl/>
        </w:rPr>
        <w:t xml:space="preserve"> ي</w:t>
      </w:r>
      <w:r>
        <w:rPr>
          <w:rFonts w:hint="cs"/>
          <w:rtl/>
        </w:rPr>
        <w:t>ُ</w:t>
      </w:r>
      <w:r w:rsidR="000A4159" w:rsidRPr="00822CE9">
        <w:rPr>
          <w:rFonts w:hint="cs"/>
          <w:rtl/>
        </w:rPr>
        <w:t>عبد من دون الله عز وجل»</w:t>
      </w:r>
      <w:r w:rsidR="000A4159" w:rsidRPr="000A4159">
        <w:rPr>
          <w:rFonts w:cs="Taher"/>
          <w:vertAlign w:val="superscript"/>
          <w:rtl/>
        </w:rPr>
        <w:t>(</w:t>
      </w:r>
      <w:r w:rsidR="000A4159" w:rsidRPr="000A4159">
        <w:rPr>
          <w:rStyle w:val="FootnoteReference"/>
          <w:rFonts w:cs="Taher"/>
          <w:rtl/>
        </w:rPr>
        <w:footnoteReference w:id="401"/>
      </w:r>
      <w:r w:rsidR="000A4159" w:rsidRPr="000A4159">
        <w:rPr>
          <w:rFonts w:cs="Taher"/>
          <w:vertAlign w:val="superscript"/>
          <w:rtl/>
        </w:rPr>
        <w:t>)</w:t>
      </w:r>
      <w:r w:rsidR="000A4159" w:rsidRPr="00822CE9">
        <w:rPr>
          <w:rFonts w:hint="cs"/>
          <w:rtl/>
        </w:rPr>
        <w:t>.</w:t>
      </w:r>
    </w:p>
    <w:p w14:paraId="3CCBB8AB" w14:textId="77777777" w:rsidR="000A4159" w:rsidRPr="00822CE9" w:rsidRDefault="000A4159" w:rsidP="000E47B2">
      <w:pPr>
        <w:pStyle w:val="normal930"/>
        <w:rPr>
          <w:rtl/>
        </w:rPr>
      </w:pPr>
      <w:r w:rsidRPr="00822CE9">
        <w:rPr>
          <w:rFonts w:hint="cs"/>
          <w:rtl/>
        </w:rPr>
        <w:t>وقد وردت هذه الرواية بسند</w:t>
      </w:r>
      <w:r w:rsidR="00DE5D68">
        <w:rPr>
          <w:rFonts w:hint="cs"/>
          <w:rtl/>
        </w:rPr>
        <w:t>ٍ</w:t>
      </w:r>
      <w:r w:rsidRPr="00822CE9">
        <w:rPr>
          <w:rFonts w:hint="cs"/>
          <w:rtl/>
        </w:rPr>
        <w:t xml:space="preserve"> متصل إلى مالك الجهني عن أبي جعفر</w:t>
      </w:r>
      <w:r w:rsidR="00DE5D68">
        <w:rPr>
          <w:rFonts w:hint="cs"/>
          <w:rtl/>
        </w:rPr>
        <w:t>×</w:t>
      </w:r>
      <w:r w:rsidRPr="00822CE9">
        <w:rPr>
          <w:rFonts w:hint="cs"/>
          <w:rtl/>
        </w:rPr>
        <w:t xml:space="preserve"> أيضاً في كتاب الغيبة للنعماني، وجاء فيها اختلاف طفيف: «كلّ راية ترفع قبل راية القائم صاحبها طاغوت»</w:t>
      </w:r>
      <w:r w:rsidRPr="000A4159">
        <w:rPr>
          <w:rFonts w:cs="Taher"/>
          <w:vertAlign w:val="superscript"/>
          <w:rtl/>
        </w:rPr>
        <w:t>(</w:t>
      </w:r>
      <w:r w:rsidRPr="000A4159">
        <w:rPr>
          <w:rStyle w:val="FootnoteReference"/>
          <w:rFonts w:cs="Taher"/>
          <w:rtl/>
        </w:rPr>
        <w:footnoteReference w:id="402"/>
      </w:r>
      <w:r w:rsidRPr="000A4159">
        <w:rPr>
          <w:rFonts w:cs="Taher"/>
          <w:vertAlign w:val="superscript"/>
          <w:rtl/>
        </w:rPr>
        <w:t>)</w:t>
      </w:r>
      <w:r w:rsidRPr="00822CE9">
        <w:rPr>
          <w:rFonts w:hint="cs"/>
          <w:rtl/>
        </w:rPr>
        <w:t>.</w:t>
      </w:r>
    </w:p>
    <w:p w14:paraId="6E784452" w14:textId="77777777" w:rsidR="000A4159" w:rsidRPr="00822CE9" w:rsidRDefault="000A4159" w:rsidP="00A079D6">
      <w:pPr>
        <w:spacing w:line="214" w:lineRule="auto"/>
        <w:rPr>
          <w:rtl/>
        </w:rPr>
      </w:pPr>
      <w:r w:rsidRPr="00822CE9">
        <w:rPr>
          <w:rFonts w:hint="cs"/>
          <w:rtl/>
        </w:rPr>
        <w:t>وقد نصّ بعض العلماء على صحّة سند هذه الرواية (الأولى)، ولم يناقش فيه ظاهراً.</w:t>
      </w:r>
    </w:p>
    <w:p w14:paraId="16E1F394" w14:textId="77777777" w:rsidR="000A4159" w:rsidRPr="00822CE9" w:rsidRDefault="000A4159" w:rsidP="000E47B2">
      <w:pPr>
        <w:pStyle w:val="normal930"/>
        <w:rPr>
          <w:rtl/>
        </w:rPr>
      </w:pPr>
      <w:r w:rsidRPr="00822CE9">
        <w:rPr>
          <w:rFonts w:hint="cs"/>
          <w:rtl/>
        </w:rPr>
        <w:t>والرواية مطلقة تشمل صاحب الراية الذي ينادي بالحقّ، كما نصّ عليه المازندراني</w:t>
      </w:r>
      <w:r w:rsidRPr="000A4159">
        <w:rPr>
          <w:rFonts w:cs="Taher"/>
          <w:vertAlign w:val="superscript"/>
          <w:rtl/>
        </w:rPr>
        <w:t>(</w:t>
      </w:r>
      <w:r w:rsidRPr="000A4159">
        <w:rPr>
          <w:rStyle w:val="FootnoteReference"/>
          <w:rFonts w:cs="Taher"/>
          <w:rtl/>
        </w:rPr>
        <w:footnoteReference w:id="403"/>
      </w:r>
      <w:r w:rsidRPr="000A4159">
        <w:rPr>
          <w:rFonts w:cs="Taher"/>
          <w:vertAlign w:val="superscript"/>
          <w:rtl/>
        </w:rPr>
        <w:t>)</w:t>
      </w:r>
      <w:r w:rsidRPr="00822CE9">
        <w:rPr>
          <w:rtl/>
        </w:rPr>
        <w:t xml:space="preserve">، </w:t>
      </w:r>
      <w:r w:rsidRPr="00822CE9">
        <w:rPr>
          <w:rFonts w:hint="cs"/>
          <w:rtl/>
        </w:rPr>
        <w:t>وتجعل صاحبها طاغوتاً يعبد من دون الله، كما أنها لا تختصّ ـ حسب الظاهر ـ بالثورات المسلّحة، بل بمطلق إقامة نظام أو دولة قبل قيام القائم، فهي من أقوى الروايات سنداً ودلالةً في هذا المضمار.</w:t>
      </w:r>
    </w:p>
    <w:p w14:paraId="754A3CEB" w14:textId="77777777" w:rsidR="000A4159" w:rsidRPr="00822CE9" w:rsidRDefault="000A4159" w:rsidP="00A079D6">
      <w:pPr>
        <w:spacing w:line="214" w:lineRule="auto"/>
        <w:rPr>
          <w:b/>
          <w:bCs/>
          <w:rtl/>
        </w:rPr>
      </w:pPr>
      <w:r w:rsidRPr="00822CE9">
        <w:rPr>
          <w:rFonts w:hint="cs"/>
          <w:b/>
          <w:bCs/>
          <w:rtl/>
        </w:rPr>
        <w:t>وربما يعلّق على الاستناد لهذا الحديث من جهات:</w:t>
      </w:r>
    </w:p>
    <w:p w14:paraId="3C100080" w14:textId="77777777" w:rsidR="000A4159" w:rsidRPr="00822CE9" w:rsidRDefault="000A4159" w:rsidP="000E47B2">
      <w:pPr>
        <w:pStyle w:val="normal930"/>
        <w:rPr>
          <w:rtl/>
        </w:rPr>
      </w:pPr>
      <w:r w:rsidRPr="00822CE9">
        <w:rPr>
          <w:rFonts w:hint="cs"/>
          <w:b/>
          <w:bCs/>
          <w:rtl/>
        </w:rPr>
        <w:t>أو</w:t>
      </w:r>
      <w:r w:rsidR="00DE5D68">
        <w:rPr>
          <w:rFonts w:hint="cs"/>
          <w:b/>
          <w:bCs/>
          <w:rtl/>
        </w:rPr>
        <w:t>ّ</w:t>
      </w:r>
      <w:r w:rsidRPr="00822CE9">
        <w:rPr>
          <w:rFonts w:hint="cs"/>
          <w:b/>
          <w:bCs/>
          <w:rtl/>
        </w:rPr>
        <w:t>لاً:</w:t>
      </w:r>
      <w:r w:rsidRPr="00822CE9">
        <w:rPr>
          <w:rFonts w:hint="cs"/>
          <w:rtl/>
        </w:rPr>
        <w:t xml:space="preserve"> إنّ للحديث من الناحية السندية عدّة أسانيد</w:t>
      </w:r>
      <w:r w:rsidR="00DE5D68">
        <w:rPr>
          <w:rFonts w:hint="cs"/>
          <w:rtl/>
        </w:rPr>
        <w:t>، كما تبيّن</w:t>
      </w:r>
      <w:r w:rsidRPr="00822CE9">
        <w:rPr>
          <w:rFonts w:hint="cs"/>
          <w:rtl/>
        </w:rPr>
        <w:t>؛ فسند كتاب الكافي تام</w:t>
      </w:r>
      <w:r w:rsidR="00DE5D68">
        <w:rPr>
          <w:rFonts w:hint="cs"/>
          <w:rtl/>
        </w:rPr>
        <w:t>ّ</w:t>
      </w:r>
      <w:r w:rsidRPr="00822CE9">
        <w:rPr>
          <w:rFonts w:hint="cs"/>
          <w:rtl/>
        </w:rPr>
        <w:t>، ليس فيه سوى الحسين بن المختار، ووثاقته ناتجة عن شهادة الشيخ المفيد بها وجعله من خاصّة الإمام الكاظم، كما ورد في أسانيد كامل الزيار</w:t>
      </w:r>
      <w:r w:rsidR="00557331">
        <w:rPr>
          <w:rFonts w:hint="cs"/>
          <w:rtl/>
        </w:rPr>
        <w:t>ات</w:t>
      </w:r>
      <w:r w:rsidRPr="00822CE9">
        <w:rPr>
          <w:rFonts w:hint="cs"/>
          <w:rtl/>
        </w:rPr>
        <w:t xml:space="preserve">، مضافاً إلى رواية الأجلاء عنه منهم بعض أصحاب الإجماع، مثل حماد بن عيسى الذي نقل لنا كتابه، وممّن روى عنه أيضاً ابن أبي عمير. كما نقل العلامةُ الحلّي عن ابن عقدة عن ابن فضال شهادةَ الأخير بوثاقته، ولم يرد فيه تضعيف، </w:t>
      </w:r>
      <w:r w:rsidR="00034CFD">
        <w:rPr>
          <w:rFonts w:hint="cs"/>
          <w:rtl/>
        </w:rPr>
        <w:t xml:space="preserve">وغير ذلك من القرائن. </w:t>
      </w:r>
      <w:r w:rsidRPr="00822CE9">
        <w:rPr>
          <w:rFonts w:hint="cs"/>
          <w:rtl/>
        </w:rPr>
        <w:t xml:space="preserve">وهذه القرائن وإن أمكن المناقشة في بعضها، لكنّ </w:t>
      </w:r>
      <w:r w:rsidR="00DE5D68">
        <w:rPr>
          <w:rFonts w:hint="cs"/>
          <w:rtl/>
        </w:rPr>
        <w:t>ضمّ بعضها إلى بعض يمكنه تحصيل نوع من الترجيح في وثاقته.</w:t>
      </w:r>
    </w:p>
    <w:p w14:paraId="4CF01587" w14:textId="77777777" w:rsidR="000A4159" w:rsidRPr="00822CE9" w:rsidRDefault="000A4159" w:rsidP="000E47B2">
      <w:pPr>
        <w:rPr>
          <w:rtl/>
        </w:rPr>
      </w:pPr>
      <w:r w:rsidRPr="005958D4">
        <w:rPr>
          <w:rFonts w:hint="cs"/>
          <w:b/>
          <w:bCs/>
          <w:rtl/>
        </w:rPr>
        <w:lastRenderedPageBreak/>
        <w:t>وأم</w:t>
      </w:r>
      <w:r w:rsidR="00034CFD" w:rsidRPr="005958D4">
        <w:rPr>
          <w:rFonts w:hint="cs"/>
          <w:b/>
          <w:bCs/>
          <w:rtl/>
        </w:rPr>
        <w:t>ّ</w:t>
      </w:r>
      <w:r w:rsidRPr="005958D4">
        <w:rPr>
          <w:rFonts w:hint="cs"/>
          <w:b/>
          <w:bCs/>
          <w:rtl/>
        </w:rPr>
        <w:t>ا أسانيد الرواية في كتاب الغيبة للنعماني فهي ضعيفة؛</w:t>
      </w:r>
      <w:r w:rsidRPr="00822CE9">
        <w:rPr>
          <w:rFonts w:hint="cs"/>
          <w:rtl/>
        </w:rPr>
        <w:t xml:space="preserve"> فقد ورد فيها مالك بن أعين الجهني وهو غير موثق؛ سوى أن</w:t>
      </w:r>
      <w:r w:rsidR="00034CFD">
        <w:rPr>
          <w:rFonts w:hint="cs"/>
          <w:rtl/>
        </w:rPr>
        <w:t>ّ</w:t>
      </w:r>
      <w:r w:rsidRPr="00822CE9">
        <w:rPr>
          <w:rFonts w:hint="cs"/>
          <w:rtl/>
        </w:rPr>
        <w:t>ه ورد في أسانيد كامل الزيار</w:t>
      </w:r>
      <w:r w:rsidR="00557331">
        <w:rPr>
          <w:rFonts w:hint="cs"/>
          <w:rtl/>
        </w:rPr>
        <w:t>ات</w:t>
      </w:r>
      <w:r w:rsidRPr="00822CE9">
        <w:rPr>
          <w:rFonts w:hint="cs"/>
          <w:rtl/>
        </w:rPr>
        <w:t>، وليس من المشايخ المباشرين</w:t>
      </w:r>
      <w:r w:rsidRPr="000A4159">
        <w:rPr>
          <w:rFonts w:cs="Taher"/>
          <w:vertAlign w:val="superscript"/>
          <w:rtl/>
        </w:rPr>
        <w:t>(</w:t>
      </w:r>
      <w:r w:rsidRPr="000A4159">
        <w:rPr>
          <w:rStyle w:val="FootnoteReference"/>
          <w:rFonts w:cs="Taher"/>
          <w:rtl/>
        </w:rPr>
        <w:footnoteReference w:id="404"/>
      </w:r>
      <w:r w:rsidRPr="000A4159">
        <w:rPr>
          <w:rFonts w:cs="Taher"/>
          <w:vertAlign w:val="superscript"/>
          <w:rtl/>
        </w:rPr>
        <w:t>)</w:t>
      </w:r>
      <w:r w:rsidRPr="00822CE9">
        <w:rPr>
          <w:rFonts w:hint="cs"/>
          <w:rtl/>
        </w:rPr>
        <w:t xml:space="preserve"> فلم تثبت وثاقته</w:t>
      </w:r>
      <w:r w:rsidRPr="00822CE9">
        <w:rPr>
          <w:rtl/>
        </w:rPr>
        <w:t xml:space="preserve">، </w:t>
      </w:r>
      <w:r w:rsidRPr="00822CE9">
        <w:rPr>
          <w:rFonts w:hint="cs"/>
          <w:rtl/>
        </w:rPr>
        <w:t xml:space="preserve">كما ورد عيسى الحسيني وهو رجل مهمل للغاية، وورد أيضاً محمد بن الحسن الرازي، وهو </w:t>
      </w:r>
      <w:r w:rsidR="0039651B">
        <w:rPr>
          <w:rFonts w:hint="cs"/>
          <w:rtl/>
        </w:rPr>
        <w:t>كذلك</w:t>
      </w:r>
      <w:r w:rsidRPr="000A4159">
        <w:rPr>
          <w:rFonts w:cs="Taher"/>
          <w:vertAlign w:val="superscript"/>
          <w:rtl/>
        </w:rPr>
        <w:t>(</w:t>
      </w:r>
      <w:r w:rsidRPr="000A4159">
        <w:rPr>
          <w:rStyle w:val="FootnoteReference"/>
          <w:rFonts w:cs="Taher"/>
          <w:rtl/>
        </w:rPr>
        <w:footnoteReference w:id="405"/>
      </w:r>
      <w:r w:rsidRPr="000A4159">
        <w:rPr>
          <w:rFonts w:cs="Taher"/>
          <w:vertAlign w:val="superscript"/>
          <w:rtl/>
        </w:rPr>
        <w:t>)</w:t>
      </w:r>
      <w:r w:rsidRPr="00822CE9">
        <w:rPr>
          <w:rFonts w:hint="cs"/>
          <w:rtl/>
        </w:rPr>
        <w:t>، كما أنّ عبد الله بن موسى العلوي مهمل أيضاً، فتمام أسانيد هذه الرواية ضعيفة سوى سند الكافي الظاهر في الصحّة</w:t>
      </w:r>
      <w:r w:rsidR="00034CFD">
        <w:rPr>
          <w:rFonts w:hint="cs"/>
          <w:rtl/>
        </w:rPr>
        <w:t xml:space="preserve"> على الأرجح</w:t>
      </w:r>
      <w:r w:rsidRPr="00822CE9">
        <w:rPr>
          <w:rFonts w:hint="cs"/>
          <w:rtl/>
        </w:rPr>
        <w:t>.</w:t>
      </w:r>
    </w:p>
    <w:p w14:paraId="3176AC84" w14:textId="77777777" w:rsidR="000A4159" w:rsidRPr="00822CE9" w:rsidRDefault="000A4159" w:rsidP="000E47B2">
      <w:pPr>
        <w:pStyle w:val="normal930"/>
        <w:rPr>
          <w:rtl/>
        </w:rPr>
      </w:pPr>
      <w:r w:rsidRPr="00822CE9">
        <w:rPr>
          <w:rFonts w:hint="cs"/>
          <w:b/>
          <w:bCs/>
          <w:rtl/>
        </w:rPr>
        <w:t>ثانياً:</w:t>
      </w:r>
      <w:r w:rsidRPr="00822CE9">
        <w:rPr>
          <w:rFonts w:hint="cs"/>
          <w:rtl/>
        </w:rPr>
        <w:t xml:space="preserve"> ما ذكره غير واحد من الفقهاء والباحثين</w:t>
      </w:r>
      <w:r w:rsidR="00034CFD">
        <w:rPr>
          <w:rFonts w:hint="cs"/>
          <w:rtl/>
        </w:rPr>
        <w:t>،</w:t>
      </w:r>
      <w:r w:rsidRPr="00822CE9">
        <w:rPr>
          <w:rFonts w:hint="cs"/>
          <w:rtl/>
        </w:rPr>
        <w:t xml:space="preserve"> من أنّ الظاهر أنّ المراد بالراية هنا من يخرج داعياً إلى نفسه، بحيث يكون خروجه في عرض الإمام وبخلاف مشروعه</w:t>
      </w:r>
      <w:r w:rsidR="00034CFD">
        <w:rPr>
          <w:rFonts w:hint="cs"/>
          <w:rtl/>
        </w:rPr>
        <w:t>،</w:t>
      </w:r>
      <w:r w:rsidRPr="00822CE9">
        <w:rPr>
          <w:rFonts w:hint="cs"/>
          <w:rtl/>
        </w:rPr>
        <w:t xml:space="preserve"> لا في طريقه وخدمة مشروعه، والذي يشهد على ذلك هو التعبير «بطاغوت» و«يُعبد من دون الله»</w:t>
      </w:r>
      <w:r w:rsidRPr="000A4159">
        <w:rPr>
          <w:rFonts w:cs="Taher"/>
          <w:vertAlign w:val="superscript"/>
          <w:rtl/>
        </w:rPr>
        <w:t>(</w:t>
      </w:r>
      <w:r w:rsidRPr="000A4159">
        <w:rPr>
          <w:rStyle w:val="FootnoteReference"/>
          <w:rFonts w:cs="Taher"/>
          <w:rtl/>
        </w:rPr>
        <w:footnoteReference w:id="406"/>
      </w:r>
      <w:r w:rsidRPr="000A4159">
        <w:rPr>
          <w:rFonts w:cs="Taher"/>
          <w:vertAlign w:val="superscript"/>
          <w:rtl/>
        </w:rPr>
        <w:t>)</w:t>
      </w:r>
      <w:r w:rsidRPr="00822CE9">
        <w:rPr>
          <w:rFonts w:hint="cs"/>
          <w:rtl/>
        </w:rPr>
        <w:t>.</w:t>
      </w:r>
    </w:p>
    <w:p w14:paraId="30C520F1" w14:textId="77777777" w:rsidR="000A4159" w:rsidRPr="00822CE9" w:rsidRDefault="000A4159" w:rsidP="000E47B2">
      <w:pPr>
        <w:pStyle w:val="normal930"/>
        <w:rPr>
          <w:rtl/>
        </w:rPr>
      </w:pPr>
      <w:r w:rsidRPr="00822CE9">
        <w:rPr>
          <w:rFonts w:hint="cs"/>
          <w:b/>
          <w:bCs/>
          <w:rtl/>
        </w:rPr>
        <w:t xml:space="preserve">وهذه المناقشة </w:t>
      </w:r>
      <w:r w:rsidR="00034CFD">
        <w:rPr>
          <w:rFonts w:hint="cs"/>
          <w:b/>
          <w:bCs/>
          <w:rtl/>
        </w:rPr>
        <w:t xml:space="preserve">ـ </w:t>
      </w:r>
      <w:r w:rsidRPr="00822CE9">
        <w:rPr>
          <w:rFonts w:hint="cs"/>
          <w:b/>
          <w:bCs/>
          <w:rtl/>
        </w:rPr>
        <w:t xml:space="preserve">رغم اشتهارها </w:t>
      </w:r>
      <w:r w:rsidR="00034CFD">
        <w:rPr>
          <w:rFonts w:hint="cs"/>
          <w:b/>
          <w:bCs/>
          <w:rtl/>
        </w:rPr>
        <w:t xml:space="preserve">ـ </w:t>
      </w:r>
      <w:r w:rsidRPr="00822CE9">
        <w:rPr>
          <w:rFonts w:hint="cs"/>
          <w:b/>
          <w:bCs/>
          <w:rtl/>
        </w:rPr>
        <w:t>غير</w:t>
      </w:r>
      <w:r w:rsidR="00034CFD">
        <w:rPr>
          <w:rFonts w:hint="cs"/>
          <w:b/>
          <w:bCs/>
          <w:rtl/>
        </w:rPr>
        <w:t>ُ</w:t>
      </w:r>
      <w:r w:rsidRPr="00822CE9">
        <w:rPr>
          <w:rFonts w:hint="cs"/>
          <w:b/>
          <w:bCs/>
          <w:rtl/>
        </w:rPr>
        <w:t xml:space="preserve"> دقيقة؛</w:t>
      </w:r>
      <w:r w:rsidRPr="00822CE9">
        <w:rPr>
          <w:rFonts w:hint="cs"/>
          <w:rtl/>
        </w:rPr>
        <w:t xml:space="preserve"> فإنّه ليس في الرواية أنّ كلّ راية ترفع يكون صاحبها طاغوت يعبد من دون الله فحكمها كذا وكذا، بل هي تصف مطلق الرايات المتقدّمة زمناً على خروج المهدي بأنّها ضلالة وطاغوت، فهذا خلاف الظاهر من العموم في الرواية. وبعبارة أخرى: إنّ الرواية نفسها تعتبره طاغوتاً، سواء اعتبرناه نحن أم لا، وهي تعتبره يُعبد من دون الله سواء اعتبرناه نحن أم لا، وإذا كان المعيار هو نوعي</w:t>
      </w:r>
      <w:r w:rsidR="00034CFD">
        <w:rPr>
          <w:rFonts w:hint="cs"/>
          <w:rtl/>
        </w:rPr>
        <w:t>ّ</w:t>
      </w:r>
      <w:r w:rsidRPr="00822CE9">
        <w:rPr>
          <w:rFonts w:hint="cs"/>
          <w:rtl/>
        </w:rPr>
        <w:t>ة الراية فيكون هذا العموم بهذه الصيغة إخلالاً بالبيان؛ فهذا نوعٌ من تأويل الرواية كما نفهمه، وإلا فلا يرتاب القارئ لها في دلالتها التقعيدي</w:t>
      </w:r>
      <w:r w:rsidR="00034CFD">
        <w:rPr>
          <w:rFonts w:hint="cs"/>
          <w:rtl/>
        </w:rPr>
        <w:t>ّ</w:t>
      </w:r>
      <w:r w:rsidRPr="00822CE9">
        <w:rPr>
          <w:rFonts w:hint="cs"/>
          <w:rtl/>
        </w:rPr>
        <w:t>ة، ذات الطابع العام بلا تنويع، وبعبارة ثالثة: إنّ التوصيف فيها كان شأناً من شؤون المولى وإخباراً من إخباراته لا أنّه موكل إلينا لتحقيق مورده ومكانه.</w:t>
      </w:r>
    </w:p>
    <w:p w14:paraId="158D80FD" w14:textId="77777777" w:rsidR="000A4159" w:rsidRPr="00822CE9" w:rsidRDefault="000A4159" w:rsidP="00034CFD">
      <w:pPr>
        <w:spacing w:line="214" w:lineRule="auto"/>
        <w:rPr>
          <w:rtl/>
        </w:rPr>
      </w:pPr>
      <w:r w:rsidRPr="00822CE9">
        <w:rPr>
          <w:rFonts w:hint="cs"/>
          <w:b/>
          <w:bCs/>
          <w:rtl/>
        </w:rPr>
        <w:t>ثالثاً:</w:t>
      </w:r>
      <w:r w:rsidRPr="00822CE9">
        <w:rPr>
          <w:rFonts w:hint="cs"/>
          <w:rtl/>
        </w:rPr>
        <w:t xml:space="preserve"> ما ذكره بعض الفقهاء</w:t>
      </w:r>
      <w:r w:rsidR="00034CFD">
        <w:rPr>
          <w:rFonts w:hint="cs"/>
          <w:rtl/>
        </w:rPr>
        <w:t>،</w:t>
      </w:r>
      <w:r w:rsidRPr="00822CE9">
        <w:rPr>
          <w:rFonts w:hint="cs"/>
          <w:rtl/>
        </w:rPr>
        <w:t xml:space="preserve"> من أنّه يجب حمل هذه الرواية على خصوص رايات الضلال التي ترفع في عرض أهل البيت</w:t>
      </w:r>
      <w:r w:rsidR="00034CFD">
        <w:rPr>
          <w:rFonts w:hint="cs"/>
          <w:rtl/>
        </w:rPr>
        <w:t xml:space="preserve"> النبوي</w:t>
      </w:r>
      <w:r w:rsidRPr="00822CE9">
        <w:rPr>
          <w:rFonts w:hint="cs"/>
          <w:rtl/>
        </w:rPr>
        <w:t xml:space="preserve">؛ وذلك جمعاً بينها وبين ما دلّ على مدح ثورة زيد وثورة </w:t>
      </w:r>
      <w:r w:rsidRPr="00822CE9">
        <w:rPr>
          <w:rFonts w:hint="cs"/>
          <w:rtl/>
        </w:rPr>
        <w:lastRenderedPageBreak/>
        <w:t>الحسين بن علي صاحب فخ</w:t>
      </w:r>
      <w:r w:rsidR="00034CFD">
        <w:rPr>
          <w:rFonts w:hint="cs"/>
          <w:rtl/>
        </w:rPr>
        <w:t>ّ</w:t>
      </w:r>
      <w:r w:rsidRPr="00822CE9">
        <w:rPr>
          <w:rFonts w:hint="cs"/>
          <w:rtl/>
        </w:rPr>
        <w:t>، أو جعلها قضيةً خارجي</w:t>
      </w:r>
      <w:r w:rsidR="00034CFD">
        <w:rPr>
          <w:rFonts w:hint="cs"/>
          <w:rtl/>
        </w:rPr>
        <w:t>ّ</w:t>
      </w:r>
      <w:r w:rsidRPr="00822CE9">
        <w:rPr>
          <w:rFonts w:hint="cs"/>
          <w:rtl/>
        </w:rPr>
        <w:t>ة تشير إلى ظروف خاصّة بذلك الزمان، وإلا فكيف تكون هذه الثورات شرعيةً وهذه القاعدة عامةً هنا في الرواية؟! أو نقول بحملها على التقية</w:t>
      </w:r>
      <w:r w:rsidRPr="000A4159">
        <w:rPr>
          <w:rFonts w:cs="Taher"/>
          <w:vertAlign w:val="superscript"/>
          <w:rtl/>
        </w:rPr>
        <w:t>(</w:t>
      </w:r>
      <w:r w:rsidRPr="000A4159">
        <w:rPr>
          <w:rStyle w:val="FootnoteReference"/>
          <w:rFonts w:cs="Taher"/>
          <w:rtl/>
        </w:rPr>
        <w:footnoteReference w:id="407"/>
      </w:r>
      <w:r w:rsidRPr="000A4159">
        <w:rPr>
          <w:rFonts w:cs="Taher"/>
          <w:vertAlign w:val="superscript"/>
          <w:rtl/>
        </w:rPr>
        <w:t>)</w:t>
      </w:r>
      <w:r w:rsidRPr="00822CE9">
        <w:rPr>
          <w:rFonts w:hint="cs"/>
          <w:rtl/>
        </w:rPr>
        <w:t>.</w:t>
      </w:r>
    </w:p>
    <w:p w14:paraId="709A2FAA" w14:textId="77777777" w:rsidR="000A4159" w:rsidRPr="00822CE9" w:rsidRDefault="000A4159" w:rsidP="005958D4">
      <w:pPr>
        <w:spacing w:line="214" w:lineRule="auto"/>
        <w:rPr>
          <w:rtl/>
        </w:rPr>
      </w:pPr>
      <w:r w:rsidRPr="00822CE9">
        <w:rPr>
          <w:rFonts w:hint="cs"/>
          <w:b/>
          <w:bCs/>
          <w:rtl/>
        </w:rPr>
        <w:t>ويجاب هنا،</w:t>
      </w:r>
      <w:r w:rsidRPr="00822CE9">
        <w:rPr>
          <w:rFonts w:hint="cs"/>
          <w:rtl/>
        </w:rPr>
        <w:t xml:space="preserve"> أم</w:t>
      </w:r>
      <w:r w:rsidR="00034CFD">
        <w:rPr>
          <w:rFonts w:hint="cs"/>
          <w:rtl/>
        </w:rPr>
        <w:t>ّ</w:t>
      </w:r>
      <w:r w:rsidRPr="00822CE9">
        <w:rPr>
          <w:rFonts w:hint="cs"/>
          <w:rtl/>
        </w:rPr>
        <w:t>ا عن ثورة زيد فنحن لا نعلم هل صدرت هذه الرواية قبل هذه الثورة أ</w:t>
      </w:r>
      <w:r w:rsidR="00034CFD">
        <w:rPr>
          <w:rFonts w:hint="cs"/>
          <w:rtl/>
        </w:rPr>
        <w:t>و</w:t>
      </w:r>
      <w:r w:rsidRPr="00822CE9">
        <w:rPr>
          <w:rFonts w:hint="cs"/>
          <w:rtl/>
        </w:rPr>
        <w:t xml:space="preserve"> بعدها حتى نجعل الثورة مخصّصةً لعموم الرواية؛ إذ لعلّ مبدأ التوقيت في الرواية هو زمان صدورها</w:t>
      </w:r>
      <w:r w:rsidR="00034CFD">
        <w:rPr>
          <w:rFonts w:hint="cs"/>
          <w:rtl/>
        </w:rPr>
        <w:t xml:space="preserve">، </w:t>
      </w:r>
      <w:r w:rsidR="005958D4">
        <w:rPr>
          <w:rFonts w:hint="cs"/>
          <w:rtl/>
        </w:rPr>
        <w:t xml:space="preserve">وبخاصّة على وفق الرواية الصحيحة في الكافي والمرويّة عن الصادق دون رواية غيبة النعماني المرويّة عن الباقر، </w:t>
      </w:r>
      <w:r w:rsidR="00034CFD">
        <w:rPr>
          <w:rFonts w:hint="cs"/>
          <w:rtl/>
        </w:rPr>
        <w:t>فضلاً عن عدم وضوح موقف أهل البيت الحقيقي من ثورة زيد الشهيد.</w:t>
      </w:r>
      <w:r w:rsidRPr="00822CE9">
        <w:rPr>
          <w:rFonts w:hint="cs"/>
          <w:rtl/>
        </w:rPr>
        <w:t xml:space="preserve"> وأم</w:t>
      </w:r>
      <w:r w:rsidR="00034CFD">
        <w:rPr>
          <w:rFonts w:hint="cs"/>
          <w:rtl/>
        </w:rPr>
        <w:t>ّ</w:t>
      </w:r>
      <w:r w:rsidRPr="00822CE9">
        <w:rPr>
          <w:rFonts w:hint="cs"/>
          <w:rtl/>
        </w:rPr>
        <w:t>ا ثورة صاحب فخ</w:t>
      </w:r>
      <w:r w:rsidR="00034CFD">
        <w:rPr>
          <w:rFonts w:hint="cs"/>
          <w:rtl/>
        </w:rPr>
        <w:t>ّ</w:t>
      </w:r>
      <w:r w:rsidRPr="00822CE9">
        <w:rPr>
          <w:rFonts w:hint="cs"/>
          <w:rtl/>
        </w:rPr>
        <w:t>، فلم يثبت بدليل مطمأنّ به دعم الأئم</w:t>
      </w:r>
      <w:r w:rsidR="00034CFD">
        <w:rPr>
          <w:rFonts w:hint="cs"/>
          <w:rtl/>
        </w:rPr>
        <w:t>ّ</w:t>
      </w:r>
      <w:r w:rsidRPr="00822CE9">
        <w:rPr>
          <w:rFonts w:hint="cs"/>
          <w:rtl/>
        </w:rPr>
        <w:t>ة وتأييدهم لها حتى تؤثر على هذه الرواية التام</w:t>
      </w:r>
      <w:r w:rsidR="00034CFD">
        <w:rPr>
          <w:rFonts w:hint="cs"/>
          <w:rtl/>
        </w:rPr>
        <w:t>ّ</w:t>
      </w:r>
      <w:r w:rsidRPr="00822CE9">
        <w:rPr>
          <w:rFonts w:hint="cs"/>
          <w:rtl/>
        </w:rPr>
        <w:t xml:space="preserve">ة سنداً هنا، وقد بحثنا ذلك </w:t>
      </w:r>
      <w:r w:rsidR="00034CFD">
        <w:rPr>
          <w:rFonts w:hint="cs"/>
          <w:rtl/>
        </w:rPr>
        <w:t>بالتفصيل فيما تقدّم.</w:t>
      </w:r>
    </w:p>
    <w:p w14:paraId="66239114" w14:textId="77777777" w:rsidR="000A4159" w:rsidRPr="00822CE9" w:rsidRDefault="000A4159" w:rsidP="003C3478">
      <w:pPr>
        <w:spacing w:line="214" w:lineRule="auto"/>
        <w:rPr>
          <w:rtl/>
        </w:rPr>
      </w:pPr>
      <w:r w:rsidRPr="00822CE9">
        <w:rPr>
          <w:rFonts w:hint="cs"/>
          <w:rtl/>
        </w:rPr>
        <w:t xml:space="preserve">يضاف إليه، حتى لو تمّ هذا الأمر، فقد يقال بأنّ تلك الثورات كانت بإذنٍ خاصّ من </w:t>
      </w:r>
      <w:r w:rsidR="003C3478">
        <w:rPr>
          <w:rFonts w:hint="cs"/>
          <w:rtl/>
        </w:rPr>
        <w:t>الأئمّة</w:t>
      </w:r>
      <w:r w:rsidRPr="00822CE9">
        <w:rPr>
          <w:rFonts w:hint="cs"/>
          <w:rtl/>
        </w:rPr>
        <w:t xml:space="preserve">، وربما لظروف خاصّة أخرجت الموقف عن مقتضى القاعدة، وأين هذا من عصر الغيبة؛ حيث لا </w:t>
      </w:r>
      <w:r w:rsidR="00034CFD">
        <w:rPr>
          <w:rFonts w:hint="cs"/>
          <w:rtl/>
        </w:rPr>
        <w:t xml:space="preserve">يوجد </w:t>
      </w:r>
      <w:r w:rsidRPr="00822CE9">
        <w:rPr>
          <w:rFonts w:hint="cs"/>
          <w:rtl/>
        </w:rPr>
        <w:t>إذن</w:t>
      </w:r>
      <w:r w:rsidR="00034CFD">
        <w:rPr>
          <w:rFonts w:hint="cs"/>
          <w:rtl/>
        </w:rPr>
        <w:t>ٌ</w:t>
      </w:r>
      <w:r w:rsidRPr="00822CE9">
        <w:rPr>
          <w:rFonts w:hint="cs"/>
          <w:rtl/>
        </w:rPr>
        <w:t xml:space="preserve"> من هذا النوع فيه؟!</w:t>
      </w:r>
    </w:p>
    <w:p w14:paraId="7D81A413" w14:textId="6A35752E" w:rsidR="000A4159" w:rsidRPr="00822CE9" w:rsidRDefault="000A4159" w:rsidP="000E47B2">
      <w:pPr>
        <w:pStyle w:val="normal870"/>
        <w:rPr>
          <w:rtl/>
        </w:rPr>
      </w:pPr>
      <w:r w:rsidRPr="00822CE9">
        <w:rPr>
          <w:rFonts w:hint="cs"/>
          <w:b/>
          <w:bCs/>
          <w:rtl/>
        </w:rPr>
        <w:t>رابعاً:</w:t>
      </w:r>
      <w:r w:rsidRPr="00822CE9">
        <w:rPr>
          <w:rFonts w:hint="cs"/>
          <w:rtl/>
        </w:rPr>
        <w:t xml:space="preserve"> إنّ هذه الرواية يجب حملها على التقية أو خصوص راية الطاغوت، جمعاً بينها وبين الروايات التي تتحدّث عن رايات الهدى قبل قيام المهدي، مثل ما جاء في اعتبار راية اليماني أهدى الرايات في خبر أبي بصير</w:t>
      </w:r>
      <w:r w:rsidRPr="000A4159">
        <w:rPr>
          <w:rFonts w:cs="Taher"/>
          <w:vertAlign w:val="superscript"/>
          <w:rtl/>
        </w:rPr>
        <w:t>(</w:t>
      </w:r>
      <w:r w:rsidRPr="000A4159">
        <w:rPr>
          <w:rStyle w:val="FootnoteReference"/>
          <w:rFonts w:cs="Taher"/>
          <w:rtl/>
        </w:rPr>
        <w:footnoteReference w:id="408"/>
      </w:r>
      <w:r w:rsidRPr="000A4159">
        <w:rPr>
          <w:rFonts w:cs="Taher"/>
          <w:vertAlign w:val="superscript"/>
          <w:rtl/>
        </w:rPr>
        <w:t>)</w:t>
      </w:r>
      <w:r w:rsidRPr="00822CE9">
        <w:rPr>
          <w:rtl/>
        </w:rPr>
        <w:t xml:space="preserve">، </w:t>
      </w:r>
      <w:r w:rsidRPr="00822CE9">
        <w:rPr>
          <w:rFonts w:hint="cs"/>
          <w:rtl/>
        </w:rPr>
        <w:t>أو ما ورد في خبر الكابلي عن أبي جعفر</w:t>
      </w:r>
      <w:r w:rsidR="00F66078">
        <w:rPr>
          <w:rFonts w:hint="cs"/>
          <w:rtl/>
        </w:rPr>
        <w:t>×</w:t>
      </w:r>
      <w:r w:rsidRPr="00822CE9">
        <w:rPr>
          <w:rFonts w:hint="cs"/>
          <w:rtl/>
        </w:rPr>
        <w:t xml:space="preserve">: </w:t>
      </w:r>
      <w:r w:rsidR="00D537A9" w:rsidRPr="00822CE9">
        <w:rPr>
          <w:rFonts w:hint="cs"/>
          <w:rtl/>
        </w:rPr>
        <w:t>«</w:t>
      </w:r>
      <w:r w:rsidRPr="00822CE9">
        <w:rPr>
          <w:rtl/>
        </w:rPr>
        <w:t>كأن</w:t>
      </w:r>
      <w:r w:rsidRPr="00822CE9">
        <w:rPr>
          <w:rFonts w:hint="cs"/>
          <w:rtl/>
        </w:rPr>
        <w:t>ّ</w:t>
      </w:r>
      <w:r w:rsidRPr="00822CE9">
        <w:rPr>
          <w:rtl/>
        </w:rPr>
        <w:t>ي بقوم قد خرجوا بالمشرق</w:t>
      </w:r>
      <w:r w:rsidRPr="00822CE9">
        <w:rPr>
          <w:rFonts w:hint="cs"/>
          <w:rtl/>
        </w:rPr>
        <w:t>،</w:t>
      </w:r>
      <w:r w:rsidRPr="00822CE9">
        <w:rPr>
          <w:rtl/>
        </w:rPr>
        <w:t xml:space="preserve"> يطلبون الحق</w:t>
      </w:r>
      <w:r w:rsidRPr="00822CE9">
        <w:rPr>
          <w:rFonts w:hint="cs"/>
          <w:rtl/>
        </w:rPr>
        <w:t>ّ</w:t>
      </w:r>
      <w:r w:rsidRPr="00822CE9">
        <w:rPr>
          <w:rtl/>
        </w:rPr>
        <w:t xml:space="preserve"> فلا يعط</w:t>
      </w:r>
      <w:r w:rsidRPr="00822CE9">
        <w:rPr>
          <w:rFonts w:hint="cs"/>
          <w:rtl/>
        </w:rPr>
        <w:t>َ</w:t>
      </w:r>
      <w:r w:rsidRPr="00822CE9">
        <w:rPr>
          <w:rtl/>
        </w:rPr>
        <w:t>ونه، ثم يطلبونه فلا يعطونه، فإذا رأوا ذلك وضعوا سيوفهم على عواتقهم فيعطون ما سألوه فلا يقبلونه حتى يقوموا ولا يدفعونها إلا إلى صاحبكم</w:t>
      </w:r>
      <w:r w:rsidRPr="00822CE9">
        <w:rPr>
          <w:rFonts w:hint="cs"/>
          <w:rtl/>
        </w:rPr>
        <w:t>،</w:t>
      </w:r>
      <w:r w:rsidRPr="00822CE9">
        <w:rPr>
          <w:rtl/>
        </w:rPr>
        <w:t xml:space="preserve"> قتلاهم شهداء</w:t>
      </w:r>
      <w:r w:rsidRPr="00822CE9">
        <w:rPr>
          <w:rFonts w:hint="cs"/>
          <w:rtl/>
        </w:rPr>
        <w:t>،</w:t>
      </w:r>
      <w:r w:rsidRPr="00822CE9">
        <w:rPr>
          <w:rtl/>
        </w:rPr>
        <w:t xml:space="preserve"> أما إن</w:t>
      </w:r>
      <w:r w:rsidR="00034CFD">
        <w:rPr>
          <w:rFonts w:hint="cs"/>
          <w:rtl/>
        </w:rPr>
        <w:t>ّ</w:t>
      </w:r>
      <w:r w:rsidRPr="00822CE9">
        <w:rPr>
          <w:rtl/>
        </w:rPr>
        <w:t>ي لو أدركت ذلك لاستبقيت نفسي لصاحب هذا الأمر</w:t>
      </w:r>
      <w:r w:rsidR="00D537A9" w:rsidRPr="00822CE9">
        <w:rPr>
          <w:rFonts w:hint="cs"/>
          <w:rtl/>
        </w:rPr>
        <w:t>»</w:t>
      </w:r>
      <w:r w:rsidR="00D537A9" w:rsidRPr="000A4159">
        <w:rPr>
          <w:rFonts w:cs="Taher"/>
          <w:vertAlign w:val="superscript"/>
          <w:rtl/>
        </w:rPr>
        <w:t xml:space="preserve"> </w:t>
      </w:r>
      <w:r w:rsidRPr="000A4159">
        <w:rPr>
          <w:rFonts w:cs="Taher"/>
          <w:vertAlign w:val="superscript"/>
          <w:rtl/>
        </w:rPr>
        <w:t>(</w:t>
      </w:r>
      <w:r w:rsidRPr="000A4159">
        <w:rPr>
          <w:rStyle w:val="FootnoteReference"/>
          <w:rFonts w:cs="Taher"/>
          <w:rtl/>
        </w:rPr>
        <w:footnoteReference w:id="409"/>
      </w:r>
      <w:r w:rsidRPr="000A4159">
        <w:rPr>
          <w:rFonts w:cs="Taher"/>
          <w:vertAlign w:val="superscript"/>
          <w:rtl/>
        </w:rPr>
        <w:t>)</w:t>
      </w:r>
      <w:r w:rsidRPr="00822CE9">
        <w:rPr>
          <w:rFonts w:hint="cs"/>
          <w:rtl/>
        </w:rPr>
        <w:t>، وما جاء في سنن ابن ماجة وغيره من بلاء أهل بيت النبي</w:t>
      </w:r>
      <w:r w:rsidR="00034CFD">
        <w:rPr>
          <w:rFonts w:hint="cs"/>
          <w:rtl/>
        </w:rPr>
        <w:t>ّ‘</w:t>
      </w:r>
      <w:r w:rsidRPr="00822CE9">
        <w:rPr>
          <w:rFonts w:hint="cs"/>
          <w:rtl/>
        </w:rPr>
        <w:t>: «..حتى يأتي قوم من قبل المشرق معهم رايات سود..»</w:t>
      </w:r>
      <w:r w:rsidRPr="000A4159">
        <w:rPr>
          <w:rFonts w:cs="Taher"/>
          <w:vertAlign w:val="superscript"/>
          <w:rtl/>
        </w:rPr>
        <w:t>(</w:t>
      </w:r>
      <w:r w:rsidRPr="000A4159">
        <w:rPr>
          <w:rStyle w:val="FootnoteReference"/>
          <w:rFonts w:cs="Taher"/>
          <w:rtl/>
        </w:rPr>
        <w:footnoteReference w:id="410"/>
      </w:r>
      <w:r w:rsidRPr="000A4159">
        <w:rPr>
          <w:rFonts w:cs="Taher"/>
          <w:vertAlign w:val="superscript"/>
          <w:rtl/>
        </w:rPr>
        <w:t>)</w:t>
      </w:r>
      <w:r w:rsidRPr="00822CE9">
        <w:rPr>
          <w:rFonts w:hint="cs"/>
          <w:rtl/>
        </w:rPr>
        <w:t xml:space="preserve">، وذكرت ما هو قريب من رواية الكابلي، وكذلك ما ورد من خروج جماعة من </w:t>
      </w:r>
      <w:r w:rsidRPr="00822CE9">
        <w:rPr>
          <w:rFonts w:hint="cs"/>
          <w:rtl/>
        </w:rPr>
        <w:lastRenderedPageBreak/>
        <w:t>المشرق يوطئون للمهدي سلطانه</w:t>
      </w:r>
      <w:r w:rsidRPr="000A4159">
        <w:rPr>
          <w:rFonts w:cs="Taher"/>
          <w:vertAlign w:val="superscript"/>
          <w:rtl/>
        </w:rPr>
        <w:t>(</w:t>
      </w:r>
      <w:r w:rsidRPr="000A4159">
        <w:rPr>
          <w:rStyle w:val="FootnoteReference"/>
          <w:rFonts w:cs="Taher"/>
          <w:rtl/>
        </w:rPr>
        <w:footnoteReference w:id="411"/>
      </w:r>
      <w:r w:rsidRPr="000A4159">
        <w:rPr>
          <w:rFonts w:cs="Taher"/>
          <w:vertAlign w:val="superscript"/>
          <w:rtl/>
        </w:rPr>
        <w:t>)</w:t>
      </w:r>
      <w:r w:rsidRPr="00822CE9">
        <w:rPr>
          <w:rFonts w:hint="cs"/>
          <w:rtl/>
        </w:rPr>
        <w:t>، وما ورد: «رجل من أهل قم يدعو الناس إلى الحقّ، يجتمع معه قوم ك</w:t>
      </w:r>
      <w:r w:rsidR="0023628E">
        <w:rPr>
          <w:rFonts w:hint="cs"/>
          <w:rtl/>
        </w:rPr>
        <w:t>َ</w:t>
      </w:r>
      <w:r w:rsidRPr="00822CE9">
        <w:rPr>
          <w:rFonts w:hint="cs"/>
          <w:rtl/>
        </w:rPr>
        <w:t>ز</w:t>
      </w:r>
      <w:r w:rsidR="0023628E">
        <w:rPr>
          <w:rFonts w:hint="cs"/>
          <w:rtl/>
        </w:rPr>
        <w:t>ُ</w:t>
      </w:r>
      <w:r w:rsidRPr="00822CE9">
        <w:rPr>
          <w:rFonts w:hint="cs"/>
          <w:rtl/>
        </w:rPr>
        <w:t>ب</w:t>
      </w:r>
      <w:r w:rsidR="0023628E">
        <w:rPr>
          <w:rFonts w:hint="cs"/>
          <w:rtl/>
        </w:rPr>
        <w:t>َ</w:t>
      </w:r>
      <w:r w:rsidRPr="00822CE9">
        <w:rPr>
          <w:rFonts w:hint="cs"/>
          <w:rtl/>
        </w:rPr>
        <w:t>ر</w:t>
      </w:r>
      <w:r w:rsidR="0023628E">
        <w:rPr>
          <w:rFonts w:hint="cs"/>
          <w:rtl/>
        </w:rPr>
        <w:t>ِ</w:t>
      </w:r>
      <w:r w:rsidRPr="00822CE9">
        <w:rPr>
          <w:rFonts w:hint="cs"/>
          <w:rtl/>
        </w:rPr>
        <w:t xml:space="preserve"> الحديد..</w:t>
      </w:r>
      <w:r w:rsidR="00D537A9" w:rsidRPr="00D537A9">
        <w:rPr>
          <w:rFonts w:hint="cs"/>
          <w:rtl/>
        </w:rPr>
        <w:t xml:space="preserve"> </w:t>
      </w:r>
      <w:r w:rsidR="00D537A9" w:rsidRPr="00822CE9">
        <w:rPr>
          <w:rFonts w:hint="cs"/>
          <w:rtl/>
        </w:rPr>
        <w:t>»</w:t>
      </w:r>
      <w:r w:rsidR="00D537A9" w:rsidRPr="000A4159">
        <w:rPr>
          <w:rFonts w:cs="Taher"/>
          <w:vertAlign w:val="superscript"/>
          <w:rtl/>
        </w:rPr>
        <w:t xml:space="preserve"> </w:t>
      </w:r>
      <w:r w:rsidRPr="000A4159">
        <w:rPr>
          <w:rFonts w:cs="Taher"/>
          <w:vertAlign w:val="superscript"/>
          <w:rtl/>
        </w:rPr>
        <w:t>(</w:t>
      </w:r>
      <w:r w:rsidRPr="000A4159">
        <w:rPr>
          <w:rStyle w:val="FootnoteReference"/>
          <w:rFonts w:cs="Taher"/>
          <w:rtl/>
        </w:rPr>
        <w:footnoteReference w:id="412"/>
      </w:r>
      <w:r w:rsidRPr="000A4159">
        <w:rPr>
          <w:rFonts w:cs="Taher"/>
          <w:vertAlign w:val="superscript"/>
          <w:rtl/>
        </w:rPr>
        <w:t>)</w:t>
      </w:r>
      <w:r w:rsidRPr="00822CE9">
        <w:rPr>
          <w:rFonts w:hint="cs"/>
          <w:rtl/>
        </w:rPr>
        <w:t xml:space="preserve">، وما ورد في تفسير قوله تعالى: </w:t>
      </w:r>
      <w:r w:rsidRPr="00822CE9">
        <w:rPr>
          <w:rtl/>
        </w:rPr>
        <w:t>﴿</w:t>
      </w:r>
      <w:r w:rsidRPr="00822CE9">
        <w:rPr>
          <w:rFonts w:hint="cs"/>
          <w:b/>
          <w:bCs/>
          <w:rtl/>
        </w:rPr>
        <w:t>فَإِذَا جَاءَ وَعْدُ أُولاهُمَا..</w:t>
      </w:r>
      <w:r w:rsidRPr="00822CE9">
        <w:rPr>
          <w:rtl/>
        </w:rPr>
        <w:t>﴾</w:t>
      </w:r>
      <w:r w:rsidRPr="00822CE9">
        <w:rPr>
          <w:rFonts w:hint="cs"/>
          <w:rtl/>
        </w:rPr>
        <w:t xml:space="preserve"> (الإسراء: 5)، من أنهم والله أهل قم</w:t>
      </w:r>
      <w:r w:rsidRPr="000A4159">
        <w:rPr>
          <w:rFonts w:cs="Taher"/>
          <w:vertAlign w:val="superscript"/>
          <w:rtl/>
        </w:rPr>
        <w:t>(</w:t>
      </w:r>
      <w:r w:rsidRPr="000A4159">
        <w:rPr>
          <w:rStyle w:val="FootnoteReference"/>
          <w:rFonts w:cs="Taher"/>
          <w:rtl/>
        </w:rPr>
        <w:footnoteReference w:id="413"/>
      </w:r>
      <w:r w:rsidRPr="000A4159">
        <w:rPr>
          <w:rFonts w:cs="Taher"/>
          <w:vertAlign w:val="superscript"/>
          <w:rtl/>
        </w:rPr>
        <w:t>)</w:t>
      </w:r>
      <w:r w:rsidRPr="00822CE9">
        <w:rPr>
          <w:rFonts w:hint="cs"/>
          <w:rtl/>
        </w:rPr>
        <w:t>، وما ورد عن رسول الله</w:t>
      </w:r>
      <w:r w:rsidR="00034CFD">
        <w:rPr>
          <w:rFonts w:hint="cs"/>
          <w:rtl/>
        </w:rPr>
        <w:t>‘:</w:t>
      </w:r>
      <w:r w:rsidRPr="00822CE9">
        <w:rPr>
          <w:rFonts w:hint="cs"/>
          <w:rtl/>
        </w:rPr>
        <w:t xml:space="preserve"> «لا تزال طائفة من أم</w:t>
      </w:r>
      <w:r w:rsidR="00034CFD">
        <w:rPr>
          <w:rFonts w:hint="cs"/>
          <w:rtl/>
        </w:rPr>
        <w:t>ّ</w:t>
      </w:r>
      <w:r w:rsidRPr="00822CE9">
        <w:rPr>
          <w:rFonts w:hint="cs"/>
          <w:rtl/>
        </w:rPr>
        <w:t>تي يقاتلون على الحقّ ظاهرين إلى يوم القيامة»</w:t>
      </w:r>
      <w:r w:rsidRPr="000A4159">
        <w:rPr>
          <w:rFonts w:cs="Taher"/>
          <w:vertAlign w:val="superscript"/>
          <w:rtl/>
        </w:rPr>
        <w:t>(</w:t>
      </w:r>
      <w:r w:rsidRPr="000A4159">
        <w:rPr>
          <w:rStyle w:val="FootnoteReference"/>
          <w:rFonts w:cs="Taher"/>
          <w:rtl/>
        </w:rPr>
        <w:footnoteReference w:id="414"/>
      </w:r>
      <w:r w:rsidRPr="000A4159">
        <w:rPr>
          <w:rFonts w:cs="Taher"/>
          <w:vertAlign w:val="superscript"/>
          <w:rtl/>
        </w:rPr>
        <w:t>)</w:t>
      </w:r>
      <w:r w:rsidRPr="00822CE9">
        <w:rPr>
          <w:rFonts w:hint="cs"/>
          <w:rtl/>
        </w:rPr>
        <w:t>، وقريب منه خبر جابر بن سمرة.. وهذا كلّه مؤكّد على نقض تقعيدي</w:t>
      </w:r>
      <w:r w:rsidR="00034CFD">
        <w:rPr>
          <w:rFonts w:hint="cs"/>
          <w:rtl/>
        </w:rPr>
        <w:t>ّ</w:t>
      </w:r>
      <w:r w:rsidRPr="00822CE9">
        <w:rPr>
          <w:rFonts w:hint="cs"/>
          <w:rtl/>
        </w:rPr>
        <w:t>ة هذه الرواية مما يفرض حملها على محملٍ ما</w:t>
      </w:r>
      <w:r w:rsidRPr="000A4159">
        <w:rPr>
          <w:rFonts w:cs="Taher"/>
          <w:vertAlign w:val="superscript"/>
          <w:rtl/>
        </w:rPr>
        <w:t>(</w:t>
      </w:r>
      <w:r w:rsidRPr="000A4159">
        <w:rPr>
          <w:rStyle w:val="FootnoteReference"/>
          <w:rFonts w:cs="Taher"/>
          <w:rtl/>
        </w:rPr>
        <w:footnoteReference w:id="415"/>
      </w:r>
      <w:r w:rsidRPr="000A4159">
        <w:rPr>
          <w:rFonts w:cs="Taher"/>
          <w:vertAlign w:val="superscript"/>
          <w:rtl/>
        </w:rPr>
        <w:t>)</w:t>
      </w:r>
      <w:r w:rsidRPr="00822CE9">
        <w:rPr>
          <w:rFonts w:hint="cs"/>
          <w:rtl/>
        </w:rPr>
        <w:t>.</w:t>
      </w:r>
    </w:p>
    <w:p w14:paraId="718057BF" w14:textId="77777777" w:rsidR="000A4159" w:rsidRPr="00822CE9" w:rsidRDefault="000A4159" w:rsidP="000E47B2">
      <w:pPr>
        <w:pStyle w:val="normal930"/>
        <w:rPr>
          <w:rtl/>
        </w:rPr>
      </w:pPr>
      <w:r w:rsidRPr="00822CE9">
        <w:rPr>
          <w:rFonts w:hint="cs"/>
          <w:b/>
          <w:bCs/>
          <w:rtl/>
        </w:rPr>
        <w:t>لكن يمكن التعليق هنا</w:t>
      </w:r>
      <w:r w:rsidRPr="00822CE9">
        <w:rPr>
          <w:rFonts w:hint="cs"/>
          <w:rtl/>
        </w:rPr>
        <w:t xml:space="preserve"> على هذه المحاولة النقديّة من الشيخ المنتظري، بأنّ بعض هذه الروايات لا يخلّ بموضوعنا هنا؛ مثل بقاء أمّة في ملّة الإسلام ظاهرة إلى يوم القيامة، فهذا له علاقة ببقاء الدين وانتصاره على الكفر، وهو خارج عن خروج الراية الظاهرة ـ بحسب تعبيرها المأنوس آنذاك ـ في الحركات الداخلي</w:t>
      </w:r>
      <w:r w:rsidR="00034CFD">
        <w:rPr>
          <w:rFonts w:hint="cs"/>
          <w:rtl/>
        </w:rPr>
        <w:t>ّ</w:t>
      </w:r>
      <w:r w:rsidRPr="00822CE9">
        <w:rPr>
          <w:rFonts w:hint="cs"/>
          <w:rtl/>
        </w:rPr>
        <w:t>ة أي في الداخل الإسلامي، وكذا تفسير آية «عباداً لنا» بأهل قم، فهو في سياق الحرب مع اليهود كما تفيده الآية المفسَّرة</w:t>
      </w:r>
      <w:r w:rsidR="00034CFD">
        <w:rPr>
          <w:rFonts w:hint="cs"/>
          <w:rtl/>
        </w:rPr>
        <w:t>،</w:t>
      </w:r>
      <w:r w:rsidRPr="00822CE9">
        <w:rPr>
          <w:rFonts w:hint="cs"/>
          <w:rtl/>
        </w:rPr>
        <w:t xml:space="preserve"> لا في سياق الرايات المرفوعة في مجتمع المسلمين، فبعض هذه النصوص لا علاقة له بنطاق بحثنا هنا حتى نقحمه فيه.</w:t>
      </w:r>
    </w:p>
    <w:p w14:paraId="63B33B7C" w14:textId="77777777" w:rsidR="000A4159" w:rsidRPr="00822CE9" w:rsidRDefault="000A4159" w:rsidP="000E47B2">
      <w:pPr>
        <w:rPr>
          <w:rtl/>
        </w:rPr>
      </w:pPr>
      <w:r w:rsidRPr="00822CE9">
        <w:rPr>
          <w:rFonts w:hint="cs"/>
          <w:rtl/>
        </w:rPr>
        <w:t>كما أنّ هذه الروايات ضعيفة السند؛ فالخبر الأول ضعيفٌ بالبطائني المشهود بكذبه</w:t>
      </w:r>
      <w:r w:rsidRPr="000A4159">
        <w:rPr>
          <w:rFonts w:cs="Taher"/>
          <w:vertAlign w:val="superscript"/>
          <w:rtl/>
        </w:rPr>
        <w:t>(</w:t>
      </w:r>
      <w:r w:rsidRPr="000A4159">
        <w:rPr>
          <w:rStyle w:val="FootnoteReference"/>
          <w:rFonts w:cs="Taher"/>
          <w:rtl/>
        </w:rPr>
        <w:footnoteReference w:id="416"/>
      </w:r>
      <w:r w:rsidRPr="000A4159">
        <w:rPr>
          <w:rFonts w:cs="Taher"/>
          <w:vertAlign w:val="superscript"/>
          <w:rtl/>
        </w:rPr>
        <w:t>)</w:t>
      </w:r>
      <w:r w:rsidRPr="00822CE9">
        <w:rPr>
          <w:rtl/>
        </w:rPr>
        <w:t xml:space="preserve">، </w:t>
      </w:r>
      <w:r w:rsidRPr="00822CE9">
        <w:rPr>
          <w:rFonts w:hint="cs"/>
          <w:rtl/>
        </w:rPr>
        <w:t>وأما خبر الكابلي، فضعيف بجهالة أحمد بن عمر الحلبي</w:t>
      </w:r>
      <w:r w:rsidRPr="000A4159">
        <w:rPr>
          <w:rFonts w:cs="Taher"/>
          <w:vertAlign w:val="superscript"/>
          <w:rtl/>
        </w:rPr>
        <w:t>(</w:t>
      </w:r>
      <w:r w:rsidRPr="000A4159">
        <w:rPr>
          <w:rStyle w:val="FootnoteReference"/>
          <w:rFonts w:cs="Taher"/>
          <w:rtl/>
        </w:rPr>
        <w:footnoteReference w:id="417"/>
      </w:r>
      <w:r w:rsidRPr="000A4159">
        <w:rPr>
          <w:rFonts w:cs="Taher"/>
          <w:vertAlign w:val="superscript"/>
          <w:rtl/>
        </w:rPr>
        <w:t>)</w:t>
      </w:r>
      <w:r w:rsidRPr="00822CE9">
        <w:rPr>
          <w:rtl/>
        </w:rPr>
        <w:t xml:space="preserve">، </w:t>
      </w:r>
      <w:r w:rsidRPr="00822CE9">
        <w:rPr>
          <w:rFonts w:hint="cs"/>
          <w:rtl/>
        </w:rPr>
        <w:t>وأما رواية «رجل من أهل قم» فلم ينقلها حسب الظاهر سوى المجلسي في البحار عن كتاب تاريخ قم، وفي السند مشاكل لا أقلّ من أنّ راوي الخبر ـ وهو أيوب بن يحيى الجندل ـ مهملٌ للغاية لا ذكر لاسمه في مصادر الرجال إطلاقاً.</w:t>
      </w:r>
    </w:p>
    <w:p w14:paraId="6DFE030C" w14:textId="77777777" w:rsidR="000A4159" w:rsidRPr="00822CE9" w:rsidRDefault="000A4159" w:rsidP="000E5D3D">
      <w:pPr>
        <w:spacing w:line="214" w:lineRule="auto"/>
        <w:rPr>
          <w:rtl/>
        </w:rPr>
      </w:pPr>
      <w:r w:rsidRPr="00822CE9">
        <w:rPr>
          <w:rFonts w:hint="cs"/>
          <w:rtl/>
        </w:rPr>
        <w:lastRenderedPageBreak/>
        <w:t xml:space="preserve">ولا نريد القول بأنّ تمام هذه الروايات في تمام ألسنتها ضعيفة السند، فهذا خارج عن بحثنا، لكنّ البحث فيها يفضي إلى إحراز ضعف أغلبها، </w:t>
      </w:r>
      <w:r w:rsidR="00034CFD">
        <w:rPr>
          <w:rFonts w:hint="cs"/>
          <w:rtl/>
        </w:rPr>
        <w:t>و</w:t>
      </w:r>
      <w:r w:rsidRPr="00822CE9">
        <w:rPr>
          <w:rFonts w:hint="cs"/>
          <w:rtl/>
        </w:rPr>
        <w:t>لا</w:t>
      </w:r>
      <w:r w:rsidR="00034CFD">
        <w:rPr>
          <w:rFonts w:hint="cs"/>
          <w:rtl/>
        </w:rPr>
        <w:t xml:space="preserve"> </w:t>
      </w:r>
      <w:r w:rsidRPr="00822CE9">
        <w:rPr>
          <w:rFonts w:hint="cs"/>
          <w:rtl/>
        </w:rPr>
        <w:t>سيما أنّ بعضها موهون بتطرّق الاحتمال الشديد في كونه موضوع</w:t>
      </w:r>
      <w:r w:rsidR="00034CFD">
        <w:rPr>
          <w:rFonts w:hint="cs"/>
          <w:rtl/>
        </w:rPr>
        <w:t>اً</w:t>
      </w:r>
      <w:r w:rsidRPr="00822CE9">
        <w:rPr>
          <w:rFonts w:hint="cs"/>
          <w:rtl/>
        </w:rPr>
        <w:t xml:space="preserve">، خاصّة من جماعة بني العباس </w:t>
      </w:r>
      <w:r w:rsidR="000E5D3D">
        <w:rPr>
          <w:rFonts w:hint="cs"/>
          <w:rtl/>
        </w:rPr>
        <w:t xml:space="preserve">وأبي مسلم الخراساني </w:t>
      </w:r>
      <w:r w:rsidRPr="00822CE9">
        <w:rPr>
          <w:rFonts w:hint="cs"/>
          <w:rtl/>
        </w:rPr>
        <w:t>ومن حولهم من الذين كانت حركاتهم بالمشرق وراياتهم سود، وبعض هذه الروايات مناف</w:t>
      </w:r>
      <w:r w:rsidR="00034CFD">
        <w:rPr>
          <w:rFonts w:hint="cs"/>
          <w:rtl/>
        </w:rPr>
        <w:t>ٍ</w:t>
      </w:r>
      <w:r w:rsidRPr="00822CE9">
        <w:rPr>
          <w:rFonts w:hint="cs"/>
          <w:rtl/>
        </w:rPr>
        <w:t xml:space="preserve"> للواقع التاريخي الذي حصل.</w:t>
      </w:r>
    </w:p>
    <w:p w14:paraId="44C7DEFE" w14:textId="77777777" w:rsidR="000A4159" w:rsidRPr="00822CE9" w:rsidRDefault="00B04731" w:rsidP="000E47B2">
      <w:pPr>
        <w:rPr>
          <w:rtl/>
        </w:rPr>
      </w:pPr>
      <w:r>
        <w:rPr>
          <w:rFonts w:hint="cs"/>
          <w:rtl/>
        </w:rPr>
        <w:t>يضاف إليه، أ</w:t>
      </w:r>
      <w:r w:rsidR="000A4159" w:rsidRPr="00822CE9">
        <w:rPr>
          <w:rFonts w:hint="cs"/>
          <w:rtl/>
        </w:rPr>
        <w:t>نّ هذه الروايات تذكر علامات وحركات ثوري</w:t>
      </w:r>
      <w:r>
        <w:rPr>
          <w:rFonts w:hint="cs"/>
          <w:rtl/>
        </w:rPr>
        <w:t>ّ</w:t>
      </w:r>
      <w:r w:rsidR="000A4159" w:rsidRPr="00822CE9">
        <w:rPr>
          <w:rFonts w:hint="cs"/>
          <w:rtl/>
        </w:rPr>
        <w:t>ة محدودة قبيل ظهور القائم، ولا مانع من أن يكون أصحابها على اتصال بالمهدي</w:t>
      </w:r>
      <w:r>
        <w:rPr>
          <w:rFonts w:hint="cs"/>
          <w:rtl/>
        </w:rPr>
        <w:t>ّ</w:t>
      </w:r>
      <w:r w:rsidR="000A4159" w:rsidRPr="00822CE9">
        <w:rPr>
          <w:rFonts w:hint="cs"/>
          <w:rtl/>
        </w:rPr>
        <w:t xml:space="preserve"> أو أنهم مأذونون، فتعميم قولهم مطلقاً لكلّ حركة مشكل، والإنصاف أنّ الاعتماد على مثل هذه الروايات صعب، </w:t>
      </w:r>
      <w:r>
        <w:rPr>
          <w:rFonts w:hint="cs"/>
          <w:rtl/>
        </w:rPr>
        <w:t xml:space="preserve">وخاصّة </w:t>
      </w:r>
      <w:r w:rsidR="000A4159" w:rsidRPr="00822CE9">
        <w:rPr>
          <w:rFonts w:hint="cs"/>
          <w:rtl/>
        </w:rPr>
        <w:t>أنّ بعض من تتحدّث عنه تقع حركته مصاحبةً للسفياني ولعلامات أخ</w:t>
      </w:r>
      <w:r w:rsidR="00642AAE">
        <w:rPr>
          <w:rFonts w:hint="cs"/>
          <w:rtl/>
        </w:rPr>
        <w:t>َ</w:t>
      </w:r>
      <w:r w:rsidR="000A4159" w:rsidRPr="00822CE9">
        <w:rPr>
          <w:rFonts w:hint="cs"/>
          <w:rtl/>
        </w:rPr>
        <w:t>ر تجعل الظهور على مسافة أيام أو أشهر مما قد يبرّر الخروج، بمعونة الروايات التي علّقت الخروج على علامة السفياني كما تقدّم.</w:t>
      </w:r>
    </w:p>
    <w:p w14:paraId="42C28506" w14:textId="77777777" w:rsidR="000A4159" w:rsidRPr="00822CE9" w:rsidRDefault="000A4159" w:rsidP="000E47B2">
      <w:pPr>
        <w:pStyle w:val="normal930"/>
        <w:rPr>
          <w:rtl/>
        </w:rPr>
      </w:pPr>
      <w:r w:rsidRPr="00822CE9">
        <w:rPr>
          <w:rFonts w:hint="cs"/>
          <w:b/>
          <w:bCs/>
          <w:rtl/>
        </w:rPr>
        <w:t>خامساً:</w:t>
      </w:r>
      <w:r w:rsidRPr="00822CE9">
        <w:rPr>
          <w:rFonts w:hint="cs"/>
          <w:rtl/>
        </w:rPr>
        <w:t xml:space="preserve"> إنّ هذه الرواية تخالف الأدلّة القطعي</w:t>
      </w:r>
      <w:r w:rsidR="00B04731">
        <w:rPr>
          <w:rFonts w:hint="cs"/>
          <w:rtl/>
        </w:rPr>
        <w:t>ّ</w:t>
      </w:r>
      <w:r w:rsidRPr="00822CE9">
        <w:rPr>
          <w:rFonts w:hint="cs"/>
          <w:rtl/>
        </w:rPr>
        <w:t>ة في الجهاد والأمر بالمعروف والنهي عن المنكر والدفاع عن الإسلام وقيمه، إذ كيف يتمّ الدفاع عن الإسلام بلا دولة؟!</w:t>
      </w:r>
      <w:r w:rsidRPr="000A4159">
        <w:rPr>
          <w:rFonts w:cs="Taher"/>
          <w:vertAlign w:val="superscript"/>
          <w:rtl/>
        </w:rPr>
        <w:t>(</w:t>
      </w:r>
      <w:r w:rsidRPr="000A4159">
        <w:rPr>
          <w:rStyle w:val="FootnoteReference"/>
          <w:rFonts w:cs="Taher"/>
          <w:rtl/>
        </w:rPr>
        <w:footnoteReference w:id="418"/>
      </w:r>
      <w:r w:rsidRPr="000A4159">
        <w:rPr>
          <w:rFonts w:cs="Taher"/>
          <w:vertAlign w:val="superscript"/>
          <w:rtl/>
        </w:rPr>
        <w:t>)</w:t>
      </w:r>
      <w:r w:rsidRPr="00822CE9">
        <w:rPr>
          <w:rFonts w:hint="cs"/>
          <w:rtl/>
        </w:rPr>
        <w:t>.</w:t>
      </w:r>
    </w:p>
    <w:p w14:paraId="3B760D59" w14:textId="77777777" w:rsidR="000A4159" w:rsidRPr="00822CE9" w:rsidRDefault="000A4159" w:rsidP="000E47B2">
      <w:pPr>
        <w:pStyle w:val="normal930"/>
        <w:rPr>
          <w:rtl/>
        </w:rPr>
      </w:pPr>
      <w:r w:rsidRPr="00822CE9">
        <w:rPr>
          <w:rFonts w:hint="cs"/>
          <w:b/>
          <w:bCs/>
          <w:rtl/>
        </w:rPr>
        <w:t>ويناق</w:t>
      </w:r>
      <w:r w:rsidR="00B04731">
        <w:rPr>
          <w:rFonts w:hint="cs"/>
          <w:b/>
          <w:bCs/>
          <w:rtl/>
        </w:rPr>
        <w:t>َ</w:t>
      </w:r>
      <w:r w:rsidRPr="00822CE9">
        <w:rPr>
          <w:rFonts w:hint="cs"/>
          <w:b/>
          <w:bCs/>
          <w:rtl/>
        </w:rPr>
        <w:t>ش</w:t>
      </w:r>
      <w:r w:rsidRPr="00822CE9">
        <w:rPr>
          <w:rFonts w:hint="cs"/>
          <w:rtl/>
        </w:rPr>
        <w:t xml:space="preserve"> بأنّ الأمر بالمعروف والنهي عن المنكر لا ينهدم هنا، بل يتضرّر إطلاقه وشموله لاستعمال العنف ضدّ الأنظمة، فتكون صحيحة أبي بصير مثلاً أخصّ حينئذ من عمومات ومطلقات الأمر بالمعروف والنهي عن المنكر، فتقيّدها، والتقييد ليس إلغاءً لأصل الفريضة كما أنّه ليس بعزيز في عالم النصوص الحديثي</w:t>
      </w:r>
      <w:r w:rsidR="00B04731">
        <w:rPr>
          <w:rFonts w:hint="cs"/>
          <w:rtl/>
        </w:rPr>
        <w:t>ّ</w:t>
      </w:r>
      <w:r w:rsidRPr="00822CE9">
        <w:rPr>
          <w:rFonts w:hint="cs"/>
          <w:rtl/>
        </w:rPr>
        <w:t>ة ولا يفرض معارضة الفرائض القطعيّة. وأم</w:t>
      </w:r>
      <w:r w:rsidR="00B04731">
        <w:rPr>
          <w:rFonts w:hint="cs"/>
          <w:rtl/>
        </w:rPr>
        <w:t>ّ</w:t>
      </w:r>
      <w:r w:rsidRPr="00822CE9">
        <w:rPr>
          <w:rFonts w:hint="cs"/>
          <w:rtl/>
        </w:rPr>
        <w:t>ا الجهاد فهو واجب ضدّ غير المسلمين قطعاً وبصورة مطلقة وإنّما كلامنا في الجهاد الداخل ـ إسلامي، ولا دليل على انحصار الجهاد هنا بالثورة المسل</w:t>
      </w:r>
      <w:r w:rsidR="00B04731">
        <w:rPr>
          <w:rFonts w:hint="cs"/>
          <w:rtl/>
        </w:rPr>
        <w:t>ّ</w:t>
      </w:r>
      <w:r w:rsidRPr="00822CE9">
        <w:rPr>
          <w:rFonts w:hint="cs"/>
          <w:rtl/>
        </w:rPr>
        <w:t>حة لإقامة دولة إسلامي</w:t>
      </w:r>
      <w:r w:rsidR="00B04731">
        <w:rPr>
          <w:rFonts w:hint="cs"/>
          <w:rtl/>
        </w:rPr>
        <w:t>ّ</w:t>
      </w:r>
      <w:r w:rsidRPr="00822CE9">
        <w:rPr>
          <w:rFonts w:hint="cs"/>
          <w:rtl/>
        </w:rPr>
        <w:t>ة، بل الموضوع متحرّك في الزمان والمكان، يخضع للمعايير الثانوية، فهذا خلط بين مقام الحكم الأو</w:t>
      </w:r>
      <w:r w:rsidR="00B04731">
        <w:rPr>
          <w:rFonts w:hint="cs"/>
          <w:rtl/>
        </w:rPr>
        <w:t>ّ</w:t>
      </w:r>
      <w:r w:rsidRPr="00822CE9">
        <w:rPr>
          <w:rFonts w:hint="cs"/>
          <w:rtl/>
        </w:rPr>
        <w:t>لي والثانوي.</w:t>
      </w:r>
    </w:p>
    <w:p w14:paraId="3AEAE4D3" w14:textId="77777777" w:rsidR="000A4159" w:rsidRPr="00822CE9" w:rsidRDefault="000A4159" w:rsidP="00B04731">
      <w:pPr>
        <w:spacing w:line="214" w:lineRule="auto"/>
        <w:rPr>
          <w:rtl/>
        </w:rPr>
      </w:pPr>
      <w:r w:rsidRPr="00822CE9">
        <w:rPr>
          <w:rFonts w:hint="cs"/>
          <w:b/>
          <w:bCs/>
          <w:rtl/>
        </w:rPr>
        <w:t>سادساً:</w:t>
      </w:r>
      <w:r w:rsidRPr="00822CE9">
        <w:rPr>
          <w:rFonts w:hint="cs"/>
          <w:rtl/>
        </w:rPr>
        <w:t xml:space="preserve"> ثم</w:t>
      </w:r>
      <w:r w:rsidR="00B04731">
        <w:rPr>
          <w:rFonts w:hint="cs"/>
          <w:rtl/>
        </w:rPr>
        <w:t>ّ</w:t>
      </w:r>
      <w:r w:rsidRPr="00822CE9">
        <w:rPr>
          <w:rFonts w:hint="cs"/>
          <w:rtl/>
        </w:rPr>
        <w:t>ة احتمال يهدم أصل دلالة هذه الرواية، وهو أن لا يكون المراد من كلمة «القائم» فيها هو المهدي، بل يراد مطلق من يثور بالحقّ، فتكون الرواية دالّةً على أن</w:t>
      </w:r>
      <w:r w:rsidR="00B04731">
        <w:rPr>
          <w:rFonts w:hint="cs"/>
          <w:rtl/>
        </w:rPr>
        <w:t>ّ</w:t>
      </w:r>
      <w:r w:rsidRPr="00822CE9">
        <w:rPr>
          <w:rFonts w:hint="cs"/>
          <w:rtl/>
        </w:rPr>
        <w:t xml:space="preserve">ه مع وجود ثورة أو </w:t>
      </w:r>
      <w:r w:rsidRPr="00822CE9">
        <w:rPr>
          <w:rFonts w:hint="cs"/>
          <w:rtl/>
        </w:rPr>
        <w:lastRenderedPageBreak/>
        <w:t>تخطيط لها، لا يصحّ أن يثور شخص آخر قبلها فإنّ هذا يضرّ بمصالح الثورة</w:t>
      </w:r>
      <w:r w:rsidRPr="000A4159">
        <w:rPr>
          <w:rFonts w:cs="Taher"/>
          <w:vertAlign w:val="superscript"/>
          <w:rtl/>
        </w:rPr>
        <w:t>(</w:t>
      </w:r>
      <w:r w:rsidRPr="000A4159">
        <w:rPr>
          <w:rStyle w:val="FootnoteReference"/>
          <w:rFonts w:cs="Taher"/>
          <w:rtl/>
        </w:rPr>
        <w:footnoteReference w:id="419"/>
      </w:r>
      <w:r w:rsidRPr="000A4159">
        <w:rPr>
          <w:rFonts w:cs="Taher"/>
          <w:vertAlign w:val="superscript"/>
          <w:rtl/>
        </w:rPr>
        <w:t>)</w:t>
      </w:r>
      <w:r w:rsidRPr="00822CE9">
        <w:rPr>
          <w:rFonts w:hint="cs"/>
          <w:rtl/>
        </w:rPr>
        <w:t>.</w:t>
      </w:r>
    </w:p>
    <w:p w14:paraId="60595628" w14:textId="0ABB5DC5" w:rsidR="000A4159" w:rsidRPr="00822CE9" w:rsidRDefault="000A4159" w:rsidP="00670CED">
      <w:pPr>
        <w:pStyle w:val="normal930"/>
        <w:rPr>
          <w:rtl/>
        </w:rPr>
      </w:pPr>
      <w:r w:rsidRPr="00822CE9">
        <w:rPr>
          <w:rFonts w:hint="cs"/>
          <w:b/>
          <w:bCs/>
          <w:rtl/>
        </w:rPr>
        <w:t>والحقّ أنّ هذا الاحتمال لا معطى يفرضه؛</w:t>
      </w:r>
      <w:r w:rsidRPr="00822CE9">
        <w:rPr>
          <w:rFonts w:hint="cs"/>
          <w:rtl/>
        </w:rPr>
        <w:t xml:space="preserve"> فكثرة استخدام كلمة </w:t>
      </w:r>
      <w:r w:rsidR="00D537A9" w:rsidRPr="00822CE9">
        <w:rPr>
          <w:rFonts w:hint="cs"/>
          <w:rtl/>
        </w:rPr>
        <w:t>«</w:t>
      </w:r>
      <w:r w:rsidRPr="00822CE9">
        <w:rPr>
          <w:rFonts w:hint="cs"/>
          <w:rtl/>
        </w:rPr>
        <w:t>القائم</w:t>
      </w:r>
      <w:r w:rsidR="00D537A9" w:rsidRPr="00822CE9">
        <w:rPr>
          <w:rFonts w:hint="cs"/>
          <w:rtl/>
        </w:rPr>
        <w:t>»</w:t>
      </w:r>
      <w:r w:rsidRPr="00822CE9">
        <w:rPr>
          <w:rFonts w:hint="cs"/>
          <w:rtl/>
        </w:rPr>
        <w:t xml:space="preserve"> في ألسنة الروايات في الإمام المهدي يعزّز الظهور فيه، يضاف إليه لو كان الأمر كما قال المستشكل فلماذا يكون صاحب الراية طاغوتاً ي</w:t>
      </w:r>
      <w:r w:rsidR="00B04731">
        <w:rPr>
          <w:rFonts w:hint="cs"/>
          <w:rtl/>
        </w:rPr>
        <w:t>ُ</w:t>
      </w:r>
      <w:r w:rsidRPr="00822CE9">
        <w:rPr>
          <w:rFonts w:hint="cs"/>
          <w:rtl/>
        </w:rPr>
        <w:t>عبد من دون الله؟! أليس من الأنسب أو</w:t>
      </w:r>
      <w:r w:rsidR="00B04731">
        <w:rPr>
          <w:rFonts w:hint="cs"/>
          <w:rtl/>
        </w:rPr>
        <w:t>ّ</w:t>
      </w:r>
      <w:r w:rsidRPr="00822CE9">
        <w:rPr>
          <w:rFonts w:hint="cs"/>
          <w:rtl/>
        </w:rPr>
        <w:t>لاً التمييز بين القائم بالحقّ وغيره في مسألة الخروج قبله؟ ثم أليس الأصحّ الإشارة إلى إفساده للثورة بدل الإشارة إلى كونه طاغوتاً؛ على أنّ محض الاحتمال لا يبطل الاستدلال ما لم يهدم الظهور، والمفروض أنّ الاحتمال المطروح هنا لا يبلغ هذا الحدّ.</w:t>
      </w:r>
    </w:p>
    <w:p w14:paraId="5E4B1EC3" w14:textId="77777777" w:rsidR="000A4159" w:rsidRPr="00670CED" w:rsidRDefault="000A4159" w:rsidP="00670CED">
      <w:pPr>
        <w:pStyle w:val="normal930"/>
        <w:rPr>
          <w:b/>
          <w:bCs/>
          <w:rtl/>
        </w:rPr>
      </w:pPr>
      <w:r w:rsidRPr="00670CED">
        <w:rPr>
          <w:rFonts w:hint="cs"/>
          <w:b/>
          <w:bCs/>
          <w:rtl/>
        </w:rPr>
        <w:t>وعليه، فصحيحة أبي بصير المدعومة بأسانيد غيبة النعماني واضحة وجليّة في تحريم الرايات قبل ظهور القائم، وهي حتى الآن تمثل المدرك الوحيد لهذه النظري</w:t>
      </w:r>
      <w:r w:rsidR="00B04731" w:rsidRPr="00670CED">
        <w:rPr>
          <w:rFonts w:hint="cs"/>
          <w:b/>
          <w:bCs/>
          <w:rtl/>
        </w:rPr>
        <w:t>ّ</w:t>
      </w:r>
      <w:r w:rsidRPr="00670CED">
        <w:rPr>
          <w:rFonts w:hint="cs"/>
          <w:b/>
          <w:bCs/>
          <w:rtl/>
        </w:rPr>
        <w:t>ة هنا</w:t>
      </w:r>
      <w:r w:rsidR="00B04731" w:rsidRPr="00670CED">
        <w:rPr>
          <w:rFonts w:hint="cs"/>
          <w:b/>
          <w:bCs/>
          <w:rtl/>
        </w:rPr>
        <w:t xml:space="preserve"> بسندٍ لا بأس به</w:t>
      </w:r>
      <w:r w:rsidRPr="00670CED">
        <w:rPr>
          <w:rFonts w:hint="cs"/>
          <w:b/>
          <w:bCs/>
          <w:rtl/>
        </w:rPr>
        <w:t>.</w:t>
      </w:r>
    </w:p>
    <w:p w14:paraId="02E7FDB4" w14:textId="63BC995A" w:rsidR="000A4159" w:rsidRPr="00822CE9" w:rsidRDefault="00B04731" w:rsidP="00670CED">
      <w:pPr>
        <w:pStyle w:val="normal930"/>
        <w:rPr>
          <w:rtl/>
        </w:rPr>
      </w:pPr>
      <w:r>
        <w:rPr>
          <w:rFonts w:hint="cs"/>
          <w:b/>
          <w:bCs/>
          <w:rtl/>
        </w:rPr>
        <w:t xml:space="preserve">الرواية الثامنة: </w:t>
      </w:r>
      <w:r w:rsidR="000A4159" w:rsidRPr="00822CE9">
        <w:rPr>
          <w:rFonts w:hint="cs"/>
          <w:b/>
          <w:bCs/>
          <w:rtl/>
        </w:rPr>
        <w:t>خبر عمر بن حنظلة،</w:t>
      </w:r>
      <w:r w:rsidR="000A4159" w:rsidRPr="00822CE9">
        <w:rPr>
          <w:rFonts w:hint="cs"/>
          <w:rtl/>
        </w:rPr>
        <w:t xml:space="preserve"> قال: سمعت أبا عبد الله</w:t>
      </w:r>
      <w:r w:rsidR="007B63A1">
        <w:rPr>
          <w:rFonts w:hint="cs"/>
          <w:rtl/>
        </w:rPr>
        <w:t>×</w:t>
      </w:r>
      <w:r w:rsidR="000A4159" w:rsidRPr="00822CE9">
        <w:rPr>
          <w:rFonts w:hint="cs"/>
          <w:rtl/>
        </w:rPr>
        <w:t xml:space="preserve"> يقول: «خمس</w:t>
      </w:r>
      <w:r w:rsidR="007B63A1">
        <w:rPr>
          <w:rFonts w:hint="cs"/>
          <w:rtl/>
        </w:rPr>
        <w:t>ُ</w:t>
      </w:r>
      <w:r w:rsidR="000A4159" w:rsidRPr="00822CE9">
        <w:rPr>
          <w:rFonts w:hint="cs"/>
          <w:rtl/>
        </w:rPr>
        <w:t xml:space="preserve"> علامات قبل قيام القائم: الصيحة، والسفياني، والخسف، وقتل النفس الزكي</w:t>
      </w:r>
      <w:r w:rsidR="007B63A1">
        <w:rPr>
          <w:rFonts w:hint="cs"/>
          <w:rtl/>
        </w:rPr>
        <w:t>ّ</w:t>
      </w:r>
      <w:r w:rsidR="000A4159" w:rsidRPr="00822CE9">
        <w:rPr>
          <w:rFonts w:hint="cs"/>
          <w:rtl/>
        </w:rPr>
        <w:t>ة، واليماني</w:t>
      </w:r>
      <w:r w:rsidR="00D537A9" w:rsidRPr="00822CE9">
        <w:rPr>
          <w:rFonts w:hint="cs"/>
          <w:rtl/>
        </w:rPr>
        <w:t>»</w:t>
      </w:r>
      <w:r w:rsidR="000A4159" w:rsidRPr="00822CE9">
        <w:rPr>
          <w:rFonts w:hint="cs"/>
          <w:rtl/>
        </w:rPr>
        <w:t>، فقلت: جعلت فداك</w:t>
      </w:r>
      <w:r w:rsidR="007B63A1">
        <w:rPr>
          <w:rFonts w:hint="cs"/>
          <w:rtl/>
        </w:rPr>
        <w:t>،</w:t>
      </w:r>
      <w:r w:rsidR="000A4159" w:rsidRPr="00822CE9">
        <w:rPr>
          <w:rFonts w:hint="cs"/>
          <w:rtl/>
        </w:rPr>
        <w:t xml:space="preserve"> إن خرج أحدٌ من أهل بيتك قبل هذه العلامات أنخرج معه؟ قال: </w:t>
      </w:r>
      <w:r w:rsidR="00D537A9" w:rsidRPr="00822CE9">
        <w:rPr>
          <w:rFonts w:hint="cs"/>
          <w:rtl/>
        </w:rPr>
        <w:t>«</w:t>
      </w:r>
      <w:r w:rsidR="000A4159" w:rsidRPr="00822CE9">
        <w:rPr>
          <w:rFonts w:hint="cs"/>
          <w:rtl/>
        </w:rPr>
        <w:t>لا..»</w:t>
      </w:r>
      <w:r w:rsidR="000A4159" w:rsidRPr="000A4159">
        <w:rPr>
          <w:rFonts w:cs="Taher"/>
          <w:vertAlign w:val="superscript"/>
          <w:rtl/>
        </w:rPr>
        <w:t>(</w:t>
      </w:r>
      <w:r w:rsidR="000A4159" w:rsidRPr="000A4159">
        <w:rPr>
          <w:rStyle w:val="FootnoteReference"/>
          <w:rFonts w:cs="Taher"/>
          <w:rtl/>
        </w:rPr>
        <w:footnoteReference w:id="420"/>
      </w:r>
      <w:r w:rsidR="000A4159" w:rsidRPr="000A4159">
        <w:rPr>
          <w:rFonts w:cs="Taher"/>
          <w:vertAlign w:val="superscript"/>
          <w:rtl/>
        </w:rPr>
        <w:t>)</w:t>
      </w:r>
      <w:r w:rsidR="000A4159" w:rsidRPr="00822CE9">
        <w:rPr>
          <w:rFonts w:hint="cs"/>
          <w:rtl/>
        </w:rPr>
        <w:t>.</w:t>
      </w:r>
    </w:p>
    <w:p w14:paraId="18FC9438" w14:textId="77777777" w:rsidR="000A4159" w:rsidRPr="00822CE9" w:rsidRDefault="000A4159" w:rsidP="00670CED">
      <w:pPr>
        <w:pStyle w:val="normal930"/>
        <w:rPr>
          <w:rtl/>
        </w:rPr>
      </w:pPr>
      <w:r w:rsidRPr="00822CE9">
        <w:rPr>
          <w:rFonts w:hint="cs"/>
          <w:rtl/>
        </w:rPr>
        <w:t>فهذه الرواية تجعل أيّ</w:t>
      </w:r>
      <w:r w:rsidR="007B63A1">
        <w:rPr>
          <w:rFonts w:hint="cs"/>
          <w:rtl/>
        </w:rPr>
        <w:t>َ</w:t>
      </w:r>
      <w:r w:rsidRPr="00822CE9">
        <w:rPr>
          <w:rFonts w:hint="cs"/>
          <w:rtl/>
        </w:rPr>
        <w:t xml:space="preserve"> خروج قبل الإمام المهدي</w:t>
      </w:r>
      <w:r w:rsidR="007B63A1">
        <w:rPr>
          <w:rFonts w:hint="cs"/>
          <w:rtl/>
        </w:rPr>
        <w:t>ّ</w:t>
      </w:r>
      <w:r w:rsidRPr="00822CE9">
        <w:rPr>
          <w:rFonts w:hint="cs"/>
          <w:rtl/>
        </w:rPr>
        <w:t xml:space="preserve"> ممنوعاً، ولا معنى لجعلها قضي</w:t>
      </w:r>
      <w:r w:rsidR="007B63A1">
        <w:rPr>
          <w:rFonts w:hint="cs"/>
          <w:rtl/>
        </w:rPr>
        <w:t>ّ</w:t>
      </w:r>
      <w:r w:rsidRPr="00822CE9">
        <w:rPr>
          <w:rFonts w:hint="cs"/>
          <w:rtl/>
        </w:rPr>
        <w:t>ةً في واقعة أو خاصّة بعمر بن حنظلة، ما دام المعيار فيها واضحاً، وهو علامات القيام التي لن يشهدها ابن حنظلة بالتأكيد.</w:t>
      </w:r>
    </w:p>
    <w:p w14:paraId="2CCEFA2B" w14:textId="77777777" w:rsidR="000A4159" w:rsidRPr="00822CE9" w:rsidRDefault="000A4159" w:rsidP="00670CED">
      <w:pPr>
        <w:pStyle w:val="normal930"/>
        <w:rPr>
          <w:rtl/>
        </w:rPr>
      </w:pPr>
      <w:r w:rsidRPr="007B63A1">
        <w:rPr>
          <w:rFonts w:hint="cs"/>
          <w:b/>
          <w:bCs/>
          <w:rtl/>
        </w:rPr>
        <w:t xml:space="preserve">لكنّ المناقشة في الرواية واردة؛ </w:t>
      </w:r>
      <w:r w:rsidRPr="00822CE9">
        <w:rPr>
          <w:rFonts w:hint="cs"/>
          <w:rtl/>
        </w:rPr>
        <w:t>لأنّ ظاهرها السؤال عن الخروج مع أحد من أهل بيت الإمام</w:t>
      </w:r>
      <w:r w:rsidR="00BF537A">
        <w:rPr>
          <w:rFonts w:hint="cs"/>
          <w:rtl/>
        </w:rPr>
        <w:t xml:space="preserve"> نفسه</w:t>
      </w:r>
      <w:r w:rsidRPr="00822CE9">
        <w:rPr>
          <w:rFonts w:hint="cs"/>
          <w:rtl/>
        </w:rPr>
        <w:t>، ومن المحتمل جداً أن يكون السؤال عن علامات المهدي بحيث نميّز بين المهدي وغيره، فأراد الإمام أن يبيّن له أنّ علامة المهدي ه</w:t>
      </w:r>
      <w:r w:rsidR="007B63A1">
        <w:rPr>
          <w:rFonts w:hint="cs"/>
          <w:rtl/>
        </w:rPr>
        <w:t>و</w:t>
      </w:r>
      <w:r w:rsidRPr="00822CE9">
        <w:rPr>
          <w:rFonts w:hint="cs"/>
          <w:rtl/>
        </w:rPr>
        <w:t xml:space="preserve"> كذا وكذا، فلا تخرج مع أيّ هاشمي</w:t>
      </w:r>
      <w:r w:rsidR="00BF537A">
        <w:rPr>
          <w:rFonts w:hint="cs"/>
          <w:rtl/>
        </w:rPr>
        <w:t>ٍّ</w:t>
      </w:r>
      <w:r w:rsidRPr="00822CE9">
        <w:rPr>
          <w:rFonts w:hint="cs"/>
          <w:rtl/>
        </w:rPr>
        <w:t xml:space="preserve"> يدّعي المهدوي</w:t>
      </w:r>
      <w:r w:rsidR="007B63A1">
        <w:rPr>
          <w:rFonts w:hint="cs"/>
          <w:rtl/>
        </w:rPr>
        <w:t>ّ</w:t>
      </w:r>
      <w:r w:rsidRPr="00822CE9">
        <w:rPr>
          <w:rFonts w:hint="cs"/>
          <w:rtl/>
        </w:rPr>
        <w:t>ة قبل هذه العلامات.</w:t>
      </w:r>
    </w:p>
    <w:p w14:paraId="1B601B97" w14:textId="77777777" w:rsidR="000A4159" w:rsidRPr="00822CE9" w:rsidRDefault="000A4159" w:rsidP="00670CED">
      <w:pPr>
        <w:rPr>
          <w:rtl/>
        </w:rPr>
      </w:pPr>
      <w:r w:rsidRPr="007B63A1">
        <w:rPr>
          <w:rFonts w:hint="cs"/>
          <w:b/>
          <w:bCs/>
          <w:rtl/>
        </w:rPr>
        <w:t>وهذا الاحتمال الذي أثاره الشيخ المنتظري والسيد الحائري</w:t>
      </w:r>
      <w:r w:rsidRPr="007B63A1">
        <w:rPr>
          <w:rFonts w:cs="Taher"/>
          <w:b/>
          <w:bCs/>
          <w:vertAlign w:val="superscript"/>
          <w:rtl/>
        </w:rPr>
        <w:t>(</w:t>
      </w:r>
      <w:r w:rsidRPr="007B63A1">
        <w:rPr>
          <w:rStyle w:val="FootnoteReference"/>
          <w:rFonts w:cs="Taher"/>
          <w:b/>
          <w:bCs/>
          <w:rtl/>
        </w:rPr>
        <w:footnoteReference w:id="421"/>
      </w:r>
      <w:r w:rsidRPr="007B63A1">
        <w:rPr>
          <w:rFonts w:cs="Taher"/>
          <w:b/>
          <w:bCs/>
          <w:vertAlign w:val="superscript"/>
          <w:rtl/>
        </w:rPr>
        <w:t>)</w:t>
      </w:r>
      <w:r w:rsidRPr="007B63A1">
        <w:rPr>
          <w:rFonts w:hint="cs"/>
          <w:b/>
          <w:bCs/>
          <w:rtl/>
        </w:rPr>
        <w:t xml:space="preserve"> معقول؛</w:t>
      </w:r>
      <w:r w:rsidRPr="00822CE9">
        <w:rPr>
          <w:rFonts w:hint="cs"/>
          <w:rtl/>
        </w:rPr>
        <w:t xml:space="preserve"> وذلك بقرينة السؤال </w:t>
      </w:r>
      <w:r w:rsidRPr="00822CE9">
        <w:rPr>
          <w:rFonts w:hint="cs"/>
          <w:rtl/>
        </w:rPr>
        <w:lastRenderedPageBreak/>
        <w:t>عن الخروج مع أحد</w:t>
      </w:r>
      <w:r w:rsidR="007B63A1">
        <w:rPr>
          <w:rFonts w:hint="cs"/>
          <w:rtl/>
        </w:rPr>
        <w:t>ٍ</w:t>
      </w:r>
      <w:r w:rsidRPr="00822CE9">
        <w:rPr>
          <w:rFonts w:hint="cs"/>
          <w:rtl/>
        </w:rPr>
        <w:t xml:space="preserve"> من أهل بيته</w:t>
      </w:r>
      <w:r w:rsidR="007B63A1">
        <w:rPr>
          <w:rFonts w:hint="cs"/>
          <w:rtl/>
        </w:rPr>
        <w:t xml:space="preserve">، دون </w:t>
      </w:r>
      <w:r w:rsidRPr="00822CE9">
        <w:rPr>
          <w:rFonts w:hint="cs"/>
          <w:rtl/>
        </w:rPr>
        <w:t>مطلق الخروج</w:t>
      </w:r>
      <w:r w:rsidR="007B63A1">
        <w:rPr>
          <w:rFonts w:hint="cs"/>
          <w:rtl/>
        </w:rPr>
        <w:t>.</w:t>
      </w:r>
      <w:r w:rsidRPr="00822CE9">
        <w:rPr>
          <w:rFonts w:hint="cs"/>
          <w:rtl/>
        </w:rPr>
        <w:t xml:space="preserve"> وأم</w:t>
      </w:r>
      <w:r w:rsidR="007B63A1">
        <w:rPr>
          <w:rFonts w:hint="cs"/>
          <w:rtl/>
        </w:rPr>
        <w:t>ّ</w:t>
      </w:r>
      <w:r w:rsidRPr="00822CE9">
        <w:rPr>
          <w:rFonts w:hint="cs"/>
          <w:rtl/>
        </w:rPr>
        <w:t>ا القول بأنّ النهي هنا ليس تحريمي</w:t>
      </w:r>
      <w:r w:rsidR="007B63A1">
        <w:rPr>
          <w:rFonts w:hint="cs"/>
          <w:rtl/>
        </w:rPr>
        <w:t>ّ</w:t>
      </w:r>
      <w:r w:rsidRPr="00822CE9">
        <w:rPr>
          <w:rFonts w:hint="cs"/>
          <w:rtl/>
        </w:rPr>
        <w:t>اً بل للإشارة إلى فشل الثورات فلا يدلّ على الحرمة كما أفاده بعضهم</w:t>
      </w:r>
      <w:r w:rsidRPr="000A4159">
        <w:rPr>
          <w:rFonts w:cs="Taher"/>
          <w:vertAlign w:val="superscript"/>
          <w:rtl/>
        </w:rPr>
        <w:t>(</w:t>
      </w:r>
      <w:r w:rsidRPr="000A4159">
        <w:rPr>
          <w:rStyle w:val="FootnoteReference"/>
          <w:rFonts w:cs="Taher"/>
          <w:rtl/>
        </w:rPr>
        <w:footnoteReference w:id="422"/>
      </w:r>
      <w:r w:rsidRPr="000A4159">
        <w:rPr>
          <w:rFonts w:cs="Taher"/>
          <w:vertAlign w:val="superscript"/>
          <w:rtl/>
        </w:rPr>
        <w:t>)</w:t>
      </w:r>
      <w:r w:rsidRPr="00822CE9">
        <w:rPr>
          <w:rFonts w:hint="cs"/>
          <w:rtl/>
        </w:rPr>
        <w:t>،</w:t>
      </w:r>
      <w:r w:rsidRPr="00822CE9">
        <w:rPr>
          <w:rtl/>
        </w:rPr>
        <w:t xml:space="preserve"> </w:t>
      </w:r>
      <w:r w:rsidRPr="00822CE9">
        <w:rPr>
          <w:rFonts w:hint="cs"/>
          <w:rtl/>
        </w:rPr>
        <w:t>فهو غريب</w:t>
      </w:r>
      <w:r w:rsidR="007B63A1">
        <w:rPr>
          <w:rFonts w:hint="cs"/>
          <w:rtl/>
        </w:rPr>
        <w:t>ٌ</w:t>
      </w:r>
      <w:r w:rsidRPr="00822CE9">
        <w:rPr>
          <w:rFonts w:hint="cs"/>
          <w:rtl/>
        </w:rPr>
        <w:t xml:space="preserve"> مخالف للظهور؛ فإنّ كلمة «لا» هنا معناها ـ عندما نقيسها إلى السؤال ـ: لا تخرج. وفرض قضي</w:t>
      </w:r>
      <w:r w:rsidR="007B63A1">
        <w:rPr>
          <w:rFonts w:hint="cs"/>
          <w:rtl/>
        </w:rPr>
        <w:t>ّ</w:t>
      </w:r>
      <w:r w:rsidRPr="00822CE9">
        <w:rPr>
          <w:rFonts w:hint="cs"/>
          <w:rtl/>
        </w:rPr>
        <w:t>ة الانتصار والفشل هنا غير وارد؛ لعدم وجود أيّ قرينة عليه أو حديث عنه، فهي ظاهرة في التحريم.</w:t>
      </w:r>
    </w:p>
    <w:p w14:paraId="510F2CC5" w14:textId="77777777" w:rsidR="000A4159" w:rsidRPr="007B63A1" w:rsidRDefault="000A4159" w:rsidP="007B63A1">
      <w:pPr>
        <w:spacing w:line="214" w:lineRule="auto"/>
        <w:rPr>
          <w:b/>
          <w:bCs/>
          <w:rtl/>
        </w:rPr>
      </w:pPr>
      <w:r w:rsidRPr="007B63A1">
        <w:rPr>
          <w:rFonts w:hint="cs"/>
          <w:b/>
          <w:bCs/>
          <w:rtl/>
        </w:rPr>
        <w:t>أم</w:t>
      </w:r>
      <w:r w:rsidR="007B63A1" w:rsidRPr="007B63A1">
        <w:rPr>
          <w:rFonts w:hint="cs"/>
          <w:b/>
          <w:bCs/>
          <w:rtl/>
        </w:rPr>
        <w:t>ّ</w:t>
      </w:r>
      <w:r w:rsidRPr="007B63A1">
        <w:rPr>
          <w:rFonts w:hint="cs"/>
          <w:b/>
          <w:bCs/>
          <w:rtl/>
        </w:rPr>
        <w:t>ا سند الرواية فكلّه تام</w:t>
      </w:r>
      <w:r w:rsidR="007B63A1">
        <w:rPr>
          <w:rFonts w:hint="cs"/>
          <w:b/>
          <w:bCs/>
          <w:rtl/>
        </w:rPr>
        <w:t>ّ</w:t>
      </w:r>
      <w:r w:rsidRPr="007B63A1">
        <w:rPr>
          <w:rFonts w:hint="cs"/>
          <w:b/>
          <w:bCs/>
          <w:rtl/>
        </w:rPr>
        <w:t>؛ إلا من عمر بن حنظلة، ولا توثيق له</w:t>
      </w:r>
      <w:r w:rsidR="007B63A1" w:rsidRPr="007B63A1">
        <w:rPr>
          <w:rFonts w:hint="cs"/>
          <w:b/>
          <w:bCs/>
          <w:rtl/>
        </w:rPr>
        <w:t>.</w:t>
      </w:r>
      <w:r w:rsidRPr="007B63A1">
        <w:rPr>
          <w:rFonts w:hint="cs"/>
          <w:b/>
          <w:bCs/>
          <w:rtl/>
        </w:rPr>
        <w:t xml:space="preserve"> نعم ذهب جماعة ـ كالشهيد الثاني ـ إلى وثاقته</w:t>
      </w:r>
      <w:r w:rsidRPr="007B63A1">
        <w:rPr>
          <w:rFonts w:cs="Taher"/>
          <w:b/>
          <w:bCs/>
          <w:vertAlign w:val="superscript"/>
          <w:rtl/>
        </w:rPr>
        <w:t>(</w:t>
      </w:r>
      <w:r w:rsidRPr="007B63A1">
        <w:rPr>
          <w:rStyle w:val="FootnoteReference"/>
          <w:rFonts w:cs="Taher"/>
          <w:b/>
          <w:bCs/>
          <w:rtl/>
        </w:rPr>
        <w:footnoteReference w:id="423"/>
      </w:r>
      <w:r w:rsidRPr="007B63A1">
        <w:rPr>
          <w:rFonts w:cs="Taher"/>
          <w:b/>
          <w:bCs/>
          <w:vertAlign w:val="superscript"/>
          <w:rtl/>
        </w:rPr>
        <w:t>)</w:t>
      </w:r>
      <w:r w:rsidRPr="007B63A1">
        <w:rPr>
          <w:rFonts w:hint="cs"/>
          <w:b/>
          <w:bCs/>
          <w:rtl/>
        </w:rPr>
        <w:t>، والمستند فيه:</w:t>
      </w:r>
    </w:p>
    <w:p w14:paraId="4E357541" w14:textId="77777777" w:rsidR="001C030B" w:rsidRDefault="000A4159" w:rsidP="00670CED">
      <w:pPr>
        <w:pStyle w:val="normal930"/>
        <w:rPr>
          <w:rtl/>
        </w:rPr>
      </w:pPr>
      <w:r w:rsidRPr="007B63A1">
        <w:rPr>
          <w:rFonts w:hint="cs"/>
          <w:b/>
          <w:bCs/>
          <w:rtl/>
        </w:rPr>
        <w:t xml:space="preserve">أ ـ </w:t>
      </w:r>
      <w:r w:rsidRPr="00822CE9">
        <w:rPr>
          <w:rFonts w:hint="cs"/>
          <w:rtl/>
        </w:rPr>
        <w:t>خبر يزيد بن خليفة، المادح له والموث</w:t>
      </w:r>
      <w:r w:rsidR="007B63A1">
        <w:rPr>
          <w:rFonts w:hint="cs"/>
          <w:rtl/>
        </w:rPr>
        <w:t>ّ</w:t>
      </w:r>
      <w:r w:rsidRPr="00822CE9">
        <w:rPr>
          <w:rFonts w:hint="cs"/>
          <w:rtl/>
        </w:rPr>
        <w:t>ق</w:t>
      </w:r>
      <w:r w:rsidR="001C030B">
        <w:rPr>
          <w:rFonts w:hint="cs"/>
          <w:rtl/>
        </w:rPr>
        <w:t>.</w:t>
      </w:r>
    </w:p>
    <w:p w14:paraId="73E029D5" w14:textId="77777777" w:rsidR="000A4159" w:rsidRPr="00822CE9" w:rsidRDefault="000A4159" w:rsidP="00670CED">
      <w:pPr>
        <w:pStyle w:val="normal930"/>
        <w:rPr>
          <w:rtl/>
        </w:rPr>
      </w:pPr>
      <w:r w:rsidRPr="00822CE9">
        <w:rPr>
          <w:rFonts w:hint="cs"/>
          <w:rtl/>
        </w:rPr>
        <w:t>لكنّ الخبر غير ثابت، ففضلاً عن عدم توثيق يزيد بن خليفة إلا من جهة رواية ابن أبي عمير عنه، وهي نظري</w:t>
      </w:r>
      <w:r w:rsidR="007B63A1">
        <w:rPr>
          <w:rFonts w:hint="cs"/>
          <w:rtl/>
        </w:rPr>
        <w:t>ّ</w:t>
      </w:r>
      <w:r w:rsidRPr="00822CE9">
        <w:rPr>
          <w:rFonts w:hint="cs"/>
          <w:rtl/>
        </w:rPr>
        <w:t>ة لم تثبت عندنا كما حقّقناه مفصّلاً.. يوجد في سند هذا الخبر محمد بن عيسى عن يونس، وقد نُصّ على ترك روايات ابن عيسى عن يونس حتى لو كان ابن عيسى ثقة، ربما لوجود مشاكل في هذا السند أو شبهة إرسال</w:t>
      </w:r>
      <w:r w:rsidR="00BF537A">
        <w:rPr>
          <w:rFonts w:hint="cs"/>
          <w:rtl/>
        </w:rPr>
        <w:t xml:space="preserve"> أو وجادة</w:t>
      </w:r>
      <w:r w:rsidR="007B63A1">
        <w:rPr>
          <w:rFonts w:hint="cs"/>
          <w:rtl/>
        </w:rPr>
        <w:t>،</w:t>
      </w:r>
      <w:r w:rsidRPr="00822CE9">
        <w:rPr>
          <w:rFonts w:hint="cs"/>
          <w:rtl/>
        </w:rPr>
        <w:t xml:space="preserve"> فلا يحصل الوثوق بالاتصال مع استثنائهم أخبار ابن عيسى عن خصوص يونس بن عبد الرحمن.</w:t>
      </w:r>
    </w:p>
    <w:p w14:paraId="79B1CDCE" w14:textId="77777777" w:rsidR="001C030B" w:rsidRDefault="000A4159" w:rsidP="001C030B">
      <w:pPr>
        <w:spacing w:line="214" w:lineRule="auto"/>
        <w:rPr>
          <w:rtl/>
        </w:rPr>
      </w:pPr>
      <w:r w:rsidRPr="007B63A1">
        <w:rPr>
          <w:rFonts w:hint="cs"/>
          <w:b/>
          <w:bCs/>
          <w:rtl/>
        </w:rPr>
        <w:t>ب ـ</w:t>
      </w:r>
      <w:r w:rsidRPr="00822CE9">
        <w:rPr>
          <w:rFonts w:hint="cs"/>
          <w:rtl/>
        </w:rPr>
        <w:t xml:space="preserve"> خبر</w:t>
      </w:r>
      <w:r w:rsidR="007B63A1">
        <w:rPr>
          <w:rFonts w:hint="cs"/>
          <w:rtl/>
        </w:rPr>
        <w:t>ٌ</w:t>
      </w:r>
      <w:r w:rsidRPr="00822CE9">
        <w:rPr>
          <w:rFonts w:hint="cs"/>
          <w:rtl/>
        </w:rPr>
        <w:t xml:space="preserve"> آخر عن عمر بن حنظلة نفسه يؤكّد له الإمام فيه أنّ له عنده منزلة</w:t>
      </w:r>
      <w:r w:rsidR="001C030B">
        <w:rPr>
          <w:rFonts w:hint="cs"/>
          <w:rtl/>
        </w:rPr>
        <w:t>.</w:t>
      </w:r>
    </w:p>
    <w:p w14:paraId="35315ABD" w14:textId="77777777" w:rsidR="000A4159" w:rsidRPr="00822CE9" w:rsidRDefault="000A4159" w:rsidP="00670CED">
      <w:pPr>
        <w:pStyle w:val="normal930"/>
        <w:rPr>
          <w:rtl/>
        </w:rPr>
      </w:pPr>
      <w:r w:rsidRPr="00822CE9">
        <w:rPr>
          <w:rFonts w:hint="cs"/>
          <w:rtl/>
        </w:rPr>
        <w:t>وهذا لا ينفع في الاستدلال على وثاقته؛ إذ مضافاً إلى أن</w:t>
      </w:r>
      <w:r w:rsidR="007B63A1">
        <w:rPr>
          <w:rFonts w:hint="cs"/>
          <w:rtl/>
        </w:rPr>
        <w:t>ّ</w:t>
      </w:r>
      <w:r w:rsidRPr="00822CE9">
        <w:rPr>
          <w:rFonts w:hint="cs"/>
          <w:rtl/>
        </w:rPr>
        <w:t>ه هو راوي الخبر فلا يمكن إثبات وثاقته بروايةٍ هو الذي ينقلها لنا.. يبتلي الخبر بالإرسال أيضاً، وهناك رواية أخرى عنه أيضاً تبتلي بالمشكلة نفسها.</w:t>
      </w:r>
    </w:p>
    <w:p w14:paraId="4172C4B9" w14:textId="77777777" w:rsidR="001C030B" w:rsidRDefault="000A4159" w:rsidP="001C030B">
      <w:pPr>
        <w:spacing w:line="214" w:lineRule="auto"/>
        <w:rPr>
          <w:rtl/>
        </w:rPr>
      </w:pPr>
      <w:r w:rsidRPr="007B63A1">
        <w:rPr>
          <w:rFonts w:hint="cs"/>
          <w:b/>
          <w:bCs/>
          <w:rtl/>
        </w:rPr>
        <w:t>ج ـ</w:t>
      </w:r>
      <w:r w:rsidRPr="00822CE9">
        <w:rPr>
          <w:rFonts w:hint="cs"/>
          <w:rtl/>
        </w:rPr>
        <w:t xml:space="preserve"> رواية علي</w:t>
      </w:r>
      <w:r w:rsidR="007B63A1">
        <w:rPr>
          <w:rFonts w:hint="cs"/>
          <w:rtl/>
        </w:rPr>
        <w:t>ّ</w:t>
      </w:r>
      <w:r w:rsidRPr="00822CE9">
        <w:rPr>
          <w:rFonts w:hint="cs"/>
          <w:rtl/>
        </w:rPr>
        <w:t xml:space="preserve"> بن حنظلة، عن أبي عبد الله</w:t>
      </w:r>
      <w:r w:rsidR="007B63A1">
        <w:rPr>
          <w:rFonts w:hint="cs"/>
          <w:rtl/>
        </w:rPr>
        <w:t>×، قال</w:t>
      </w:r>
      <w:r w:rsidRPr="00822CE9">
        <w:rPr>
          <w:rFonts w:hint="cs"/>
          <w:rtl/>
        </w:rPr>
        <w:t>: «اعرفوا منازل الناس (منّا) على قدر روايتهم (رواياتهم) عنّا»</w:t>
      </w:r>
      <w:r w:rsidRPr="000A4159">
        <w:rPr>
          <w:rFonts w:cs="Taher"/>
          <w:vertAlign w:val="superscript"/>
          <w:rtl/>
        </w:rPr>
        <w:t>(</w:t>
      </w:r>
      <w:r w:rsidRPr="000A4159">
        <w:rPr>
          <w:rStyle w:val="FootnoteReference"/>
          <w:rFonts w:cs="Taher"/>
          <w:rtl/>
        </w:rPr>
        <w:footnoteReference w:id="424"/>
      </w:r>
      <w:r w:rsidRPr="000A4159">
        <w:rPr>
          <w:rFonts w:cs="Taher"/>
          <w:vertAlign w:val="superscript"/>
          <w:rtl/>
        </w:rPr>
        <w:t>)</w:t>
      </w:r>
      <w:r w:rsidRPr="00822CE9">
        <w:rPr>
          <w:rFonts w:hint="cs"/>
          <w:rtl/>
        </w:rPr>
        <w:t>، على أساس كثرة رواية عمر بن حنظلة للحديث عن الأئمّة.</w:t>
      </w:r>
    </w:p>
    <w:p w14:paraId="6AF1D2A8" w14:textId="77777777" w:rsidR="000A4159" w:rsidRPr="00822CE9" w:rsidRDefault="000A4159" w:rsidP="00CF1E7F">
      <w:pPr>
        <w:pStyle w:val="normal870"/>
        <w:rPr>
          <w:rtl/>
        </w:rPr>
      </w:pPr>
      <w:r w:rsidRPr="00822CE9">
        <w:rPr>
          <w:rFonts w:hint="cs"/>
          <w:rtl/>
        </w:rPr>
        <w:lastRenderedPageBreak/>
        <w:t>لكنّ هذه الرواية هنا ضعيفة السند بجهالة محمد بن مروان (عمران) العجلي وسهل بن زياد في سند الكافي، ومرسلة بسند الشيخ الكشي، هذا فضلاً عن مناقشات في الدلالة تعرّضنا لها في أبحاثنا في علم الرجال</w:t>
      </w:r>
      <w:r w:rsidR="001C030B" w:rsidRPr="000A4159">
        <w:rPr>
          <w:rFonts w:cs="Taher"/>
          <w:vertAlign w:val="superscript"/>
          <w:rtl/>
        </w:rPr>
        <w:t>(</w:t>
      </w:r>
      <w:r w:rsidR="001C030B" w:rsidRPr="000A4159">
        <w:rPr>
          <w:rStyle w:val="FootnoteReference"/>
          <w:rFonts w:cs="Taher"/>
          <w:rtl/>
        </w:rPr>
        <w:footnoteReference w:id="425"/>
      </w:r>
      <w:r w:rsidR="001C030B" w:rsidRPr="000A4159">
        <w:rPr>
          <w:rFonts w:cs="Taher"/>
          <w:vertAlign w:val="superscript"/>
          <w:rtl/>
        </w:rPr>
        <w:t>)</w:t>
      </w:r>
      <w:r w:rsidRPr="00822CE9">
        <w:rPr>
          <w:rFonts w:hint="cs"/>
          <w:rtl/>
        </w:rPr>
        <w:t>.</w:t>
      </w:r>
    </w:p>
    <w:p w14:paraId="5A2B74FC" w14:textId="77777777" w:rsidR="000A4159" w:rsidRPr="00822CE9" w:rsidRDefault="000A4159" w:rsidP="00CF1E7F">
      <w:pPr>
        <w:pStyle w:val="normal870"/>
        <w:rPr>
          <w:rtl/>
        </w:rPr>
      </w:pPr>
      <w:r w:rsidRPr="007B63A1">
        <w:rPr>
          <w:rFonts w:hint="cs"/>
          <w:b/>
          <w:bCs/>
          <w:rtl/>
        </w:rPr>
        <w:t>د ـ</w:t>
      </w:r>
      <w:r w:rsidRPr="00822CE9">
        <w:rPr>
          <w:rFonts w:hint="cs"/>
          <w:rtl/>
        </w:rPr>
        <w:t xml:space="preserve"> عمل المشهور برواياته، لكنّه ضعيف بأنّ عمل المتقدّمين قد يكون ناتجاً أحياناً على الأقلّ عن الوثوق </w:t>
      </w:r>
      <w:r w:rsidR="007B63A1">
        <w:rPr>
          <w:rFonts w:hint="cs"/>
          <w:rtl/>
        </w:rPr>
        <w:t>دون</w:t>
      </w:r>
      <w:r w:rsidRPr="00822CE9">
        <w:rPr>
          <w:rFonts w:hint="cs"/>
          <w:rtl/>
        </w:rPr>
        <w:t xml:space="preserve"> خصوص السند، ومن غير المعلوم أن</w:t>
      </w:r>
      <w:r w:rsidR="007B63A1">
        <w:rPr>
          <w:rFonts w:hint="cs"/>
          <w:rtl/>
        </w:rPr>
        <w:t>ّ</w:t>
      </w:r>
      <w:r w:rsidRPr="00822CE9">
        <w:rPr>
          <w:rFonts w:hint="cs"/>
          <w:rtl/>
        </w:rPr>
        <w:t>هم قبلوا كلّ رواياته.</w:t>
      </w:r>
    </w:p>
    <w:p w14:paraId="5033CE6C" w14:textId="77777777" w:rsidR="001C030B" w:rsidRDefault="000A4159" w:rsidP="00CF1E7F">
      <w:pPr>
        <w:pStyle w:val="normal84"/>
        <w:rPr>
          <w:rtl/>
        </w:rPr>
      </w:pPr>
      <w:r w:rsidRPr="007B63A1">
        <w:rPr>
          <w:rFonts w:hint="cs"/>
          <w:b/>
          <w:bCs/>
          <w:rtl/>
        </w:rPr>
        <w:t xml:space="preserve">هـ ـ </w:t>
      </w:r>
      <w:r w:rsidRPr="00822CE9">
        <w:rPr>
          <w:rFonts w:hint="cs"/>
          <w:rtl/>
        </w:rPr>
        <w:t>رواية الأجلاء عنه كصفوان وغيره</w:t>
      </w:r>
      <w:r w:rsidR="001C030B">
        <w:rPr>
          <w:rFonts w:hint="cs"/>
          <w:rtl/>
        </w:rPr>
        <w:t>.</w:t>
      </w:r>
    </w:p>
    <w:p w14:paraId="6E82EE22" w14:textId="77777777" w:rsidR="000A4159" w:rsidRPr="00822CE9" w:rsidRDefault="000A4159" w:rsidP="001C030B">
      <w:pPr>
        <w:spacing w:line="214" w:lineRule="auto"/>
        <w:rPr>
          <w:rtl/>
        </w:rPr>
      </w:pPr>
      <w:r w:rsidRPr="00822CE9">
        <w:rPr>
          <w:rFonts w:hint="cs"/>
          <w:rtl/>
        </w:rPr>
        <w:t>وهو مبنى غير دقيق، كما بحثناه مفصّلاً في علم الرجال</w:t>
      </w:r>
      <w:r w:rsidR="001C030B" w:rsidRPr="000A4159">
        <w:rPr>
          <w:rFonts w:cs="Taher"/>
          <w:vertAlign w:val="superscript"/>
          <w:rtl/>
        </w:rPr>
        <w:t>(</w:t>
      </w:r>
      <w:r w:rsidR="001C030B" w:rsidRPr="000A4159">
        <w:rPr>
          <w:rStyle w:val="FootnoteReference"/>
          <w:rFonts w:cs="Taher"/>
          <w:rtl/>
        </w:rPr>
        <w:footnoteReference w:id="426"/>
      </w:r>
      <w:r w:rsidR="001C030B" w:rsidRPr="000A4159">
        <w:rPr>
          <w:rFonts w:cs="Taher"/>
          <w:vertAlign w:val="superscript"/>
          <w:rtl/>
        </w:rPr>
        <w:t>)</w:t>
      </w:r>
      <w:r w:rsidRPr="00822CE9">
        <w:rPr>
          <w:rFonts w:hint="cs"/>
          <w:rtl/>
        </w:rPr>
        <w:t>.</w:t>
      </w:r>
    </w:p>
    <w:p w14:paraId="2FF67395" w14:textId="77777777" w:rsidR="000A4159" w:rsidRDefault="000A4159" w:rsidP="00CF1E7F">
      <w:pPr>
        <w:pStyle w:val="normal930"/>
        <w:rPr>
          <w:rtl/>
        </w:rPr>
      </w:pPr>
      <w:r w:rsidRPr="00822CE9">
        <w:rPr>
          <w:rFonts w:hint="cs"/>
          <w:rtl/>
        </w:rPr>
        <w:t>فالإنصاف أن</w:t>
      </w:r>
      <w:r w:rsidR="007B63A1">
        <w:rPr>
          <w:rFonts w:hint="cs"/>
          <w:rtl/>
        </w:rPr>
        <w:t>ّ</w:t>
      </w:r>
      <w:r w:rsidRPr="00822CE9">
        <w:rPr>
          <w:rFonts w:hint="cs"/>
          <w:rtl/>
        </w:rPr>
        <w:t xml:space="preserve"> الرجل مجهول الحال يصعب الاطمئنان بالاستناد إلى رواياته، فتكون الرواية هنا ضعيفة السند أيضاً.</w:t>
      </w:r>
    </w:p>
    <w:p w14:paraId="1CBCDDE4" w14:textId="77777777" w:rsidR="0080620D" w:rsidRPr="0080620D" w:rsidRDefault="0080620D" w:rsidP="000153E6">
      <w:pPr>
        <w:pStyle w:val="Heading4"/>
        <w:rPr>
          <w:rtl/>
        </w:rPr>
      </w:pPr>
      <w:bookmarkStart w:id="237" w:name="_Toc143804198"/>
      <w:bookmarkStart w:id="238" w:name="_Toc238123323"/>
      <w:r w:rsidRPr="0080620D">
        <w:rPr>
          <w:rFonts w:hint="cs"/>
          <w:rtl/>
        </w:rPr>
        <w:t>موقف الإمام الصادق من كت</w:t>
      </w:r>
      <w:r>
        <w:rPr>
          <w:rFonts w:hint="cs"/>
          <w:rtl/>
        </w:rPr>
        <w:t>ُ</w:t>
      </w:r>
      <w:r w:rsidRPr="0080620D">
        <w:rPr>
          <w:rFonts w:hint="cs"/>
          <w:rtl/>
        </w:rPr>
        <w:t>ب جماعة</w:t>
      </w:r>
      <w:r>
        <w:rPr>
          <w:rFonts w:hint="cs"/>
          <w:rtl/>
        </w:rPr>
        <w:t>ٍ</w:t>
      </w:r>
      <w:r w:rsidRPr="0080620D">
        <w:rPr>
          <w:rFonts w:hint="cs"/>
          <w:rtl/>
        </w:rPr>
        <w:t xml:space="preserve"> </w:t>
      </w:r>
      <w:r>
        <w:rPr>
          <w:rFonts w:hint="cs"/>
          <w:rtl/>
        </w:rPr>
        <w:t xml:space="preserve">من الثوريّين </w:t>
      </w:r>
      <w:r w:rsidRPr="0080620D">
        <w:rPr>
          <w:rFonts w:hint="cs"/>
          <w:rtl/>
        </w:rPr>
        <w:t>زمان ظهور المسوِّدة</w:t>
      </w:r>
      <w:bookmarkEnd w:id="237"/>
      <w:bookmarkEnd w:id="238"/>
    </w:p>
    <w:p w14:paraId="1499479A" w14:textId="77777777" w:rsidR="000A4159" w:rsidRPr="00822CE9" w:rsidRDefault="007B63A1" w:rsidP="00CF1E7F">
      <w:pPr>
        <w:pStyle w:val="normal930"/>
        <w:rPr>
          <w:rtl/>
        </w:rPr>
      </w:pPr>
      <w:r>
        <w:rPr>
          <w:rFonts w:hint="cs"/>
          <w:b/>
          <w:bCs/>
          <w:rtl/>
        </w:rPr>
        <w:t xml:space="preserve">الرواية التاسعة: </w:t>
      </w:r>
      <w:r w:rsidR="000A4159" w:rsidRPr="00822CE9">
        <w:rPr>
          <w:rFonts w:hint="cs"/>
          <w:b/>
          <w:bCs/>
          <w:rtl/>
        </w:rPr>
        <w:t>خبر المعلّى بن خنيس،</w:t>
      </w:r>
      <w:r w:rsidR="000A4159" w:rsidRPr="00822CE9">
        <w:rPr>
          <w:rFonts w:hint="cs"/>
          <w:rtl/>
        </w:rPr>
        <w:t xml:space="preserve"> قال: ذهبت بكتاب عبد السلام بن ن</w:t>
      </w:r>
      <w:r w:rsidR="00642AAE">
        <w:rPr>
          <w:rFonts w:hint="cs"/>
          <w:rtl/>
        </w:rPr>
        <w:t>ُ</w:t>
      </w:r>
      <w:r w:rsidR="000A4159" w:rsidRPr="00822CE9">
        <w:rPr>
          <w:rFonts w:hint="cs"/>
          <w:rtl/>
        </w:rPr>
        <w:t>عيم وسدير</w:t>
      </w:r>
      <w:r w:rsidR="00301F56" w:rsidRPr="000A4159">
        <w:rPr>
          <w:rFonts w:cs="Taher"/>
          <w:vertAlign w:val="superscript"/>
          <w:rtl/>
        </w:rPr>
        <w:t>(</w:t>
      </w:r>
      <w:r w:rsidR="00301F56" w:rsidRPr="000A4159">
        <w:rPr>
          <w:rStyle w:val="FootnoteReference"/>
          <w:rFonts w:cs="Taher"/>
          <w:rtl/>
        </w:rPr>
        <w:footnoteReference w:id="427"/>
      </w:r>
      <w:r w:rsidR="00301F56" w:rsidRPr="000A4159">
        <w:rPr>
          <w:rFonts w:cs="Taher"/>
          <w:vertAlign w:val="superscript"/>
          <w:rtl/>
        </w:rPr>
        <w:t>)</w:t>
      </w:r>
      <w:r w:rsidR="000A4159" w:rsidRPr="00822CE9">
        <w:rPr>
          <w:rFonts w:hint="cs"/>
          <w:rtl/>
        </w:rPr>
        <w:t xml:space="preserve"> وكتب غير واحد إلى أبي عبد الله</w:t>
      </w:r>
      <w:r>
        <w:rPr>
          <w:rFonts w:hint="cs"/>
          <w:rtl/>
        </w:rPr>
        <w:t>×</w:t>
      </w:r>
      <w:r w:rsidR="000A4159" w:rsidRPr="00822CE9">
        <w:rPr>
          <w:rFonts w:hint="cs"/>
          <w:rtl/>
        </w:rPr>
        <w:t xml:space="preserve"> حيث ظهر الم</w:t>
      </w:r>
      <w:r w:rsidR="00642AAE">
        <w:rPr>
          <w:rFonts w:hint="cs"/>
          <w:rtl/>
        </w:rPr>
        <w:t>ُ</w:t>
      </w:r>
      <w:r w:rsidR="000A4159" w:rsidRPr="00822CE9">
        <w:rPr>
          <w:rFonts w:hint="cs"/>
          <w:rtl/>
        </w:rPr>
        <w:t>س</w:t>
      </w:r>
      <w:r w:rsidR="00642AAE">
        <w:rPr>
          <w:rFonts w:hint="cs"/>
          <w:rtl/>
        </w:rPr>
        <w:t>َ</w:t>
      </w:r>
      <w:r w:rsidR="000A4159" w:rsidRPr="00822CE9">
        <w:rPr>
          <w:rFonts w:hint="cs"/>
          <w:rtl/>
        </w:rPr>
        <w:t>و</w:t>
      </w:r>
      <w:r w:rsidR="00642AAE">
        <w:rPr>
          <w:rFonts w:hint="cs"/>
          <w:rtl/>
        </w:rPr>
        <w:t>ِّ</w:t>
      </w:r>
      <w:r w:rsidR="000A4159" w:rsidRPr="00822CE9">
        <w:rPr>
          <w:rFonts w:hint="cs"/>
          <w:rtl/>
        </w:rPr>
        <w:t>د</w:t>
      </w:r>
      <w:r w:rsidR="00642AAE">
        <w:rPr>
          <w:rFonts w:hint="cs"/>
          <w:rtl/>
        </w:rPr>
        <w:t>َ</w:t>
      </w:r>
      <w:r w:rsidR="000A4159" w:rsidRPr="00822CE9">
        <w:rPr>
          <w:rFonts w:hint="cs"/>
          <w:rtl/>
        </w:rPr>
        <w:t>ة</w:t>
      </w:r>
      <w:r w:rsidR="00301F56" w:rsidRPr="000A4159">
        <w:rPr>
          <w:rFonts w:cs="Taher"/>
          <w:vertAlign w:val="superscript"/>
          <w:rtl/>
        </w:rPr>
        <w:t>(</w:t>
      </w:r>
      <w:r w:rsidR="00301F56" w:rsidRPr="000A4159">
        <w:rPr>
          <w:rStyle w:val="FootnoteReference"/>
          <w:rFonts w:cs="Taher"/>
          <w:rtl/>
        </w:rPr>
        <w:footnoteReference w:id="428"/>
      </w:r>
      <w:r w:rsidR="00301F56" w:rsidRPr="000A4159">
        <w:rPr>
          <w:rFonts w:cs="Taher"/>
          <w:vertAlign w:val="superscript"/>
          <w:rtl/>
        </w:rPr>
        <w:t>)</w:t>
      </w:r>
      <w:r w:rsidR="000A4159" w:rsidRPr="00822CE9">
        <w:rPr>
          <w:rFonts w:hint="cs"/>
          <w:rtl/>
        </w:rPr>
        <w:t xml:space="preserve"> قبل أن يظهر ولد العبّاس، بأنّا قد قدّرنا أن يؤول هذا الأمر إليك، فما ترى؟ قال: فضرب بالكتب الأرض، قال: «أفّ أفّ، ما أنا لهؤلاء بإمام، أما يعلمون أن</w:t>
      </w:r>
      <w:r>
        <w:rPr>
          <w:rFonts w:hint="cs"/>
          <w:rtl/>
        </w:rPr>
        <w:t>ّ</w:t>
      </w:r>
      <w:r w:rsidR="000A4159" w:rsidRPr="00822CE9">
        <w:rPr>
          <w:rFonts w:hint="cs"/>
          <w:rtl/>
        </w:rPr>
        <w:t>ه إن</w:t>
      </w:r>
      <w:r>
        <w:rPr>
          <w:rFonts w:hint="cs"/>
          <w:rtl/>
        </w:rPr>
        <w:t>ّ</w:t>
      </w:r>
      <w:r w:rsidR="000A4159" w:rsidRPr="00822CE9">
        <w:rPr>
          <w:rFonts w:hint="cs"/>
          <w:rtl/>
        </w:rPr>
        <w:t>ما ي</w:t>
      </w:r>
      <w:r w:rsidR="00301F56">
        <w:rPr>
          <w:rFonts w:hint="cs"/>
          <w:rtl/>
        </w:rPr>
        <w:t>َ</w:t>
      </w:r>
      <w:r w:rsidR="000A4159" w:rsidRPr="00822CE9">
        <w:rPr>
          <w:rFonts w:hint="cs"/>
          <w:rtl/>
        </w:rPr>
        <w:t>ق</w:t>
      </w:r>
      <w:r w:rsidR="00301F56">
        <w:rPr>
          <w:rFonts w:hint="cs"/>
          <w:rtl/>
        </w:rPr>
        <w:t>ْ</w:t>
      </w:r>
      <w:r w:rsidR="000A4159" w:rsidRPr="00822CE9">
        <w:rPr>
          <w:rFonts w:hint="cs"/>
          <w:rtl/>
        </w:rPr>
        <w:t>ت</w:t>
      </w:r>
      <w:r w:rsidR="00301F56">
        <w:rPr>
          <w:rFonts w:hint="cs"/>
          <w:rtl/>
        </w:rPr>
        <w:t>ُ</w:t>
      </w:r>
      <w:r w:rsidR="000A4159" w:rsidRPr="00822CE9">
        <w:rPr>
          <w:rFonts w:hint="cs"/>
          <w:rtl/>
        </w:rPr>
        <w:t>ل</w:t>
      </w:r>
      <w:r w:rsidR="00301F56">
        <w:rPr>
          <w:rFonts w:hint="cs"/>
          <w:rtl/>
        </w:rPr>
        <w:t>ُ</w:t>
      </w:r>
      <w:r w:rsidR="000A4159" w:rsidRPr="00822CE9">
        <w:rPr>
          <w:rFonts w:hint="cs"/>
          <w:rtl/>
        </w:rPr>
        <w:t xml:space="preserve"> السفياني</w:t>
      </w:r>
      <w:r w:rsidR="00301F56">
        <w:rPr>
          <w:rFonts w:hint="cs"/>
          <w:rtl/>
        </w:rPr>
        <w:t>َّ</w:t>
      </w:r>
      <w:r w:rsidR="000A4159" w:rsidRPr="00822CE9">
        <w:rPr>
          <w:rFonts w:hint="cs"/>
          <w:rtl/>
        </w:rPr>
        <w:t>»</w:t>
      </w:r>
      <w:r w:rsidR="000A4159" w:rsidRPr="000A4159">
        <w:rPr>
          <w:rFonts w:cs="Taher"/>
          <w:vertAlign w:val="superscript"/>
          <w:rtl/>
        </w:rPr>
        <w:t>(</w:t>
      </w:r>
      <w:r w:rsidR="000A4159" w:rsidRPr="000A4159">
        <w:rPr>
          <w:rStyle w:val="FootnoteReference"/>
          <w:rFonts w:cs="Taher"/>
          <w:rtl/>
        </w:rPr>
        <w:footnoteReference w:id="429"/>
      </w:r>
      <w:r w:rsidR="000A4159" w:rsidRPr="000A4159">
        <w:rPr>
          <w:rFonts w:cs="Taher"/>
          <w:vertAlign w:val="superscript"/>
          <w:rtl/>
        </w:rPr>
        <w:t>)</w:t>
      </w:r>
      <w:r w:rsidR="000A4159" w:rsidRPr="00822CE9">
        <w:rPr>
          <w:rFonts w:hint="cs"/>
          <w:rtl/>
        </w:rPr>
        <w:t>.</w:t>
      </w:r>
    </w:p>
    <w:p w14:paraId="575C9544" w14:textId="77777777" w:rsidR="000A4159" w:rsidRPr="00822CE9" w:rsidRDefault="000A4159" w:rsidP="00CF1E7F">
      <w:pPr>
        <w:pStyle w:val="normal84"/>
        <w:rPr>
          <w:rtl/>
        </w:rPr>
      </w:pPr>
      <w:r w:rsidRPr="00822CE9">
        <w:rPr>
          <w:rFonts w:hint="cs"/>
          <w:rtl/>
        </w:rPr>
        <w:t>ويشبه هذه الرواية خبر</w:t>
      </w:r>
      <w:r w:rsidR="007B63A1">
        <w:rPr>
          <w:rFonts w:hint="cs"/>
          <w:rtl/>
        </w:rPr>
        <w:t>ٌ</w:t>
      </w:r>
      <w:r w:rsidRPr="00822CE9">
        <w:rPr>
          <w:rFonts w:hint="cs"/>
          <w:rtl/>
        </w:rPr>
        <w:t xml:space="preserve"> آخر رواه عبد الحميد بن أبي الديلم ـ وفق ما نقله لنا الكشي ـ جاء فيه: كنت عند أبي عبد الله فأتاه كتاب عبد السلام بن عبد الرحمن بن ن</w:t>
      </w:r>
      <w:r w:rsidR="00642AAE">
        <w:rPr>
          <w:rFonts w:hint="cs"/>
          <w:rtl/>
        </w:rPr>
        <w:t>ُ</w:t>
      </w:r>
      <w:r w:rsidRPr="00822CE9">
        <w:rPr>
          <w:rFonts w:hint="cs"/>
          <w:rtl/>
        </w:rPr>
        <w:t>ع</w:t>
      </w:r>
      <w:r w:rsidR="00642AAE">
        <w:rPr>
          <w:rFonts w:hint="cs"/>
          <w:rtl/>
        </w:rPr>
        <w:t>َ</w:t>
      </w:r>
      <w:r w:rsidRPr="00822CE9">
        <w:rPr>
          <w:rFonts w:hint="cs"/>
          <w:rtl/>
        </w:rPr>
        <w:t>يم وكتاب الفيض بن المختار، وسليمان بن خالد، يخبرونه أنّ الكوفة شاغرة ب</w:t>
      </w:r>
      <w:r w:rsidR="007B63A1">
        <w:rPr>
          <w:rFonts w:hint="cs"/>
          <w:rtl/>
        </w:rPr>
        <w:t>ِ</w:t>
      </w:r>
      <w:r w:rsidRPr="00822CE9">
        <w:rPr>
          <w:rFonts w:hint="cs"/>
          <w:rtl/>
        </w:rPr>
        <w:t>ر</w:t>
      </w:r>
      <w:r w:rsidR="007B63A1">
        <w:rPr>
          <w:rFonts w:hint="cs"/>
          <w:rtl/>
        </w:rPr>
        <w:t>ِ</w:t>
      </w:r>
      <w:r w:rsidRPr="00822CE9">
        <w:rPr>
          <w:rFonts w:hint="cs"/>
          <w:rtl/>
        </w:rPr>
        <w:t>ج</w:t>
      </w:r>
      <w:r w:rsidR="007B63A1">
        <w:rPr>
          <w:rFonts w:hint="cs"/>
          <w:rtl/>
        </w:rPr>
        <w:t>ْ</w:t>
      </w:r>
      <w:r w:rsidRPr="00822CE9">
        <w:rPr>
          <w:rFonts w:hint="cs"/>
          <w:rtl/>
        </w:rPr>
        <w:t>ل</w:t>
      </w:r>
      <w:r w:rsidR="007B63A1">
        <w:rPr>
          <w:rFonts w:hint="cs"/>
          <w:rtl/>
        </w:rPr>
        <w:t>ِ</w:t>
      </w:r>
      <w:r w:rsidRPr="00822CE9">
        <w:rPr>
          <w:rFonts w:hint="cs"/>
          <w:rtl/>
        </w:rPr>
        <w:t>ها، وأن</w:t>
      </w:r>
      <w:r w:rsidR="007B63A1">
        <w:rPr>
          <w:rFonts w:hint="cs"/>
          <w:rtl/>
        </w:rPr>
        <w:t>ّ</w:t>
      </w:r>
      <w:r w:rsidRPr="00822CE9">
        <w:rPr>
          <w:rFonts w:hint="cs"/>
          <w:rtl/>
        </w:rPr>
        <w:t xml:space="preserve">ه إن أمرهم أن يأخذوها أخذوها. فلما قرأ كتابهم رمى به، ثم قال: «ما أنا لهؤلاء بإمام، أما يعلمون أنّ صاحبهم </w:t>
      </w:r>
      <w:r w:rsidRPr="00822CE9">
        <w:rPr>
          <w:rFonts w:hint="cs"/>
          <w:rtl/>
        </w:rPr>
        <w:lastRenderedPageBreak/>
        <w:t>السفياني؟»</w:t>
      </w:r>
      <w:r w:rsidRPr="000A4159">
        <w:rPr>
          <w:rFonts w:cs="Taher"/>
          <w:vertAlign w:val="superscript"/>
          <w:rtl/>
        </w:rPr>
        <w:t>(</w:t>
      </w:r>
      <w:r w:rsidRPr="000A4159">
        <w:rPr>
          <w:rStyle w:val="FootnoteReference"/>
          <w:rFonts w:cs="Taher"/>
          <w:rtl/>
        </w:rPr>
        <w:footnoteReference w:id="430"/>
      </w:r>
      <w:r w:rsidRPr="000A4159">
        <w:rPr>
          <w:rFonts w:cs="Taher"/>
          <w:vertAlign w:val="superscript"/>
          <w:rtl/>
        </w:rPr>
        <w:t>)</w:t>
      </w:r>
      <w:r w:rsidRPr="00822CE9">
        <w:rPr>
          <w:rFonts w:hint="cs"/>
          <w:rtl/>
        </w:rPr>
        <w:t>.</w:t>
      </w:r>
    </w:p>
    <w:p w14:paraId="15D745FF" w14:textId="77777777" w:rsidR="000A4159" w:rsidRPr="00822CE9" w:rsidRDefault="000A4159" w:rsidP="00CF1E7F">
      <w:pPr>
        <w:rPr>
          <w:rtl/>
        </w:rPr>
      </w:pPr>
      <w:r w:rsidRPr="00822CE9">
        <w:rPr>
          <w:rFonts w:hint="cs"/>
          <w:rtl/>
        </w:rPr>
        <w:t xml:space="preserve">فهذه الرواية </w:t>
      </w:r>
      <w:r w:rsidR="007B63A1">
        <w:rPr>
          <w:rFonts w:hint="cs"/>
          <w:rtl/>
        </w:rPr>
        <w:t xml:space="preserve">تُقحم </w:t>
      </w:r>
      <w:r w:rsidRPr="00822CE9">
        <w:rPr>
          <w:rFonts w:hint="cs"/>
          <w:rtl/>
        </w:rPr>
        <w:t>السفياني في المسألة، ولا نفهم معنى لإقحامه هنا، سوى القول بأنّ تلك الحادثة التي سي</w:t>
      </w:r>
      <w:r w:rsidR="007B63A1">
        <w:rPr>
          <w:rFonts w:hint="cs"/>
          <w:rtl/>
        </w:rPr>
        <w:t>ُ</w:t>
      </w:r>
      <w:r w:rsidRPr="00822CE9">
        <w:rPr>
          <w:rFonts w:hint="cs"/>
          <w:rtl/>
        </w:rPr>
        <w:t>قتل فيها ه</w:t>
      </w:r>
      <w:r w:rsidR="007B63A1">
        <w:rPr>
          <w:rFonts w:hint="cs"/>
          <w:rtl/>
        </w:rPr>
        <w:t>و</w:t>
      </w:r>
      <w:r w:rsidRPr="00822CE9">
        <w:rPr>
          <w:rFonts w:hint="cs"/>
          <w:rtl/>
        </w:rPr>
        <w:t xml:space="preserve"> المعيار للخروج، وأن</w:t>
      </w:r>
      <w:r w:rsidR="007B63A1">
        <w:rPr>
          <w:rFonts w:hint="cs"/>
          <w:rtl/>
        </w:rPr>
        <w:t>ّ</w:t>
      </w:r>
      <w:r w:rsidRPr="00822CE9">
        <w:rPr>
          <w:rFonts w:hint="cs"/>
          <w:rtl/>
        </w:rPr>
        <w:t>ه لا معنى لمطالبته بالخروج، بل الإمام ـ أي المهدي</w:t>
      </w:r>
      <w:r w:rsidR="007B63A1">
        <w:rPr>
          <w:rFonts w:hint="cs"/>
          <w:rtl/>
        </w:rPr>
        <w:t>ّ</w:t>
      </w:r>
      <w:r w:rsidRPr="00822CE9">
        <w:rPr>
          <w:rFonts w:hint="cs"/>
          <w:rtl/>
        </w:rPr>
        <w:t xml:space="preserve"> ـ في ذلك هو قاتل السفياني، ولعلّ الرواية الثانية حصل فيها سقط أي إما علامتهم السفياني أو صاحبهم قاتل السفياني.</w:t>
      </w:r>
    </w:p>
    <w:p w14:paraId="7EA4F783" w14:textId="77777777" w:rsidR="000A4159" w:rsidRPr="00822CE9" w:rsidRDefault="000A4159" w:rsidP="00A079D6">
      <w:pPr>
        <w:spacing w:line="214" w:lineRule="auto"/>
        <w:rPr>
          <w:b/>
          <w:bCs/>
          <w:rtl/>
        </w:rPr>
      </w:pPr>
      <w:r w:rsidRPr="00822CE9">
        <w:rPr>
          <w:rFonts w:hint="cs"/>
          <w:b/>
          <w:bCs/>
          <w:rtl/>
        </w:rPr>
        <w:t>ويمكن أن يناقش الاستدلال بهذه الرواية:</w:t>
      </w:r>
    </w:p>
    <w:p w14:paraId="19B85F6B" w14:textId="77777777" w:rsidR="000A4159" w:rsidRPr="00822CE9" w:rsidRDefault="000A4159" w:rsidP="00CF1E7F">
      <w:pPr>
        <w:rPr>
          <w:rtl/>
        </w:rPr>
      </w:pPr>
      <w:r w:rsidRPr="00822CE9">
        <w:rPr>
          <w:rFonts w:hint="cs"/>
          <w:b/>
          <w:bCs/>
          <w:rtl/>
        </w:rPr>
        <w:t>أو</w:t>
      </w:r>
      <w:r w:rsidR="00927E41">
        <w:rPr>
          <w:rFonts w:hint="cs"/>
          <w:b/>
          <w:bCs/>
          <w:rtl/>
        </w:rPr>
        <w:t>ّ</w:t>
      </w:r>
      <w:r w:rsidRPr="00822CE9">
        <w:rPr>
          <w:rFonts w:hint="cs"/>
          <w:b/>
          <w:bCs/>
          <w:rtl/>
        </w:rPr>
        <w:t>لاً:</w:t>
      </w:r>
      <w:r w:rsidRPr="00822CE9">
        <w:rPr>
          <w:rFonts w:hint="cs"/>
          <w:rtl/>
        </w:rPr>
        <w:t xml:space="preserve"> إنّ سندها الأو</w:t>
      </w:r>
      <w:r w:rsidR="00927E41">
        <w:rPr>
          <w:rFonts w:hint="cs"/>
          <w:rtl/>
        </w:rPr>
        <w:t>ّ</w:t>
      </w:r>
      <w:r w:rsidRPr="00822CE9">
        <w:rPr>
          <w:rFonts w:hint="cs"/>
          <w:rtl/>
        </w:rPr>
        <w:t>ل ضعيف، لا أقلّ بعبيد الله بن أحمد الدهقان المجهول جداً</w:t>
      </w:r>
      <w:r w:rsidRPr="000A4159">
        <w:rPr>
          <w:rFonts w:cs="Taher"/>
          <w:vertAlign w:val="superscript"/>
          <w:rtl/>
        </w:rPr>
        <w:t>(</w:t>
      </w:r>
      <w:r w:rsidRPr="000A4159">
        <w:rPr>
          <w:rStyle w:val="FootnoteReference"/>
          <w:rFonts w:cs="Taher"/>
          <w:rtl/>
        </w:rPr>
        <w:footnoteReference w:id="431"/>
      </w:r>
      <w:r w:rsidRPr="000A4159">
        <w:rPr>
          <w:rFonts w:cs="Taher"/>
          <w:vertAlign w:val="superscript"/>
          <w:rtl/>
        </w:rPr>
        <w:t>)</w:t>
      </w:r>
      <w:r w:rsidRPr="00822CE9">
        <w:rPr>
          <w:rtl/>
        </w:rPr>
        <w:t xml:space="preserve">، </w:t>
      </w:r>
      <w:r w:rsidR="00783644">
        <w:rPr>
          <w:rFonts w:hint="cs"/>
          <w:rtl/>
        </w:rPr>
        <w:t xml:space="preserve">إلا إذا قيل بأنّه عبيد الله بن أحمد بن نهيك، </w:t>
      </w:r>
      <w:r w:rsidRPr="00822CE9">
        <w:rPr>
          <w:rFonts w:hint="cs"/>
          <w:rtl/>
        </w:rPr>
        <w:t>كما أنّ سندها الثاني ضعيف بجهالة عبد الحميد بن أبي الديلم حتى لو روى عنه ابن أبي عمير</w:t>
      </w:r>
      <w:r w:rsidRPr="000A4159">
        <w:rPr>
          <w:rFonts w:cs="Taher"/>
          <w:vertAlign w:val="superscript"/>
          <w:rtl/>
        </w:rPr>
        <w:t>(</w:t>
      </w:r>
      <w:r w:rsidRPr="000A4159">
        <w:rPr>
          <w:rStyle w:val="FootnoteReference"/>
          <w:rFonts w:cs="Taher"/>
          <w:rtl/>
        </w:rPr>
        <w:footnoteReference w:id="432"/>
      </w:r>
      <w:r w:rsidRPr="000A4159">
        <w:rPr>
          <w:rFonts w:cs="Taher"/>
          <w:vertAlign w:val="superscript"/>
          <w:rtl/>
        </w:rPr>
        <w:t>)</w:t>
      </w:r>
      <w:r w:rsidRPr="00822CE9">
        <w:rPr>
          <w:rFonts w:hint="cs"/>
          <w:rtl/>
        </w:rPr>
        <w:t>؛</w:t>
      </w:r>
      <w:r w:rsidRPr="00822CE9">
        <w:rPr>
          <w:rtl/>
        </w:rPr>
        <w:t xml:space="preserve"> </w:t>
      </w:r>
      <w:r w:rsidRPr="00822CE9">
        <w:rPr>
          <w:rFonts w:hint="cs"/>
          <w:rtl/>
        </w:rPr>
        <w:t>فإنّ روايته عنه بالواسطة لا بالمباشرة، وعليه فالرواية ضعيفة السند.</w:t>
      </w:r>
    </w:p>
    <w:p w14:paraId="5131450A" w14:textId="77777777" w:rsidR="000A4159" w:rsidRPr="00822CE9" w:rsidRDefault="000A4159" w:rsidP="00CF1E7F">
      <w:pPr>
        <w:rPr>
          <w:rtl/>
        </w:rPr>
      </w:pPr>
      <w:r w:rsidRPr="00822CE9">
        <w:rPr>
          <w:rFonts w:hint="cs"/>
          <w:b/>
          <w:bCs/>
          <w:rtl/>
        </w:rPr>
        <w:t>ثانياً:</w:t>
      </w:r>
      <w:r w:rsidRPr="00822CE9">
        <w:rPr>
          <w:rFonts w:hint="cs"/>
          <w:rtl/>
        </w:rPr>
        <w:t xml:space="preserve"> إنّ الرواية لا تقعّد لقانون عام، بل تفيد أنّ هؤلاء الذين أرسلوا هذه الكتب </w:t>
      </w:r>
      <w:r w:rsidR="00301F56">
        <w:rPr>
          <w:rFonts w:hint="cs"/>
          <w:rtl/>
        </w:rPr>
        <w:t xml:space="preserve">لا يؤمنون أنّني إمامٌ لهم كما يفهم من رواية الكشي، أو لا </w:t>
      </w:r>
      <w:r w:rsidRPr="00822CE9">
        <w:rPr>
          <w:rFonts w:hint="cs"/>
          <w:rtl/>
        </w:rPr>
        <w:t>يعرفون أنّ رايات أبي مسلم لا تعتبرني إماماً لها، وهذا ما أكّده التاريخ</w:t>
      </w:r>
      <w:r w:rsidR="00927E41">
        <w:rPr>
          <w:rFonts w:hint="cs"/>
          <w:rtl/>
        </w:rPr>
        <w:t>،</w:t>
      </w:r>
      <w:r w:rsidRPr="00822CE9">
        <w:rPr>
          <w:rFonts w:hint="cs"/>
          <w:rtl/>
        </w:rPr>
        <w:t xml:space="preserve"> حيث سلّم أبو مسلم الخراساني الحكم بعد قتل إبراهيم بن محم</w:t>
      </w:r>
      <w:r w:rsidR="00927E41">
        <w:rPr>
          <w:rFonts w:hint="cs"/>
          <w:rtl/>
        </w:rPr>
        <w:t>ّ</w:t>
      </w:r>
      <w:r w:rsidRPr="00822CE9">
        <w:rPr>
          <w:rFonts w:hint="cs"/>
          <w:rtl/>
        </w:rPr>
        <w:t>د العباس إلى أخيه عبد الله السفاح، وبمعونته انتصر السفاح في معركته على مروان الحمار، فأراد الإمام</w:t>
      </w:r>
      <w:r w:rsidR="00927E41">
        <w:rPr>
          <w:rFonts w:hint="cs"/>
          <w:rtl/>
        </w:rPr>
        <w:t>×</w:t>
      </w:r>
      <w:r w:rsidRPr="00822CE9">
        <w:rPr>
          <w:rFonts w:hint="cs"/>
          <w:rtl/>
        </w:rPr>
        <w:t xml:space="preserve"> تأكيد عدم اعتبارهم له إماماً حتى يخرج، فالحكم خاصّ بمثل هذه الظروف</w:t>
      </w:r>
      <w:r w:rsidR="00927E41">
        <w:rPr>
          <w:rFonts w:hint="cs"/>
          <w:rtl/>
        </w:rPr>
        <w:t xml:space="preserve"> وليس</w:t>
      </w:r>
      <w:r w:rsidRPr="00822CE9">
        <w:rPr>
          <w:rFonts w:hint="cs"/>
          <w:rtl/>
        </w:rPr>
        <w:t xml:space="preserve"> عام</w:t>
      </w:r>
      <w:r w:rsidR="00927E41">
        <w:rPr>
          <w:rFonts w:hint="cs"/>
          <w:rtl/>
        </w:rPr>
        <w:t>ّاً</w:t>
      </w:r>
      <w:r w:rsidRPr="000A4159">
        <w:rPr>
          <w:rFonts w:cs="Taher"/>
          <w:vertAlign w:val="superscript"/>
          <w:rtl/>
        </w:rPr>
        <w:t>(</w:t>
      </w:r>
      <w:r w:rsidRPr="000A4159">
        <w:rPr>
          <w:rStyle w:val="FootnoteReference"/>
          <w:rFonts w:cs="Taher"/>
          <w:rtl/>
        </w:rPr>
        <w:footnoteReference w:id="433"/>
      </w:r>
      <w:r w:rsidRPr="000A4159">
        <w:rPr>
          <w:rFonts w:cs="Taher"/>
          <w:vertAlign w:val="superscript"/>
          <w:rtl/>
        </w:rPr>
        <w:t>)</w:t>
      </w:r>
      <w:r w:rsidRPr="00822CE9">
        <w:rPr>
          <w:rFonts w:hint="cs"/>
          <w:rtl/>
        </w:rPr>
        <w:t>.</w:t>
      </w:r>
    </w:p>
    <w:p w14:paraId="6A32812C" w14:textId="77777777" w:rsidR="000A4159" w:rsidRPr="00822CE9" w:rsidRDefault="000A4159" w:rsidP="00CF1E7F">
      <w:pPr>
        <w:rPr>
          <w:rtl/>
        </w:rPr>
      </w:pPr>
      <w:r w:rsidRPr="00822CE9">
        <w:rPr>
          <w:rFonts w:hint="cs"/>
          <w:b/>
          <w:bCs/>
          <w:rtl/>
        </w:rPr>
        <w:t>لكنّ هذا الجواب غير كامل؛</w:t>
      </w:r>
      <w:r w:rsidRPr="00822CE9">
        <w:rPr>
          <w:rFonts w:hint="cs"/>
          <w:rtl/>
        </w:rPr>
        <w:t xml:space="preserve"> فإنّ جملة «ما أنا لهؤلاء بإمام» لا يراد منها أن</w:t>
      </w:r>
      <w:r w:rsidR="00927E41">
        <w:rPr>
          <w:rFonts w:hint="cs"/>
          <w:rtl/>
        </w:rPr>
        <w:t>ّ</w:t>
      </w:r>
      <w:r w:rsidRPr="00822CE9">
        <w:rPr>
          <w:rFonts w:hint="cs"/>
          <w:rtl/>
        </w:rPr>
        <w:t>هم لا يعتبرونه إماماً ـ حتى لو كان هذا هو الصحيح واقعاً ـ بل يراد بها أنّه ليس بإمام</w:t>
      </w:r>
      <w:r w:rsidR="00927E41">
        <w:rPr>
          <w:rFonts w:hint="cs"/>
          <w:rtl/>
        </w:rPr>
        <w:t>ٍ</w:t>
      </w:r>
      <w:r w:rsidRPr="00822CE9">
        <w:rPr>
          <w:rFonts w:hint="cs"/>
          <w:rtl/>
        </w:rPr>
        <w:t xml:space="preserve"> لهم يخرج بالسيف ويقود حركاتهم العسكري</w:t>
      </w:r>
      <w:r w:rsidR="00927E41">
        <w:rPr>
          <w:rFonts w:hint="cs"/>
          <w:rtl/>
        </w:rPr>
        <w:t>ّ</w:t>
      </w:r>
      <w:r w:rsidRPr="00822CE9">
        <w:rPr>
          <w:rFonts w:hint="cs"/>
          <w:rtl/>
        </w:rPr>
        <w:t>ة، فالنفي من طرفه لا من طرفهم، وشاهد</w:t>
      </w:r>
      <w:r w:rsidR="00927E41">
        <w:rPr>
          <w:rFonts w:hint="cs"/>
          <w:rtl/>
        </w:rPr>
        <w:t>ُ</w:t>
      </w:r>
      <w:r w:rsidRPr="00822CE9">
        <w:rPr>
          <w:rFonts w:hint="cs"/>
          <w:rtl/>
        </w:rPr>
        <w:t xml:space="preserve"> هذا الأمر هو الاستفهام اللاحق لهذه الجملة والذي جاء ليبرّرها: «أما يعلمون..»، وذلك أنّه يفيد أنّ الخروج مربوط</w:t>
      </w:r>
      <w:r w:rsidR="00927E41">
        <w:rPr>
          <w:rFonts w:hint="cs"/>
          <w:rtl/>
        </w:rPr>
        <w:t>ٌ</w:t>
      </w:r>
      <w:r w:rsidRPr="00822CE9">
        <w:rPr>
          <w:rFonts w:hint="cs"/>
          <w:rtl/>
        </w:rPr>
        <w:t xml:space="preserve"> بالسفياني وظهوره، وأنّ الإمام هو من يقتل السفياني </w:t>
      </w:r>
      <w:r w:rsidR="00927E41">
        <w:rPr>
          <w:rFonts w:hint="cs"/>
          <w:rtl/>
        </w:rPr>
        <w:t xml:space="preserve">وليس </w:t>
      </w:r>
      <w:r w:rsidRPr="00822CE9">
        <w:rPr>
          <w:rFonts w:hint="cs"/>
          <w:rtl/>
        </w:rPr>
        <w:t>أنا، وأنّ صاحبهم هو من يقتل السفياني</w:t>
      </w:r>
      <w:r w:rsidR="00927E41">
        <w:rPr>
          <w:rFonts w:hint="cs"/>
          <w:rtl/>
        </w:rPr>
        <w:t>،</w:t>
      </w:r>
      <w:r w:rsidRPr="00822CE9">
        <w:rPr>
          <w:rFonts w:hint="cs"/>
          <w:rtl/>
        </w:rPr>
        <w:t xml:space="preserve"> </w:t>
      </w:r>
      <w:r w:rsidRPr="00822CE9">
        <w:rPr>
          <w:rFonts w:hint="cs"/>
          <w:rtl/>
        </w:rPr>
        <w:lastRenderedPageBreak/>
        <w:t xml:space="preserve">وليس </w:t>
      </w:r>
      <w:r w:rsidR="00927E41">
        <w:rPr>
          <w:rFonts w:hint="cs"/>
          <w:rtl/>
        </w:rPr>
        <w:t xml:space="preserve">جعفر </w:t>
      </w:r>
      <w:r w:rsidRPr="00822CE9">
        <w:rPr>
          <w:rFonts w:hint="cs"/>
          <w:rtl/>
        </w:rPr>
        <w:t>الصادق، وإلا فما هو الربط بين النفي وبين الجملة الأخيرة؟! وهذا ما يؤكّد أنّ الإمام الصادق يربط الخروج بقضي</w:t>
      </w:r>
      <w:r w:rsidR="00927E41">
        <w:rPr>
          <w:rFonts w:hint="cs"/>
          <w:rtl/>
        </w:rPr>
        <w:t>ّ</w:t>
      </w:r>
      <w:r w:rsidRPr="00822CE9">
        <w:rPr>
          <w:rFonts w:hint="cs"/>
          <w:rtl/>
        </w:rPr>
        <w:t>ة السفياني، فتكون دلالة الرواية جي</w:t>
      </w:r>
      <w:r w:rsidR="00927E41">
        <w:rPr>
          <w:rFonts w:hint="cs"/>
          <w:rtl/>
        </w:rPr>
        <w:t>ّ</w:t>
      </w:r>
      <w:r w:rsidRPr="00822CE9">
        <w:rPr>
          <w:rFonts w:hint="cs"/>
          <w:rtl/>
        </w:rPr>
        <w:t>دة.</w:t>
      </w:r>
    </w:p>
    <w:p w14:paraId="2E926E72" w14:textId="77777777" w:rsidR="000A4159" w:rsidRPr="00822CE9" w:rsidRDefault="000A4159" w:rsidP="000E5D3D">
      <w:pPr>
        <w:spacing w:line="214" w:lineRule="auto"/>
        <w:rPr>
          <w:rtl/>
        </w:rPr>
      </w:pPr>
      <w:r w:rsidRPr="00822CE9">
        <w:rPr>
          <w:rFonts w:hint="cs"/>
          <w:b/>
          <w:bCs/>
          <w:rtl/>
        </w:rPr>
        <w:t>ثالثاً:</w:t>
      </w:r>
      <w:r w:rsidRPr="00822CE9">
        <w:rPr>
          <w:rFonts w:hint="cs"/>
          <w:rtl/>
        </w:rPr>
        <w:t xml:space="preserve"> يمكن المناقشة في الحديث بأنّه خاص</w:t>
      </w:r>
      <w:r w:rsidR="009A4817">
        <w:rPr>
          <w:rFonts w:hint="cs"/>
          <w:rtl/>
        </w:rPr>
        <w:t>ّ</w:t>
      </w:r>
      <w:r w:rsidRPr="00822CE9">
        <w:rPr>
          <w:rFonts w:hint="cs"/>
          <w:rtl/>
        </w:rPr>
        <w:t xml:space="preserve"> بالمعصومين، فكأنّ الحديث يريد أن ينفي خروج أحد من أهل البيت غير الإمام المهدي</w:t>
      </w:r>
      <w:r w:rsidR="009A4817">
        <w:rPr>
          <w:rFonts w:hint="cs"/>
          <w:rtl/>
        </w:rPr>
        <w:t>ّ</w:t>
      </w:r>
      <w:r w:rsidRPr="00822CE9">
        <w:rPr>
          <w:rFonts w:hint="cs"/>
          <w:rtl/>
        </w:rPr>
        <w:t xml:space="preserve">، وكأنّ هناك تصوّراً كان موجوداً في عصر الصادق ومن بعده، وهو أنّ هذا الإمام الحيّ في زمانهم </w:t>
      </w:r>
      <w:r w:rsidR="000E5D3D">
        <w:rPr>
          <w:rFonts w:hint="cs"/>
          <w:rtl/>
        </w:rPr>
        <w:t xml:space="preserve">يمكن أن ينطبق عليه عنوان </w:t>
      </w:r>
      <w:r w:rsidRPr="00822CE9">
        <w:rPr>
          <w:rFonts w:hint="cs"/>
          <w:rtl/>
        </w:rPr>
        <w:t>المهدي</w:t>
      </w:r>
      <w:r w:rsidR="000E5D3D">
        <w:rPr>
          <w:rFonts w:hint="cs"/>
          <w:rtl/>
        </w:rPr>
        <w:t>ّ أو القائم</w:t>
      </w:r>
      <w:r w:rsidRPr="00822CE9">
        <w:rPr>
          <w:rFonts w:hint="cs"/>
          <w:rtl/>
        </w:rPr>
        <w:t>، فأراد الإمام هنا أن ينفي مثل هذه التصوّرات، وأن يربط الخروج المهدوي</w:t>
      </w:r>
      <w:r w:rsidR="009A4817">
        <w:rPr>
          <w:rFonts w:hint="cs"/>
          <w:rtl/>
        </w:rPr>
        <w:t>َّ</w:t>
      </w:r>
      <w:r w:rsidRPr="00822CE9">
        <w:rPr>
          <w:rFonts w:hint="cs"/>
          <w:rtl/>
        </w:rPr>
        <w:t xml:space="preserve"> بالسفياني، لا أنّه يريد أن يربط أصل الخروج على السلطة مطلقاً بالسفياني، فإذا قوي هذا الاحتمال صارت الرواية أجنبيّة عن بحثنا، ولم يعد يمكن الاستناد إليها ولو من حيث تحقّق الإجمال فيها، وهذا غير بعض الروايات السابقة التي تربط خروج الناس بالسفياني لا خروج أحد</w:t>
      </w:r>
      <w:r w:rsidR="009A4817">
        <w:rPr>
          <w:rFonts w:hint="cs"/>
          <w:rtl/>
        </w:rPr>
        <w:t>ٍ</w:t>
      </w:r>
      <w:r w:rsidRPr="00822CE9">
        <w:rPr>
          <w:rFonts w:hint="cs"/>
          <w:rtl/>
        </w:rPr>
        <w:t xml:space="preserve"> </w:t>
      </w:r>
      <w:r w:rsidR="009A4817">
        <w:rPr>
          <w:rFonts w:hint="cs"/>
          <w:rtl/>
        </w:rPr>
        <w:t xml:space="preserve">من </w:t>
      </w:r>
      <w:r w:rsidRPr="00822CE9">
        <w:rPr>
          <w:rFonts w:hint="cs"/>
          <w:rtl/>
        </w:rPr>
        <w:t>أهل البيت به</w:t>
      </w:r>
      <w:r w:rsidR="009A4817">
        <w:rPr>
          <w:rFonts w:hint="cs"/>
          <w:rtl/>
        </w:rPr>
        <w:t>،</w:t>
      </w:r>
      <w:r w:rsidRPr="00822CE9">
        <w:rPr>
          <w:rFonts w:hint="cs"/>
          <w:rtl/>
        </w:rPr>
        <w:t xml:space="preserve"> فلاحظ.</w:t>
      </w:r>
    </w:p>
    <w:p w14:paraId="42A3CFC0" w14:textId="77777777" w:rsidR="000A4159" w:rsidRPr="00822CE9" w:rsidRDefault="009A4817" w:rsidP="006A1753">
      <w:pPr>
        <w:spacing w:line="214" w:lineRule="auto"/>
        <w:rPr>
          <w:rtl/>
        </w:rPr>
      </w:pPr>
      <w:r>
        <w:rPr>
          <w:rFonts w:hint="cs"/>
          <w:b/>
          <w:bCs/>
          <w:rtl/>
        </w:rPr>
        <w:t xml:space="preserve">الرواية العاشرة: </w:t>
      </w:r>
      <w:r w:rsidR="000A4159" w:rsidRPr="00822CE9">
        <w:rPr>
          <w:rFonts w:hint="cs"/>
          <w:b/>
          <w:bCs/>
          <w:rtl/>
        </w:rPr>
        <w:t>خبر حماد بن عمرو وأنس بن محمد، عن أبيه،</w:t>
      </w:r>
      <w:r w:rsidR="000A4159" w:rsidRPr="00822CE9">
        <w:rPr>
          <w:rFonts w:hint="cs"/>
          <w:rtl/>
        </w:rPr>
        <w:t xml:space="preserve"> عن جعفر بن محمد، عن آبائه ـ في وصية النبي</w:t>
      </w:r>
      <w:r w:rsidR="006A1753">
        <w:rPr>
          <w:rFonts w:hint="cs"/>
          <w:rtl/>
        </w:rPr>
        <w:t>ّ‘</w:t>
      </w:r>
      <w:r w:rsidR="000A4159" w:rsidRPr="00822CE9">
        <w:rPr>
          <w:rFonts w:hint="cs"/>
          <w:rtl/>
        </w:rPr>
        <w:t xml:space="preserve"> لعليّ ـ قال: «.. يا علي</w:t>
      </w:r>
      <w:r>
        <w:rPr>
          <w:rFonts w:hint="cs"/>
          <w:rtl/>
        </w:rPr>
        <w:t>ّ</w:t>
      </w:r>
      <w:r w:rsidR="000A4159" w:rsidRPr="00822CE9">
        <w:rPr>
          <w:rFonts w:hint="cs"/>
          <w:rtl/>
        </w:rPr>
        <w:t>، إنّ إزالة الجبال الرواسي أهون من إزالة م</w:t>
      </w:r>
      <w:r>
        <w:rPr>
          <w:rFonts w:hint="cs"/>
          <w:rtl/>
        </w:rPr>
        <w:t>ُ</w:t>
      </w:r>
      <w:r w:rsidR="000A4159" w:rsidRPr="00822CE9">
        <w:rPr>
          <w:rFonts w:hint="cs"/>
          <w:rtl/>
        </w:rPr>
        <w:t>لك لم تنقض أيّامه..»</w:t>
      </w:r>
      <w:r w:rsidR="000A4159" w:rsidRPr="000A4159">
        <w:rPr>
          <w:rFonts w:cs="Taher"/>
          <w:vertAlign w:val="superscript"/>
          <w:rtl/>
        </w:rPr>
        <w:t>(</w:t>
      </w:r>
      <w:r w:rsidR="000A4159" w:rsidRPr="000A4159">
        <w:rPr>
          <w:rStyle w:val="FootnoteReference"/>
          <w:rFonts w:cs="Taher"/>
          <w:rtl/>
        </w:rPr>
        <w:footnoteReference w:id="434"/>
      </w:r>
      <w:r w:rsidR="000A4159" w:rsidRPr="000A4159">
        <w:rPr>
          <w:rFonts w:cs="Taher"/>
          <w:vertAlign w:val="superscript"/>
          <w:rtl/>
        </w:rPr>
        <w:t>)</w:t>
      </w:r>
      <w:r w:rsidR="000A4159" w:rsidRPr="00822CE9">
        <w:rPr>
          <w:rFonts w:hint="cs"/>
          <w:rtl/>
        </w:rPr>
        <w:t>.</w:t>
      </w:r>
    </w:p>
    <w:p w14:paraId="2165C567" w14:textId="77777777" w:rsidR="000A4159" w:rsidRPr="00822CE9" w:rsidRDefault="000A4159" w:rsidP="00A079D6">
      <w:pPr>
        <w:spacing w:line="214" w:lineRule="auto"/>
        <w:rPr>
          <w:b/>
          <w:bCs/>
          <w:rtl/>
        </w:rPr>
      </w:pPr>
      <w:r w:rsidRPr="00822CE9">
        <w:rPr>
          <w:rFonts w:hint="cs"/>
          <w:b/>
          <w:bCs/>
          <w:rtl/>
        </w:rPr>
        <w:t>لكنّ هذه الرواية:</w:t>
      </w:r>
    </w:p>
    <w:p w14:paraId="5852D34A" w14:textId="77777777" w:rsidR="000A4159" w:rsidRPr="00822CE9" w:rsidRDefault="000A4159" w:rsidP="00CF1E7F">
      <w:pPr>
        <w:pStyle w:val="normal930"/>
        <w:rPr>
          <w:rtl/>
        </w:rPr>
      </w:pPr>
      <w:r w:rsidRPr="00822CE9">
        <w:rPr>
          <w:rFonts w:hint="cs"/>
          <w:b/>
          <w:bCs/>
          <w:rtl/>
        </w:rPr>
        <w:t>أو</w:t>
      </w:r>
      <w:r w:rsidR="009A4817">
        <w:rPr>
          <w:rFonts w:hint="cs"/>
          <w:b/>
          <w:bCs/>
          <w:rtl/>
        </w:rPr>
        <w:t>ّ</w:t>
      </w:r>
      <w:r w:rsidRPr="00822CE9">
        <w:rPr>
          <w:rFonts w:hint="cs"/>
          <w:b/>
          <w:bCs/>
          <w:rtl/>
        </w:rPr>
        <w:t>لاً:</w:t>
      </w:r>
      <w:r w:rsidRPr="00822CE9">
        <w:rPr>
          <w:rFonts w:hint="cs"/>
          <w:rtl/>
        </w:rPr>
        <w:t xml:space="preserve"> لا دلالة لها</w:t>
      </w:r>
      <w:r w:rsidR="009A4817">
        <w:rPr>
          <w:rFonts w:hint="cs"/>
          <w:rtl/>
        </w:rPr>
        <w:t xml:space="preserve"> على شيءٍ هنا</w:t>
      </w:r>
      <w:r w:rsidRPr="00822CE9">
        <w:rPr>
          <w:rFonts w:hint="cs"/>
          <w:rtl/>
        </w:rPr>
        <w:t>؛ فهي عام</w:t>
      </w:r>
      <w:r w:rsidR="009A4817">
        <w:rPr>
          <w:rFonts w:hint="cs"/>
          <w:rtl/>
        </w:rPr>
        <w:t>ّ</w:t>
      </w:r>
      <w:r w:rsidRPr="00822CE9">
        <w:rPr>
          <w:rFonts w:hint="cs"/>
          <w:rtl/>
        </w:rPr>
        <w:t>ة، كما أنها لا تحدّد شيئاً، فمن الممكن أن تكون الكثير من الثورات ذات توقيت ممتاز، حيث وصل سلطان دولةٍ ما إلى نهايته، والحكمة التي في الرواية جيّدة.</w:t>
      </w:r>
    </w:p>
    <w:p w14:paraId="7C8093AC" w14:textId="77777777" w:rsidR="000A4159" w:rsidRPr="00822CE9" w:rsidRDefault="000A4159" w:rsidP="00783644">
      <w:pPr>
        <w:spacing w:line="214" w:lineRule="auto"/>
        <w:rPr>
          <w:rtl/>
        </w:rPr>
      </w:pPr>
      <w:r w:rsidRPr="00822CE9">
        <w:rPr>
          <w:rFonts w:hint="cs"/>
          <w:b/>
          <w:bCs/>
          <w:rtl/>
        </w:rPr>
        <w:t>ثانياً:</w:t>
      </w:r>
      <w:r w:rsidRPr="00822CE9">
        <w:rPr>
          <w:rFonts w:hint="cs"/>
          <w:rtl/>
        </w:rPr>
        <w:t xml:space="preserve"> إنّها ضعيفة السند بحماد بن عمرو</w:t>
      </w:r>
      <w:r w:rsidRPr="00822CE9">
        <w:rPr>
          <w:rtl/>
        </w:rPr>
        <w:t xml:space="preserve"> </w:t>
      </w:r>
      <w:r w:rsidRPr="00822CE9">
        <w:rPr>
          <w:rFonts w:hint="cs"/>
          <w:rtl/>
        </w:rPr>
        <w:t>وأنس بن محمد</w:t>
      </w:r>
      <w:r w:rsidR="009A4817" w:rsidRPr="000A4159">
        <w:rPr>
          <w:rFonts w:cs="Taher"/>
          <w:vertAlign w:val="superscript"/>
          <w:rtl/>
        </w:rPr>
        <w:t>(</w:t>
      </w:r>
      <w:r w:rsidR="009A4817" w:rsidRPr="000A4159">
        <w:rPr>
          <w:rStyle w:val="FootnoteReference"/>
          <w:rFonts w:cs="Taher"/>
          <w:rtl/>
        </w:rPr>
        <w:footnoteReference w:id="435"/>
      </w:r>
      <w:r w:rsidR="009A4817" w:rsidRPr="000A4159">
        <w:rPr>
          <w:rFonts w:cs="Taher"/>
          <w:vertAlign w:val="superscript"/>
          <w:rtl/>
        </w:rPr>
        <w:t>)</w:t>
      </w:r>
      <w:r w:rsidRPr="00822CE9">
        <w:rPr>
          <w:rtl/>
        </w:rPr>
        <w:t xml:space="preserve"> </w:t>
      </w:r>
      <w:r w:rsidRPr="00822CE9">
        <w:rPr>
          <w:rFonts w:hint="cs"/>
          <w:rtl/>
        </w:rPr>
        <w:t>معاً، بل غيرهما أيضاً.</w:t>
      </w:r>
    </w:p>
    <w:p w14:paraId="6BAE2CDC" w14:textId="77777777" w:rsidR="000A4159" w:rsidRPr="00822CE9" w:rsidRDefault="009A4817" w:rsidP="009A4817">
      <w:pPr>
        <w:spacing w:line="214" w:lineRule="auto"/>
        <w:rPr>
          <w:rtl/>
        </w:rPr>
      </w:pPr>
      <w:r>
        <w:rPr>
          <w:rFonts w:hint="cs"/>
          <w:b/>
          <w:bCs/>
          <w:rtl/>
        </w:rPr>
        <w:t xml:space="preserve">الرواية الحادية عشرة: </w:t>
      </w:r>
      <w:r w:rsidR="000A4159" w:rsidRPr="00822CE9">
        <w:rPr>
          <w:rFonts w:hint="cs"/>
          <w:b/>
          <w:bCs/>
          <w:rtl/>
        </w:rPr>
        <w:t>خبر ابن أبي عبدون</w:t>
      </w:r>
      <w:r>
        <w:rPr>
          <w:rFonts w:hint="cs"/>
          <w:b/>
          <w:bCs/>
          <w:rtl/>
        </w:rPr>
        <w:t>،</w:t>
      </w:r>
      <w:r w:rsidR="000A4159" w:rsidRPr="00822CE9">
        <w:rPr>
          <w:rFonts w:hint="cs"/>
          <w:b/>
          <w:bCs/>
          <w:rtl/>
        </w:rPr>
        <w:t xml:space="preserve"> عن أبيه،</w:t>
      </w:r>
      <w:r w:rsidR="000A4159" w:rsidRPr="00822CE9">
        <w:rPr>
          <w:rFonts w:hint="cs"/>
          <w:rtl/>
        </w:rPr>
        <w:t xml:space="preserve"> عن الرضا</w:t>
      </w:r>
      <w:r>
        <w:rPr>
          <w:rFonts w:hint="cs"/>
          <w:rtl/>
        </w:rPr>
        <w:t>×</w:t>
      </w:r>
      <w:r w:rsidR="000A4159" w:rsidRPr="00822CE9">
        <w:rPr>
          <w:rFonts w:hint="cs"/>
          <w:rtl/>
        </w:rPr>
        <w:t xml:space="preserve"> ـ في حديث ـ أن</w:t>
      </w:r>
      <w:r>
        <w:rPr>
          <w:rFonts w:hint="cs"/>
          <w:rtl/>
        </w:rPr>
        <w:t>ّ</w:t>
      </w:r>
      <w:r w:rsidR="000A4159" w:rsidRPr="00822CE9">
        <w:rPr>
          <w:rFonts w:hint="cs"/>
          <w:rtl/>
        </w:rPr>
        <w:t>ه قال للمأمون: «يا أمير المؤمنين، لا تقس أخي زيداً إلى زيد بن علي، فإن</w:t>
      </w:r>
      <w:r>
        <w:rPr>
          <w:rFonts w:hint="cs"/>
          <w:rtl/>
        </w:rPr>
        <w:t>ّ</w:t>
      </w:r>
      <w:r w:rsidR="000A4159" w:rsidRPr="00822CE9">
        <w:rPr>
          <w:rFonts w:hint="cs"/>
          <w:rtl/>
        </w:rPr>
        <w:t>ه كان من علماء آل محم</w:t>
      </w:r>
      <w:r>
        <w:rPr>
          <w:rFonts w:hint="cs"/>
          <w:rtl/>
        </w:rPr>
        <w:t>ّ</w:t>
      </w:r>
      <w:r w:rsidR="000A4159" w:rsidRPr="00822CE9">
        <w:rPr>
          <w:rFonts w:hint="cs"/>
          <w:rtl/>
        </w:rPr>
        <w:t>د</w:t>
      </w:r>
      <w:r>
        <w:rPr>
          <w:rFonts w:hint="cs"/>
          <w:rtl/>
        </w:rPr>
        <w:t>×</w:t>
      </w:r>
      <w:r w:rsidR="000A4159" w:rsidRPr="00822CE9">
        <w:rPr>
          <w:rFonts w:hint="cs"/>
          <w:rtl/>
        </w:rPr>
        <w:t>.. إنّ زيد بن علي لم يدّع ما ليس له بحقّ، وإن</w:t>
      </w:r>
      <w:r>
        <w:rPr>
          <w:rFonts w:hint="cs"/>
          <w:rtl/>
        </w:rPr>
        <w:t>ّ</w:t>
      </w:r>
      <w:r w:rsidR="000A4159" w:rsidRPr="00822CE9">
        <w:rPr>
          <w:rFonts w:hint="cs"/>
          <w:rtl/>
        </w:rPr>
        <w:t>ه كان أتقى لله من ذلك..»</w:t>
      </w:r>
      <w:r w:rsidR="000A4159" w:rsidRPr="000A4159">
        <w:rPr>
          <w:rFonts w:cs="Taher"/>
          <w:vertAlign w:val="superscript"/>
          <w:rtl/>
        </w:rPr>
        <w:t>(</w:t>
      </w:r>
      <w:r w:rsidR="000A4159" w:rsidRPr="000A4159">
        <w:rPr>
          <w:rStyle w:val="FootnoteReference"/>
          <w:rFonts w:cs="Taher"/>
          <w:rtl/>
        </w:rPr>
        <w:footnoteReference w:id="436"/>
      </w:r>
      <w:r w:rsidR="000A4159" w:rsidRPr="000A4159">
        <w:rPr>
          <w:rFonts w:cs="Taher"/>
          <w:vertAlign w:val="superscript"/>
          <w:rtl/>
        </w:rPr>
        <w:t>)</w:t>
      </w:r>
      <w:r w:rsidR="000A4159" w:rsidRPr="00822CE9">
        <w:rPr>
          <w:rFonts w:hint="cs"/>
          <w:rtl/>
        </w:rPr>
        <w:t>.</w:t>
      </w:r>
    </w:p>
    <w:p w14:paraId="13FBEC09" w14:textId="77777777" w:rsidR="000A4159" w:rsidRPr="00822CE9" w:rsidRDefault="000A4159" w:rsidP="00CF1E7F">
      <w:pPr>
        <w:pStyle w:val="normal930"/>
        <w:rPr>
          <w:rtl/>
        </w:rPr>
      </w:pPr>
      <w:r w:rsidRPr="00822CE9">
        <w:rPr>
          <w:rFonts w:hint="cs"/>
          <w:rtl/>
        </w:rPr>
        <w:lastRenderedPageBreak/>
        <w:t>لكنّ هذه الرواية، مضافاً إلى ضعفها السندي بمحم</w:t>
      </w:r>
      <w:r w:rsidR="009A4817">
        <w:rPr>
          <w:rFonts w:hint="cs"/>
          <w:rtl/>
        </w:rPr>
        <w:t>ّ</w:t>
      </w:r>
      <w:r w:rsidRPr="00822CE9">
        <w:rPr>
          <w:rFonts w:hint="cs"/>
          <w:rtl/>
        </w:rPr>
        <w:t>د بن يحيى الصولي</w:t>
      </w:r>
      <w:r w:rsidRPr="00822CE9">
        <w:rPr>
          <w:rtl/>
        </w:rPr>
        <w:t xml:space="preserve"> </w:t>
      </w:r>
      <w:r w:rsidRPr="00822CE9">
        <w:rPr>
          <w:rFonts w:hint="cs"/>
          <w:rtl/>
        </w:rPr>
        <w:t>على الأقل</w:t>
      </w:r>
      <w:r w:rsidR="009A4817">
        <w:rPr>
          <w:rFonts w:hint="cs"/>
          <w:rtl/>
        </w:rPr>
        <w:t>ّ</w:t>
      </w:r>
      <w:r w:rsidRPr="00822CE9">
        <w:rPr>
          <w:rFonts w:hint="cs"/>
          <w:rtl/>
        </w:rPr>
        <w:t xml:space="preserve">، </w:t>
      </w:r>
      <w:r w:rsidR="001D5543">
        <w:rPr>
          <w:rFonts w:hint="cs"/>
          <w:rtl/>
        </w:rPr>
        <w:t xml:space="preserve">وقد تعرّضنا له سابقاً، </w:t>
      </w:r>
      <w:r w:rsidRPr="00822CE9">
        <w:rPr>
          <w:rFonts w:hint="cs"/>
          <w:rtl/>
        </w:rPr>
        <w:t>لا تدلّ على تحريم مطلق الثورة، بل الواضح فيها أنّ الثورة إذا كانت لتسليم الأمر إلى أهله، كما فعل زيد، تكون ممدوحةً، فهي دليل على جواز الثورة لا على عدم جوازها، بشرط صدق مبادئها وصوابها.</w:t>
      </w:r>
    </w:p>
    <w:p w14:paraId="429ACF57" w14:textId="77777777" w:rsidR="000A4159" w:rsidRPr="00822CE9" w:rsidRDefault="009A4817" w:rsidP="00CF1E7F">
      <w:pPr>
        <w:pStyle w:val="normal930"/>
        <w:rPr>
          <w:rtl/>
        </w:rPr>
      </w:pPr>
      <w:r>
        <w:rPr>
          <w:rFonts w:hint="cs"/>
          <w:b/>
          <w:bCs/>
          <w:rtl/>
        </w:rPr>
        <w:t xml:space="preserve">الرواية الثانية عشرة: </w:t>
      </w:r>
      <w:r w:rsidR="000A4159" w:rsidRPr="00822CE9">
        <w:rPr>
          <w:rFonts w:hint="cs"/>
          <w:b/>
          <w:bCs/>
          <w:rtl/>
        </w:rPr>
        <w:t>مرسل أبي عبد الله السي</w:t>
      </w:r>
      <w:r>
        <w:rPr>
          <w:rFonts w:hint="cs"/>
          <w:b/>
          <w:bCs/>
          <w:rtl/>
        </w:rPr>
        <w:t>ّ</w:t>
      </w:r>
      <w:r w:rsidR="000A4159" w:rsidRPr="00822CE9">
        <w:rPr>
          <w:rFonts w:hint="cs"/>
          <w:b/>
          <w:bCs/>
          <w:rtl/>
        </w:rPr>
        <w:t xml:space="preserve">اري، </w:t>
      </w:r>
      <w:r w:rsidR="000A4159" w:rsidRPr="00822CE9">
        <w:rPr>
          <w:rFonts w:hint="cs"/>
          <w:rtl/>
        </w:rPr>
        <w:t>قال: ذكر بين يدي أبي عبد الله</w:t>
      </w:r>
      <w:r>
        <w:rPr>
          <w:rFonts w:hint="cs"/>
          <w:rtl/>
        </w:rPr>
        <w:t>×</w:t>
      </w:r>
      <w:r w:rsidR="000A4159" w:rsidRPr="00822CE9">
        <w:rPr>
          <w:rFonts w:hint="cs"/>
          <w:rtl/>
        </w:rPr>
        <w:t xml:space="preserve"> من خرج من آل محمد</w:t>
      </w:r>
      <w:r>
        <w:rPr>
          <w:rFonts w:hint="cs"/>
          <w:rtl/>
        </w:rPr>
        <w:t>‘</w:t>
      </w:r>
      <w:r w:rsidR="000A4159" w:rsidRPr="00822CE9">
        <w:rPr>
          <w:rFonts w:hint="cs"/>
          <w:rtl/>
        </w:rPr>
        <w:t>، فقال: «لا أزال (زال) أنا وشيعتي بخير ما خرج الخارجي</w:t>
      </w:r>
      <w:r>
        <w:rPr>
          <w:rFonts w:hint="cs"/>
          <w:rtl/>
        </w:rPr>
        <w:t>ّ</w:t>
      </w:r>
      <w:r w:rsidR="000A4159" w:rsidRPr="00822CE9">
        <w:rPr>
          <w:rFonts w:hint="cs"/>
          <w:rtl/>
        </w:rPr>
        <w:t xml:space="preserve"> من آل محمد، ولوددت أنّ الخارجي من آل محمد خرج وعليّ نفقة عياله»</w:t>
      </w:r>
      <w:r w:rsidR="000A4159" w:rsidRPr="000A4159">
        <w:rPr>
          <w:rFonts w:cs="Taher"/>
          <w:vertAlign w:val="superscript"/>
          <w:rtl/>
        </w:rPr>
        <w:t>(</w:t>
      </w:r>
      <w:r w:rsidR="000A4159" w:rsidRPr="000A4159">
        <w:rPr>
          <w:rStyle w:val="FootnoteReference"/>
          <w:rFonts w:cs="Taher"/>
          <w:rtl/>
        </w:rPr>
        <w:footnoteReference w:id="437"/>
      </w:r>
      <w:r w:rsidR="000A4159" w:rsidRPr="000A4159">
        <w:rPr>
          <w:rFonts w:cs="Taher"/>
          <w:vertAlign w:val="superscript"/>
          <w:rtl/>
        </w:rPr>
        <w:t>)</w:t>
      </w:r>
      <w:r w:rsidR="000A4159" w:rsidRPr="00822CE9">
        <w:rPr>
          <w:rFonts w:hint="cs"/>
          <w:rtl/>
        </w:rPr>
        <w:t>.</w:t>
      </w:r>
    </w:p>
    <w:p w14:paraId="48110DAD" w14:textId="77777777" w:rsidR="000A4159" w:rsidRPr="00822CE9" w:rsidRDefault="000A4159" w:rsidP="00CF1E7F">
      <w:pPr>
        <w:pStyle w:val="normal930"/>
        <w:rPr>
          <w:rtl/>
        </w:rPr>
      </w:pPr>
      <w:r w:rsidRPr="00822CE9">
        <w:rPr>
          <w:rFonts w:hint="cs"/>
          <w:rtl/>
        </w:rPr>
        <w:t>وهذه الرواية تربط الخير بخروج الخارجي</w:t>
      </w:r>
      <w:r w:rsidR="009A4817">
        <w:rPr>
          <w:rFonts w:hint="cs"/>
          <w:rtl/>
        </w:rPr>
        <w:t>ّ</w:t>
      </w:r>
      <w:r w:rsidRPr="00822CE9">
        <w:rPr>
          <w:rFonts w:hint="cs"/>
          <w:rtl/>
        </w:rPr>
        <w:t>، ولعلّه الإمام المهدي؛ لهذا فهي لا تنظر ولا تقدّر أيّ ثورة قبله.</w:t>
      </w:r>
    </w:p>
    <w:p w14:paraId="51469437" w14:textId="77777777" w:rsidR="000A4159" w:rsidRPr="00822CE9" w:rsidRDefault="000A4159" w:rsidP="009A4817">
      <w:pPr>
        <w:spacing w:line="214" w:lineRule="auto"/>
        <w:rPr>
          <w:b/>
          <w:bCs/>
          <w:rtl/>
        </w:rPr>
      </w:pPr>
      <w:r w:rsidRPr="00822CE9">
        <w:rPr>
          <w:rFonts w:hint="cs"/>
          <w:b/>
          <w:bCs/>
          <w:rtl/>
        </w:rPr>
        <w:t xml:space="preserve">لكن </w:t>
      </w:r>
      <w:r w:rsidR="009A4817">
        <w:rPr>
          <w:rFonts w:hint="cs"/>
          <w:b/>
          <w:bCs/>
          <w:rtl/>
        </w:rPr>
        <w:t>يلاحظ عليها:</w:t>
      </w:r>
    </w:p>
    <w:p w14:paraId="1BB0F12D" w14:textId="77777777" w:rsidR="000A4159" w:rsidRPr="00822CE9" w:rsidRDefault="000A4159" w:rsidP="00CF1E7F">
      <w:pPr>
        <w:pStyle w:val="normal930"/>
        <w:rPr>
          <w:rtl/>
        </w:rPr>
      </w:pPr>
      <w:r w:rsidRPr="00822CE9">
        <w:rPr>
          <w:rFonts w:hint="cs"/>
          <w:b/>
          <w:bCs/>
          <w:rtl/>
        </w:rPr>
        <w:t>أو</w:t>
      </w:r>
      <w:r w:rsidR="009A4817">
        <w:rPr>
          <w:rFonts w:hint="cs"/>
          <w:b/>
          <w:bCs/>
          <w:rtl/>
        </w:rPr>
        <w:t>ّ</w:t>
      </w:r>
      <w:r w:rsidRPr="00822CE9">
        <w:rPr>
          <w:rFonts w:hint="cs"/>
          <w:b/>
          <w:bCs/>
          <w:rtl/>
        </w:rPr>
        <w:t>لاً:</w:t>
      </w:r>
      <w:r w:rsidRPr="00822CE9">
        <w:rPr>
          <w:rFonts w:hint="cs"/>
          <w:rtl/>
        </w:rPr>
        <w:t xml:space="preserve"> إنها ضعيفة السند للغاية، فمضافاً إلى إرسالها الواضح، ضعيفة بأبي عبد الله السياري الذي ضعّفوه في مناسبات عديدة</w:t>
      </w:r>
      <w:r w:rsidR="00783644">
        <w:rPr>
          <w:rFonts w:hint="cs"/>
          <w:rtl/>
        </w:rPr>
        <w:t>، وقد تعرّضنا له مراراً</w:t>
      </w:r>
      <w:r w:rsidRPr="000A4159">
        <w:rPr>
          <w:rFonts w:cs="Taher"/>
          <w:vertAlign w:val="superscript"/>
          <w:rtl/>
        </w:rPr>
        <w:t>(</w:t>
      </w:r>
      <w:r w:rsidRPr="000A4159">
        <w:rPr>
          <w:rStyle w:val="FootnoteReference"/>
          <w:rFonts w:cs="Taher"/>
          <w:rtl/>
        </w:rPr>
        <w:footnoteReference w:id="438"/>
      </w:r>
      <w:r w:rsidRPr="000A4159">
        <w:rPr>
          <w:rFonts w:cs="Taher"/>
          <w:vertAlign w:val="superscript"/>
          <w:rtl/>
        </w:rPr>
        <w:t>)</w:t>
      </w:r>
      <w:r w:rsidRPr="00822CE9">
        <w:rPr>
          <w:rtl/>
        </w:rPr>
        <w:t>.</w:t>
      </w:r>
    </w:p>
    <w:p w14:paraId="6E21141A" w14:textId="77777777" w:rsidR="000A4159" w:rsidRPr="00822CE9" w:rsidRDefault="000A4159" w:rsidP="00CF1E7F">
      <w:pPr>
        <w:pStyle w:val="normal930"/>
        <w:rPr>
          <w:rtl/>
        </w:rPr>
      </w:pPr>
      <w:r w:rsidRPr="00822CE9">
        <w:rPr>
          <w:rFonts w:hint="cs"/>
          <w:b/>
          <w:bCs/>
          <w:rtl/>
        </w:rPr>
        <w:t>ثانياً:</w:t>
      </w:r>
      <w:r w:rsidRPr="00822CE9">
        <w:rPr>
          <w:rFonts w:hint="cs"/>
          <w:rtl/>
        </w:rPr>
        <w:t xml:space="preserve"> إنّ هذه الرواية أدلّ على جواز الثورة المسلّحة منها على حرمتها؛ إذ هي ترى في خروج الخارجي ـ وهو مطلق من يخرج من آل محم</w:t>
      </w:r>
      <w:r w:rsidR="009A4817">
        <w:rPr>
          <w:rFonts w:hint="cs"/>
          <w:rtl/>
        </w:rPr>
        <w:t>ّ</w:t>
      </w:r>
      <w:r w:rsidRPr="00822CE9">
        <w:rPr>
          <w:rFonts w:hint="cs"/>
          <w:rtl/>
        </w:rPr>
        <w:t>د</w:t>
      </w:r>
      <w:r w:rsidR="009A4817">
        <w:rPr>
          <w:rFonts w:hint="cs"/>
          <w:rtl/>
        </w:rPr>
        <w:t>،</w:t>
      </w:r>
      <w:r w:rsidRPr="00822CE9">
        <w:rPr>
          <w:rFonts w:hint="cs"/>
          <w:rtl/>
        </w:rPr>
        <w:t xml:space="preserve"> بالمعنى الأعم</w:t>
      </w:r>
      <w:r w:rsidR="009A4817">
        <w:rPr>
          <w:rFonts w:hint="cs"/>
          <w:rtl/>
        </w:rPr>
        <w:t>،</w:t>
      </w:r>
      <w:r w:rsidRPr="00822CE9">
        <w:rPr>
          <w:rFonts w:hint="cs"/>
          <w:rtl/>
        </w:rPr>
        <w:t xml:space="preserve"> على السلاطين ـ فائدة، وهي أنّ السلاطين سوف ينشغلون حينئذ</w:t>
      </w:r>
      <w:r w:rsidR="009A4817">
        <w:rPr>
          <w:rFonts w:hint="cs"/>
          <w:rtl/>
        </w:rPr>
        <w:t>ٍ</w:t>
      </w:r>
      <w:r w:rsidRPr="00822CE9">
        <w:rPr>
          <w:rFonts w:hint="cs"/>
          <w:rtl/>
        </w:rPr>
        <w:t xml:space="preserve"> بهذا الخارج وسيظلّ الإمام وأصحابه بمنأى عن الضرر، لانشغال السلطان بأولئك، سواء كان الفريق الخارج محقّاً أم لا</w:t>
      </w:r>
      <w:r w:rsidRPr="000A4159">
        <w:rPr>
          <w:rFonts w:cs="Taher"/>
          <w:vertAlign w:val="superscript"/>
          <w:rtl/>
        </w:rPr>
        <w:t>(</w:t>
      </w:r>
      <w:r w:rsidRPr="000A4159">
        <w:rPr>
          <w:rStyle w:val="FootnoteReference"/>
          <w:rFonts w:cs="Taher"/>
          <w:rtl/>
        </w:rPr>
        <w:footnoteReference w:id="439"/>
      </w:r>
      <w:r w:rsidRPr="000A4159">
        <w:rPr>
          <w:rFonts w:cs="Taher"/>
          <w:vertAlign w:val="superscript"/>
          <w:rtl/>
        </w:rPr>
        <w:t>)</w:t>
      </w:r>
      <w:r w:rsidRPr="00822CE9">
        <w:rPr>
          <w:rFonts w:hint="cs"/>
          <w:rtl/>
        </w:rPr>
        <w:t>.</w:t>
      </w:r>
    </w:p>
    <w:p w14:paraId="060D1199" w14:textId="77777777" w:rsidR="000A4159" w:rsidRPr="00822CE9" w:rsidRDefault="000A4159" w:rsidP="00B737BF">
      <w:pPr>
        <w:spacing w:line="214" w:lineRule="auto"/>
        <w:rPr>
          <w:rtl/>
        </w:rPr>
      </w:pPr>
      <w:r w:rsidRPr="009A4817">
        <w:rPr>
          <w:rFonts w:hint="cs"/>
          <w:b/>
          <w:bCs/>
          <w:rtl/>
        </w:rPr>
        <w:t>وهذا التفسير وإن كان غير واضح بحيث يمكن اعتباره ظهوراً لفظيّاً؛ لكنّه محتمل،</w:t>
      </w:r>
      <w:r w:rsidRPr="00822CE9">
        <w:rPr>
          <w:rFonts w:hint="cs"/>
          <w:rtl/>
        </w:rPr>
        <w:t xml:space="preserve"> بحيث يهدم الظهور في أن يكون المراد بالخارجيّ هو الإمام المهدي، بل إنّ احتمال حمل «الخارجي» على </w:t>
      </w:r>
      <w:r w:rsidRPr="00822CE9">
        <w:rPr>
          <w:rFonts w:hint="cs"/>
          <w:rtl/>
        </w:rPr>
        <w:lastRenderedPageBreak/>
        <w:t xml:space="preserve">المهدي </w:t>
      </w:r>
      <w:r w:rsidR="000E5D3D">
        <w:rPr>
          <w:rFonts w:hint="cs"/>
          <w:rtl/>
        </w:rPr>
        <w:t>مرجوح</w:t>
      </w:r>
      <w:r w:rsidRPr="00822CE9">
        <w:rPr>
          <w:rFonts w:hint="cs"/>
          <w:rtl/>
        </w:rPr>
        <w:t xml:space="preserve">؛ إذ لم نعهد مثل هذا التعبير في حقّه، </w:t>
      </w:r>
      <w:r w:rsidR="009A4817">
        <w:rPr>
          <w:rFonts w:hint="cs"/>
          <w:rtl/>
        </w:rPr>
        <w:t>و</w:t>
      </w:r>
      <w:r w:rsidRPr="00822CE9">
        <w:rPr>
          <w:rFonts w:hint="cs"/>
          <w:rtl/>
        </w:rPr>
        <w:t>لا</w:t>
      </w:r>
      <w:r w:rsidR="009A4817">
        <w:rPr>
          <w:rFonts w:hint="cs"/>
          <w:rtl/>
        </w:rPr>
        <w:t xml:space="preserve"> </w:t>
      </w:r>
      <w:r w:rsidRPr="00822CE9">
        <w:rPr>
          <w:rFonts w:hint="cs"/>
          <w:rtl/>
        </w:rPr>
        <w:t xml:space="preserve">سيما حديث الإمام عن نفقة عياله. </w:t>
      </w:r>
      <w:r w:rsidR="00B737BF">
        <w:rPr>
          <w:rFonts w:hint="cs"/>
          <w:rtl/>
        </w:rPr>
        <w:t xml:space="preserve">بل سيأتي أنّ احتمال كون الخارجيّ هو معنى عام، والقصد هو انشغال السلطات به، في الرواية السابعة والعشرين (مرسل عثمان بن عيسى)، </w:t>
      </w:r>
      <w:r w:rsidRPr="00822CE9">
        <w:rPr>
          <w:rFonts w:hint="cs"/>
          <w:rtl/>
        </w:rPr>
        <w:t>فالرواية غير تامّة لا سنداً ولا دلالةً.</w:t>
      </w:r>
    </w:p>
    <w:p w14:paraId="3E68E0A4" w14:textId="77777777" w:rsidR="000A4159" w:rsidRPr="00822CE9" w:rsidRDefault="00F478F0" w:rsidP="00CF1E7F">
      <w:pPr>
        <w:pStyle w:val="normal930"/>
        <w:rPr>
          <w:rtl/>
        </w:rPr>
      </w:pPr>
      <w:r>
        <w:rPr>
          <w:rFonts w:hint="cs"/>
          <w:b/>
          <w:bCs/>
          <w:rtl/>
        </w:rPr>
        <w:t xml:space="preserve">الرواية الثالثة عشرة: </w:t>
      </w:r>
      <w:r w:rsidR="000A4159" w:rsidRPr="00822CE9">
        <w:rPr>
          <w:rFonts w:hint="cs"/>
          <w:b/>
          <w:bCs/>
          <w:rtl/>
        </w:rPr>
        <w:t>خبر أبي الحسن العبيدي،</w:t>
      </w:r>
      <w:r w:rsidR="000A4159" w:rsidRPr="00822CE9">
        <w:rPr>
          <w:rFonts w:hint="cs"/>
          <w:rtl/>
        </w:rPr>
        <w:t xml:space="preserve"> عن الصادق</w:t>
      </w:r>
      <w:r w:rsidR="00662AEB">
        <w:rPr>
          <w:rFonts w:hint="cs"/>
          <w:rtl/>
        </w:rPr>
        <w:t>×</w:t>
      </w:r>
      <w:r w:rsidR="000A4159" w:rsidRPr="00822CE9">
        <w:rPr>
          <w:rFonts w:hint="cs"/>
          <w:rtl/>
        </w:rPr>
        <w:t xml:space="preserve">، قال: «ما </w:t>
      </w:r>
      <w:r w:rsidR="00662AEB">
        <w:rPr>
          <w:rFonts w:hint="cs"/>
          <w:rtl/>
        </w:rPr>
        <w:t>كان عبد ليحبس نفسه على الله إلا</w:t>
      </w:r>
      <w:r w:rsidR="000A4159" w:rsidRPr="00822CE9">
        <w:rPr>
          <w:rFonts w:hint="cs"/>
          <w:rtl/>
        </w:rPr>
        <w:t xml:space="preserve"> أدخله الله الجنّة»</w:t>
      </w:r>
      <w:r w:rsidR="000A4159" w:rsidRPr="000A4159">
        <w:rPr>
          <w:rFonts w:cs="Taher"/>
          <w:vertAlign w:val="superscript"/>
          <w:rtl/>
        </w:rPr>
        <w:t>(</w:t>
      </w:r>
      <w:r w:rsidR="000A4159" w:rsidRPr="000A4159">
        <w:rPr>
          <w:rStyle w:val="FootnoteReference"/>
          <w:rFonts w:cs="Taher"/>
          <w:rtl/>
        </w:rPr>
        <w:footnoteReference w:id="440"/>
      </w:r>
      <w:r w:rsidR="000A4159" w:rsidRPr="000A4159">
        <w:rPr>
          <w:rFonts w:cs="Taher"/>
          <w:vertAlign w:val="superscript"/>
          <w:rtl/>
        </w:rPr>
        <w:t>)</w:t>
      </w:r>
      <w:r w:rsidR="000A4159" w:rsidRPr="00822CE9">
        <w:rPr>
          <w:rFonts w:hint="cs"/>
          <w:rtl/>
        </w:rPr>
        <w:t>. على أساس أنّ الحبس هنا معناه عدم الخروج وأمثاله.</w:t>
      </w:r>
    </w:p>
    <w:p w14:paraId="587EC70C" w14:textId="77777777" w:rsidR="000A4159" w:rsidRPr="00822CE9" w:rsidRDefault="000A4159" w:rsidP="00A079D6">
      <w:pPr>
        <w:spacing w:line="214" w:lineRule="auto"/>
        <w:rPr>
          <w:b/>
          <w:bCs/>
          <w:rtl/>
        </w:rPr>
      </w:pPr>
      <w:r w:rsidRPr="00822CE9">
        <w:rPr>
          <w:rFonts w:hint="cs"/>
          <w:b/>
          <w:bCs/>
          <w:rtl/>
        </w:rPr>
        <w:t>ويناق</w:t>
      </w:r>
      <w:r w:rsidR="00662AEB">
        <w:rPr>
          <w:rFonts w:hint="cs"/>
          <w:b/>
          <w:bCs/>
          <w:rtl/>
        </w:rPr>
        <w:t>َ</w:t>
      </w:r>
      <w:r w:rsidRPr="00822CE9">
        <w:rPr>
          <w:rFonts w:hint="cs"/>
          <w:b/>
          <w:bCs/>
          <w:rtl/>
        </w:rPr>
        <w:t>ش:</w:t>
      </w:r>
    </w:p>
    <w:p w14:paraId="12A6FE8A" w14:textId="77777777" w:rsidR="000A4159" w:rsidRPr="00822CE9" w:rsidRDefault="000A4159" w:rsidP="00CF1E7F">
      <w:pPr>
        <w:pStyle w:val="normal930"/>
        <w:rPr>
          <w:rtl/>
        </w:rPr>
      </w:pPr>
      <w:r w:rsidRPr="00822CE9">
        <w:rPr>
          <w:rFonts w:hint="cs"/>
          <w:b/>
          <w:bCs/>
          <w:rtl/>
        </w:rPr>
        <w:t>أو</w:t>
      </w:r>
      <w:r w:rsidR="00662AEB">
        <w:rPr>
          <w:rFonts w:hint="cs"/>
          <w:b/>
          <w:bCs/>
          <w:rtl/>
        </w:rPr>
        <w:t>ّ</w:t>
      </w:r>
      <w:r w:rsidRPr="00822CE9">
        <w:rPr>
          <w:rFonts w:hint="cs"/>
          <w:b/>
          <w:bCs/>
          <w:rtl/>
        </w:rPr>
        <w:t>لاً:</w:t>
      </w:r>
      <w:r w:rsidRPr="00822CE9">
        <w:rPr>
          <w:rFonts w:hint="cs"/>
          <w:rtl/>
        </w:rPr>
        <w:t xml:space="preserve"> بالضعف السندي بجهالة بل إهمال أبي الحسن العبيدي أو العبدي</w:t>
      </w:r>
      <w:r w:rsidR="00F347DF" w:rsidRPr="000A4159">
        <w:rPr>
          <w:rFonts w:cs="Taher"/>
          <w:vertAlign w:val="superscript"/>
          <w:rtl/>
        </w:rPr>
        <w:t>(</w:t>
      </w:r>
      <w:r w:rsidR="00F347DF" w:rsidRPr="000A4159">
        <w:rPr>
          <w:rStyle w:val="FootnoteReference"/>
          <w:rFonts w:cs="Taher"/>
          <w:rtl/>
        </w:rPr>
        <w:footnoteReference w:id="441"/>
      </w:r>
      <w:r w:rsidR="00F347DF" w:rsidRPr="000A4159">
        <w:rPr>
          <w:rFonts w:cs="Taher"/>
          <w:vertAlign w:val="superscript"/>
          <w:rtl/>
        </w:rPr>
        <w:t>)</w:t>
      </w:r>
      <w:r w:rsidRPr="00822CE9">
        <w:rPr>
          <w:rtl/>
        </w:rPr>
        <w:t xml:space="preserve">، </w:t>
      </w:r>
      <w:r w:rsidRPr="00822CE9">
        <w:rPr>
          <w:rFonts w:hint="cs"/>
          <w:rtl/>
        </w:rPr>
        <w:t>فلا يستند إليها</w:t>
      </w:r>
      <w:r w:rsidR="006A1753">
        <w:rPr>
          <w:rFonts w:hint="cs"/>
          <w:rtl/>
        </w:rPr>
        <w:t xml:space="preserve"> منفردةً</w:t>
      </w:r>
      <w:r w:rsidR="00783644">
        <w:rPr>
          <w:rFonts w:hint="cs"/>
          <w:rtl/>
        </w:rPr>
        <w:t xml:space="preserve">، </w:t>
      </w:r>
      <w:r w:rsidR="00783644" w:rsidRPr="00783644">
        <w:rPr>
          <w:rFonts w:hint="cs"/>
          <w:rtl/>
        </w:rPr>
        <w:t>وليس هو القاضي البغدادي (291هـ</w:t>
      </w:r>
      <w:r w:rsidR="00BC53BB">
        <w:rPr>
          <w:rFonts w:hint="cs"/>
          <w:rtl/>
        </w:rPr>
        <w:t>) ولا ابن المعلمة، ولا ابن أبان؛</w:t>
      </w:r>
      <w:r w:rsidR="00783644" w:rsidRPr="00783644">
        <w:rPr>
          <w:rFonts w:hint="cs"/>
          <w:rtl/>
        </w:rPr>
        <w:t xml:space="preserve"> لعدم اتحاد الطبقة.</w:t>
      </w:r>
    </w:p>
    <w:p w14:paraId="2B7FAC2E" w14:textId="77777777" w:rsidR="000A4159" w:rsidRPr="00822CE9" w:rsidRDefault="000A4159" w:rsidP="00A079D6">
      <w:pPr>
        <w:spacing w:line="214" w:lineRule="auto"/>
        <w:rPr>
          <w:rtl/>
        </w:rPr>
      </w:pPr>
      <w:r w:rsidRPr="00822CE9">
        <w:rPr>
          <w:rFonts w:hint="cs"/>
          <w:b/>
          <w:bCs/>
          <w:rtl/>
        </w:rPr>
        <w:t>ثانياً:</w:t>
      </w:r>
      <w:r w:rsidRPr="00822CE9">
        <w:rPr>
          <w:rFonts w:hint="cs"/>
          <w:rtl/>
        </w:rPr>
        <w:t xml:space="preserve"> إنّه لا إشارة فيها إلى الموضوع، فغاية ما تدلّ عليه ضرورة نذر النفس لله، وهذا هو معنى الحبس، والظاهر أنّ أمثال الحرّ العاملي ممن جعل هذه الرواية في هذا الباب توهّم أنّ كلمة الحبس قد تعني عدم الانجراف مع الثورة وضبط النفس، مع أنّ الرواية لا إشارة فيها لا من قريب ولا من بعيد إلى ذلك، بل تعني صيرورة العبد مملوكاً لله، لا تنفذ فيه سوى أوامر الله وإرادته، أو ما يعبّر عنه في الفقه الإسلامي بصيرورة إرادة العبد التكويني</w:t>
      </w:r>
      <w:r w:rsidR="00662AEB">
        <w:rPr>
          <w:rFonts w:hint="cs"/>
          <w:rtl/>
        </w:rPr>
        <w:t>ّ</w:t>
      </w:r>
      <w:r w:rsidRPr="00822CE9">
        <w:rPr>
          <w:rFonts w:hint="cs"/>
          <w:rtl/>
        </w:rPr>
        <w:t>ة تابعةً لإرادة الله التشريعيّة.</w:t>
      </w:r>
    </w:p>
    <w:p w14:paraId="5BFD3574" w14:textId="77777777" w:rsidR="000A4159" w:rsidRPr="00822CE9" w:rsidRDefault="000A4159" w:rsidP="00CF1E7F">
      <w:pPr>
        <w:pStyle w:val="normal930"/>
        <w:rPr>
          <w:rtl/>
        </w:rPr>
      </w:pPr>
      <w:r w:rsidRPr="00822CE9">
        <w:rPr>
          <w:rFonts w:hint="cs"/>
          <w:rtl/>
        </w:rPr>
        <w:t>ولعلّ ما قاله الشيخ المنتظري</w:t>
      </w:r>
      <w:r w:rsidRPr="000A4159">
        <w:rPr>
          <w:rFonts w:cs="Taher"/>
          <w:vertAlign w:val="superscript"/>
          <w:rtl/>
        </w:rPr>
        <w:t>(</w:t>
      </w:r>
      <w:r w:rsidRPr="000A4159">
        <w:rPr>
          <w:rStyle w:val="FootnoteReference"/>
          <w:rFonts w:cs="Taher"/>
          <w:rtl/>
        </w:rPr>
        <w:footnoteReference w:id="442"/>
      </w:r>
      <w:r w:rsidRPr="000A4159">
        <w:rPr>
          <w:rFonts w:cs="Taher"/>
          <w:vertAlign w:val="superscript"/>
          <w:rtl/>
        </w:rPr>
        <w:t>)</w:t>
      </w:r>
      <w:r w:rsidRPr="00822CE9">
        <w:rPr>
          <w:rFonts w:hint="cs"/>
          <w:rtl/>
        </w:rPr>
        <w:t xml:space="preserve"> صحيح</w:t>
      </w:r>
      <w:r w:rsidR="00662AEB">
        <w:rPr>
          <w:rFonts w:hint="cs"/>
          <w:rtl/>
        </w:rPr>
        <w:t>ٌ</w:t>
      </w:r>
      <w:r w:rsidRPr="00822CE9">
        <w:rPr>
          <w:rtl/>
        </w:rPr>
        <w:t xml:space="preserve"> </w:t>
      </w:r>
      <w:r w:rsidRPr="00822CE9">
        <w:rPr>
          <w:rFonts w:hint="cs"/>
          <w:rtl/>
        </w:rPr>
        <w:t>هنا أيضاً، من أنّ الرواية أقرب إلى شرعيّة الجهاد؛ لأنّ مفهوم نذر النفس لله مفهوم قريبٌ إلى باب الجهاد ومنطقه ومستلزماته.</w:t>
      </w:r>
    </w:p>
    <w:p w14:paraId="1BF88DB1" w14:textId="77777777" w:rsidR="000A4159" w:rsidRPr="00822CE9" w:rsidRDefault="00662AEB" w:rsidP="00CF1E7F">
      <w:pPr>
        <w:pStyle w:val="normal930"/>
        <w:rPr>
          <w:rtl/>
        </w:rPr>
      </w:pPr>
      <w:r>
        <w:rPr>
          <w:rFonts w:hint="cs"/>
          <w:b/>
          <w:bCs/>
          <w:rtl/>
        </w:rPr>
        <w:t xml:space="preserve">الرواية الرابعة عشرة: </w:t>
      </w:r>
      <w:r w:rsidR="000A4159" w:rsidRPr="00822CE9">
        <w:rPr>
          <w:rFonts w:hint="cs"/>
          <w:b/>
          <w:bCs/>
          <w:rtl/>
        </w:rPr>
        <w:t>خبر الحسين بن خالد،</w:t>
      </w:r>
      <w:r w:rsidR="000A4159" w:rsidRPr="00822CE9">
        <w:rPr>
          <w:rFonts w:hint="cs"/>
          <w:rtl/>
        </w:rPr>
        <w:t xml:space="preserve"> قال: قلت لأبي الحسن الرضا</w:t>
      </w:r>
      <w:r>
        <w:rPr>
          <w:rFonts w:hint="cs"/>
          <w:rtl/>
        </w:rPr>
        <w:t>×</w:t>
      </w:r>
      <w:r w:rsidR="000A4159" w:rsidRPr="00822CE9">
        <w:rPr>
          <w:rFonts w:hint="cs"/>
          <w:rtl/>
        </w:rPr>
        <w:t>: إنّ عبد الله بن بكير كان يروي حديثاً ويتأوّله وأنا أحبّ أن أعرضه عليك، فقال: «ما ذلك الحديث؟»، قلت: قال ابن بكير: حد</w:t>
      </w:r>
      <w:r>
        <w:rPr>
          <w:rFonts w:hint="cs"/>
          <w:rtl/>
        </w:rPr>
        <w:t>ّ</w:t>
      </w:r>
      <w:r w:rsidR="000A4159" w:rsidRPr="00822CE9">
        <w:rPr>
          <w:rFonts w:hint="cs"/>
          <w:rtl/>
        </w:rPr>
        <w:t>ثني ع</w:t>
      </w:r>
      <w:r w:rsidR="00AC30A4">
        <w:rPr>
          <w:rFonts w:hint="cs"/>
          <w:rtl/>
        </w:rPr>
        <w:t>ُ</w:t>
      </w:r>
      <w:r w:rsidR="000A4159" w:rsidRPr="00822CE9">
        <w:rPr>
          <w:rFonts w:hint="cs"/>
          <w:rtl/>
        </w:rPr>
        <w:t>بيد بن زرارة قال: كنت عند أبي عبد الله</w:t>
      </w:r>
      <w:r>
        <w:rPr>
          <w:rFonts w:hint="cs"/>
          <w:rtl/>
        </w:rPr>
        <w:t>×</w:t>
      </w:r>
      <w:r w:rsidR="000A4159" w:rsidRPr="00822CE9">
        <w:rPr>
          <w:rFonts w:hint="cs"/>
          <w:rtl/>
        </w:rPr>
        <w:t xml:space="preserve"> أي</w:t>
      </w:r>
      <w:r>
        <w:rPr>
          <w:rFonts w:hint="cs"/>
          <w:rtl/>
        </w:rPr>
        <w:t>ّ</w:t>
      </w:r>
      <w:r w:rsidR="000A4159" w:rsidRPr="00822CE9">
        <w:rPr>
          <w:rFonts w:hint="cs"/>
          <w:rtl/>
        </w:rPr>
        <w:t>ام خروج محمد (إبراهيم) بن عبد الله بن الحسن</w:t>
      </w:r>
      <w:r w:rsidR="00AC30A4" w:rsidRPr="000A4159">
        <w:rPr>
          <w:rFonts w:cs="Taher"/>
          <w:vertAlign w:val="superscript"/>
          <w:rtl/>
        </w:rPr>
        <w:t>(</w:t>
      </w:r>
      <w:r w:rsidR="00AC30A4" w:rsidRPr="000A4159">
        <w:rPr>
          <w:rStyle w:val="FootnoteReference"/>
          <w:rFonts w:cs="Taher"/>
          <w:rtl/>
        </w:rPr>
        <w:footnoteReference w:id="443"/>
      </w:r>
      <w:r w:rsidR="00AC30A4" w:rsidRPr="000A4159">
        <w:rPr>
          <w:rFonts w:cs="Taher"/>
          <w:vertAlign w:val="superscript"/>
          <w:rtl/>
        </w:rPr>
        <w:t>)</w:t>
      </w:r>
      <w:r w:rsidR="000A4159" w:rsidRPr="00822CE9">
        <w:rPr>
          <w:rFonts w:hint="cs"/>
          <w:rtl/>
        </w:rPr>
        <w:t>؛ إذ دخل عليه رجل</w:t>
      </w:r>
      <w:r>
        <w:rPr>
          <w:rFonts w:hint="cs"/>
          <w:rtl/>
        </w:rPr>
        <w:t>ٌ</w:t>
      </w:r>
      <w:r w:rsidR="000A4159" w:rsidRPr="00822CE9">
        <w:rPr>
          <w:rFonts w:hint="cs"/>
          <w:rtl/>
        </w:rPr>
        <w:t xml:space="preserve"> من أصحابنا فقال له: جعلت فداك إنّ </w:t>
      </w:r>
      <w:r w:rsidR="000A4159" w:rsidRPr="00822CE9">
        <w:rPr>
          <w:rFonts w:hint="cs"/>
          <w:rtl/>
        </w:rPr>
        <w:lastRenderedPageBreak/>
        <w:t>محمد بن عبد الله قد خرج، وأجابه الناس، فما تقول في الخروج معه؟ فقال أبو عبد الله: «اسكنوا ما سكنت السماء والأرض»، فقال عبد الله بن بكير: فإن كان الأمر هكذا ولم يكن خروج ما سكنت السماء والأرض، فما من قائم وما من خروج، فقال أبو الحسن</w:t>
      </w:r>
      <w:r>
        <w:rPr>
          <w:rFonts w:hint="cs"/>
          <w:rtl/>
        </w:rPr>
        <w:t>×</w:t>
      </w:r>
      <w:r w:rsidR="000A4159" w:rsidRPr="00822CE9">
        <w:rPr>
          <w:rFonts w:hint="cs"/>
          <w:rtl/>
        </w:rPr>
        <w:t>: «صدق أبو عبد الله، وليس الأمر على ما تأوّله ابن بكير، إنّما قال (عنى) أبو عبد الله: اسكنوا ما سكنت السماء من النداء (باسم صاحبكم) والأرض من الخسف بالجيش»</w:t>
      </w:r>
      <w:r w:rsidR="000A4159" w:rsidRPr="000A4159">
        <w:rPr>
          <w:rFonts w:cs="Taher"/>
          <w:vertAlign w:val="superscript"/>
          <w:rtl/>
        </w:rPr>
        <w:t>(</w:t>
      </w:r>
      <w:r w:rsidR="000A4159" w:rsidRPr="000A4159">
        <w:rPr>
          <w:rStyle w:val="FootnoteReference"/>
          <w:rFonts w:cs="Taher"/>
          <w:rtl/>
        </w:rPr>
        <w:footnoteReference w:id="444"/>
      </w:r>
      <w:r w:rsidR="000A4159" w:rsidRPr="000A4159">
        <w:rPr>
          <w:rFonts w:cs="Taher"/>
          <w:vertAlign w:val="superscript"/>
          <w:rtl/>
        </w:rPr>
        <w:t>)</w:t>
      </w:r>
      <w:r w:rsidR="000A4159" w:rsidRPr="00822CE9">
        <w:rPr>
          <w:rFonts w:hint="cs"/>
          <w:rtl/>
        </w:rPr>
        <w:t>.</w:t>
      </w:r>
    </w:p>
    <w:p w14:paraId="29607E04" w14:textId="77777777" w:rsidR="000A4159" w:rsidRPr="00822CE9" w:rsidRDefault="000A4159" w:rsidP="00A079D6">
      <w:pPr>
        <w:spacing w:line="214" w:lineRule="auto"/>
        <w:rPr>
          <w:rtl/>
        </w:rPr>
      </w:pPr>
      <w:r w:rsidRPr="00822CE9">
        <w:rPr>
          <w:rFonts w:hint="cs"/>
          <w:rtl/>
        </w:rPr>
        <w:t>فهذه الرواية تربط الخروج بمسألة النداء والخسف، وما دام لم يحصل شيء</w:t>
      </w:r>
      <w:r w:rsidR="00662AEB">
        <w:rPr>
          <w:rFonts w:hint="cs"/>
          <w:rtl/>
        </w:rPr>
        <w:t>ٌ</w:t>
      </w:r>
      <w:r w:rsidRPr="00822CE9">
        <w:rPr>
          <w:rFonts w:hint="cs"/>
          <w:rtl/>
        </w:rPr>
        <w:t xml:space="preserve"> من هذين الأمرين فإنّ المطلوب هو السكون، ونحن نعرف أن</w:t>
      </w:r>
      <w:r w:rsidR="00662AEB">
        <w:rPr>
          <w:rFonts w:hint="cs"/>
          <w:rtl/>
        </w:rPr>
        <w:t>ّ</w:t>
      </w:r>
      <w:r w:rsidRPr="00822CE9">
        <w:rPr>
          <w:rFonts w:hint="cs"/>
          <w:rtl/>
        </w:rPr>
        <w:t>هما علامتان لخروج الإمام المهدي</w:t>
      </w:r>
      <w:r w:rsidR="00662AEB">
        <w:rPr>
          <w:rFonts w:hint="cs"/>
          <w:rtl/>
        </w:rPr>
        <w:t>ّ</w:t>
      </w:r>
      <w:r w:rsidRPr="00822CE9">
        <w:rPr>
          <w:rFonts w:hint="cs"/>
          <w:rtl/>
        </w:rPr>
        <w:t>، مما يعني حرمة أيّ خروج حتى ظهوره.</w:t>
      </w:r>
    </w:p>
    <w:p w14:paraId="75CF3A90" w14:textId="77777777" w:rsidR="000A4159" w:rsidRPr="00822CE9" w:rsidRDefault="000A4159" w:rsidP="00A079D6">
      <w:pPr>
        <w:spacing w:line="214" w:lineRule="auto"/>
        <w:rPr>
          <w:b/>
          <w:bCs/>
          <w:rtl/>
        </w:rPr>
      </w:pPr>
      <w:r w:rsidRPr="00822CE9">
        <w:rPr>
          <w:rFonts w:hint="cs"/>
          <w:b/>
          <w:bCs/>
          <w:rtl/>
        </w:rPr>
        <w:t>إل</w:t>
      </w:r>
      <w:r w:rsidR="00662AEB">
        <w:rPr>
          <w:rFonts w:hint="cs"/>
          <w:b/>
          <w:bCs/>
          <w:rtl/>
        </w:rPr>
        <w:t>ا</w:t>
      </w:r>
      <w:r w:rsidRPr="00822CE9">
        <w:rPr>
          <w:rFonts w:hint="cs"/>
          <w:b/>
          <w:bCs/>
          <w:rtl/>
        </w:rPr>
        <w:t xml:space="preserve"> أنّ الرواية يمكن التعليق على الاستدلال بها؛ وذلك:</w:t>
      </w:r>
    </w:p>
    <w:p w14:paraId="2A06A1B9" w14:textId="77777777" w:rsidR="000A4159" w:rsidRPr="00822CE9" w:rsidRDefault="000A4159" w:rsidP="006A1753">
      <w:pPr>
        <w:spacing w:line="214" w:lineRule="auto"/>
        <w:rPr>
          <w:rtl/>
        </w:rPr>
      </w:pPr>
      <w:r w:rsidRPr="00822CE9">
        <w:rPr>
          <w:rFonts w:hint="cs"/>
          <w:b/>
          <w:bCs/>
          <w:rtl/>
        </w:rPr>
        <w:t>أو</w:t>
      </w:r>
      <w:r w:rsidR="00662AEB">
        <w:rPr>
          <w:rFonts w:hint="cs"/>
          <w:b/>
          <w:bCs/>
          <w:rtl/>
        </w:rPr>
        <w:t>ّ</w:t>
      </w:r>
      <w:r w:rsidRPr="00822CE9">
        <w:rPr>
          <w:rFonts w:hint="cs"/>
          <w:b/>
          <w:bCs/>
          <w:rtl/>
        </w:rPr>
        <w:t>لاً:</w:t>
      </w:r>
      <w:r w:rsidRPr="00822CE9">
        <w:rPr>
          <w:rFonts w:hint="cs"/>
          <w:rtl/>
        </w:rPr>
        <w:t xml:space="preserve"> لقد وردت هذه الرواية في أمالي الطوسي وفي عيون أخبار الرضا ومعاني الأخبار للصدوق، وقد ب</w:t>
      </w:r>
      <w:r w:rsidR="006A1753">
        <w:rPr>
          <w:rFonts w:hint="cs"/>
          <w:rtl/>
        </w:rPr>
        <w:t>َ</w:t>
      </w:r>
      <w:r w:rsidRPr="00822CE9">
        <w:rPr>
          <w:rFonts w:hint="cs"/>
          <w:rtl/>
        </w:rPr>
        <w:t>ان</w:t>
      </w:r>
      <w:r w:rsidR="006A1753">
        <w:rPr>
          <w:rFonts w:hint="cs"/>
          <w:rtl/>
        </w:rPr>
        <w:t>َ</w:t>
      </w:r>
      <w:r w:rsidRPr="00822CE9">
        <w:rPr>
          <w:rFonts w:hint="cs"/>
          <w:rtl/>
        </w:rPr>
        <w:t xml:space="preserve"> أنّ لها سند</w:t>
      </w:r>
      <w:r w:rsidR="006A1753">
        <w:rPr>
          <w:rFonts w:hint="cs"/>
          <w:rtl/>
        </w:rPr>
        <w:t>ي</w:t>
      </w:r>
      <w:r w:rsidRPr="00822CE9">
        <w:rPr>
          <w:rFonts w:hint="cs"/>
          <w:rtl/>
        </w:rPr>
        <w:t>ن</w:t>
      </w:r>
      <w:r w:rsidR="006A1753">
        <w:rPr>
          <w:rFonts w:hint="cs"/>
          <w:rtl/>
        </w:rPr>
        <w:t xml:space="preserve"> هما</w:t>
      </w:r>
      <w:r w:rsidRPr="00822CE9">
        <w:rPr>
          <w:rFonts w:hint="cs"/>
          <w:rtl/>
        </w:rPr>
        <w:t>: سند</w:t>
      </w:r>
      <w:r w:rsidR="00662AEB">
        <w:rPr>
          <w:rFonts w:hint="cs"/>
          <w:rtl/>
        </w:rPr>
        <w:t>ٌ</w:t>
      </w:r>
      <w:r w:rsidRPr="00822CE9">
        <w:rPr>
          <w:rFonts w:hint="cs"/>
          <w:rtl/>
        </w:rPr>
        <w:t xml:space="preserve"> من الطوسي إلى الحسين بن خالد، وآخر من الصدوق في كتابيه إليه، وكلا السندين ضعيف، ففي سند الصدوق ورد عبيد الله الدهقان، وهو إم</w:t>
      </w:r>
      <w:r w:rsidR="00662AEB">
        <w:rPr>
          <w:rFonts w:hint="cs"/>
          <w:rtl/>
        </w:rPr>
        <w:t>ّ</w:t>
      </w:r>
      <w:r w:rsidRPr="00822CE9">
        <w:rPr>
          <w:rFonts w:hint="cs"/>
          <w:rtl/>
        </w:rPr>
        <w:t>ا عبيد الله بن عبد الله الدهقان الضعيف بنصّ النجاشي</w:t>
      </w:r>
      <w:r w:rsidRPr="00822CE9">
        <w:rPr>
          <w:rtl/>
        </w:rPr>
        <w:t xml:space="preserve">، </w:t>
      </w:r>
      <w:r w:rsidRPr="00822CE9">
        <w:rPr>
          <w:rFonts w:hint="cs"/>
          <w:rtl/>
        </w:rPr>
        <w:t>أو عبيد الله بن أحمد الدهقان المجهول المهمل</w:t>
      </w:r>
      <w:r w:rsidRPr="000A4159">
        <w:rPr>
          <w:rFonts w:cs="Taher"/>
          <w:vertAlign w:val="superscript"/>
          <w:rtl/>
        </w:rPr>
        <w:t>(</w:t>
      </w:r>
      <w:r w:rsidRPr="000A4159">
        <w:rPr>
          <w:rStyle w:val="FootnoteReference"/>
          <w:rFonts w:cs="Taher"/>
          <w:rtl/>
        </w:rPr>
        <w:footnoteReference w:id="445"/>
      </w:r>
      <w:r w:rsidRPr="000A4159">
        <w:rPr>
          <w:rFonts w:cs="Taher"/>
          <w:vertAlign w:val="superscript"/>
          <w:rtl/>
        </w:rPr>
        <w:t>)</w:t>
      </w:r>
      <w:r w:rsidRPr="00822CE9">
        <w:rPr>
          <w:rtl/>
        </w:rPr>
        <w:t xml:space="preserve">، </w:t>
      </w:r>
      <w:r w:rsidRPr="00822CE9">
        <w:rPr>
          <w:rFonts w:hint="cs"/>
          <w:rtl/>
        </w:rPr>
        <w:t>فيكون السند ضعيفاً، أم</w:t>
      </w:r>
      <w:r w:rsidR="00662AEB">
        <w:rPr>
          <w:rFonts w:hint="cs"/>
          <w:rtl/>
        </w:rPr>
        <w:t>ّ</w:t>
      </w:r>
      <w:r w:rsidRPr="00822CE9">
        <w:rPr>
          <w:rFonts w:hint="cs"/>
          <w:rtl/>
        </w:rPr>
        <w:t>ا سند الشيخ الطوسي فضعيف ـ مع سند الصدوق ـ بالحسين بن خالد؛ إذ ليس هو الحسين بن خالد أبا العلاء، بقرينة رواية محمد بن عيسى عنه، فالظاهر أنّه الصيرفي المجهول، وإن كان المراد به الخفاف فهو أيضاً مجهول، إلا على مبنى تفسير القمي وليس بثابت، ولا أقلّ من التردّد بين هؤلاء الرواة الثلاثة، فالرواية ضعيفة السند بطريقيها.</w:t>
      </w:r>
    </w:p>
    <w:p w14:paraId="5B76EFFA" w14:textId="77777777" w:rsidR="000A4159" w:rsidRPr="00822CE9" w:rsidRDefault="000A4159" w:rsidP="00662AEB">
      <w:pPr>
        <w:spacing w:line="214" w:lineRule="auto"/>
        <w:rPr>
          <w:rtl/>
        </w:rPr>
      </w:pPr>
      <w:r w:rsidRPr="00822CE9">
        <w:rPr>
          <w:rFonts w:hint="cs"/>
          <w:b/>
          <w:bCs/>
          <w:rtl/>
        </w:rPr>
        <w:t>ثانياً:</w:t>
      </w:r>
      <w:r w:rsidRPr="00822CE9">
        <w:rPr>
          <w:rFonts w:hint="cs"/>
          <w:rtl/>
        </w:rPr>
        <w:t xml:space="preserve"> ما ذكره الشيخ المنتظري، من أنّ محمد بن عبد الله بن الحسن الذي تتحدّث عنه الرواية خرج بادّعاء المهدوي</w:t>
      </w:r>
      <w:r w:rsidR="00662AEB">
        <w:rPr>
          <w:rFonts w:hint="cs"/>
          <w:rtl/>
        </w:rPr>
        <w:t>ّ</w:t>
      </w:r>
      <w:r w:rsidRPr="00822CE9">
        <w:rPr>
          <w:rFonts w:hint="cs"/>
          <w:rtl/>
        </w:rPr>
        <w:t>ة، لهذا طلبت الرواية السكون إلى ظهور علامات المهدي وعدم تصديق كلّ مدّعٍ قبلها، فالسكون إلى ظهور المهديّ تحريمٌ للخروج مع أيّ مدّع للمهدوي</w:t>
      </w:r>
      <w:r w:rsidR="00662AEB">
        <w:rPr>
          <w:rFonts w:hint="cs"/>
          <w:rtl/>
        </w:rPr>
        <w:t>ّ</w:t>
      </w:r>
      <w:r w:rsidRPr="00822CE9">
        <w:rPr>
          <w:rFonts w:hint="cs"/>
          <w:rtl/>
        </w:rPr>
        <w:t xml:space="preserve">ة قبل العلامات، </w:t>
      </w:r>
      <w:r w:rsidR="00662AEB">
        <w:rPr>
          <w:rFonts w:hint="cs"/>
          <w:rtl/>
        </w:rPr>
        <w:lastRenderedPageBreak/>
        <w:t xml:space="preserve">وليس </w:t>
      </w:r>
      <w:r w:rsidRPr="00822CE9">
        <w:rPr>
          <w:rFonts w:hint="cs"/>
          <w:rtl/>
        </w:rPr>
        <w:t>تحريماً للخروج مطلقاً، كما هو واضح</w:t>
      </w:r>
      <w:r w:rsidRPr="000A4159">
        <w:rPr>
          <w:rFonts w:cs="Taher"/>
          <w:vertAlign w:val="superscript"/>
          <w:rtl/>
        </w:rPr>
        <w:t>(</w:t>
      </w:r>
      <w:r w:rsidRPr="000A4159">
        <w:rPr>
          <w:rStyle w:val="FootnoteReference"/>
          <w:rFonts w:cs="Taher"/>
          <w:rtl/>
        </w:rPr>
        <w:footnoteReference w:id="446"/>
      </w:r>
      <w:r w:rsidRPr="000A4159">
        <w:rPr>
          <w:rFonts w:cs="Taher"/>
          <w:vertAlign w:val="superscript"/>
          <w:rtl/>
        </w:rPr>
        <w:t>)</w:t>
      </w:r>
      <w:r w:rsidRPr="00822CE9">
        <w:rPr>
          <w:rFonts w:hint="cs"/>
          <w:rtl/>
        </w:rPr>
        <w:t>.</w:t>
      </w:r>
    </w:p>
    <w:p w14:paraId="7CE12561" w14:textId="77777777" w:rsidR="000A4159" w:rsidRPr="00822CE9" w:rsidRDefault="000A4159" w:rsidP="000E5D3D">
      <w:pPr>
        <w:spacing w:line="214" w:lineRule="auto"/>
        <w:rPr>
          <w:rtl/>
        </w:rPr>
      </w:pPr>
      <w:r w:rsidRPr="00662AEB">
        <w:rPr>
          <w:rFonts w:hint="cs"/>
          <w:b/>
          <w:bCs/>
          <w:rtl/>
        </w:rPr>
        <w:t>وهذا الكلام وجيه إذا ثبت تاريخياً أنّ محم</w:t>
      </w:r>
      <w:r w:rsidR="00662AEB">
        <w:rPr>
          <w:rFonts w:hint="cs"/>
          <w:b/>
          <w:bCs/>
          <w:rtl/>
        </w:rPr>
        <w:t>ّ</w:t>
      </w:r>
      <w:r w:rsidRPr="00662AEB">
        <w:rPr>
          <w:rFonts w:hint="cs"/>
          <w:b/>
          <w:bCs/>
          <w:rtl/>
        </w:rPr>
        <w:t>د بن عبد الله بن الحسن قد خرج بعنوان المهدي</w:t>
      </w:r>
      <w:r w:rsidR="00662AEB">
        <w:rPr>
          <w:rFonts w:hint="cs"/>
          <w:b/>
          <w:bCs/>
          <w:rtl/>
        </w:rPr>
        <w:t>ّ</w:t>
      </w:r>
      <w:r w:rsidRPr="00662AEB">
        <w:rPr>
          <w:rFonts w:hint="cs"/>
          <w:b/>
          <w:bCs/>
          <w:rtl/>
        </w:rPr>
        <w:t>، وإلا أشكل الأمر،</w:t>
      </w:r>
      <w:r w:rsidRPr="00822CE9">
        <w:rPr>
          <w:rFonts w:hint="cs"/>
          <w:rtl/>
        </w:rPr>
        <w:t xml:space="preserve"> ومع تردّد القضي</w:t>
      </w:r>
      <w:r w:rsidR="00662AEB">
        <w:rPr>
          <w:rFonts w:hint="cs"/>
          <w:rtl/>
        </w:rPr>
        <w:t>ّ</w:t>
      </w:r>
      <w:r w:rsidRPr="00822CE9">
        <w:rPr>
          <w:rFonts w:hint="cs"/>
          <w:rtl/>
        </w:rPr>
        <w:t>ة</w:t>
      </w:r>
      <w:r w:rsidR="000E5D3D">
        <w:rPr>
          <w:rFonts w:hint="cs"/>
          <w:rtl/>
        </w:rPr>
        <w:t>؛</w:t>
      </w:r>
      <w:r w:rsidRPr="00822CE9">
        <w:rPr>
          <w:rFonts w:hint="cs"/>
          <w:rtl/>
        </w:rPr>
        <w:t xml:space="preserve"> لوجود خلاف</w:t>
      </w:r>
      <w:r w:rsidR="000E5D3D">
        <w:rPr>
          <w:rFonts w:hint="cs"/>
          <w:rtl/>
        </w:rPr>
        <w:t>ٍ</w:t>
      </w:r>
      <w:r w:rsidRPr="00822CE9">
        <w:rPr>
          <w:rFonts w:hint="cs"/>
          <w:rtl/>
        </w:rPr>
        <w:t xml:space="preserve"> في هذا الأمر، لا يحصل جزم بانعقاد إطلاق في الرواية حينئذ</w:t>
      </w:r>
      <w:r w:rsidR="00662AEB">
        <w:rPr>
          <w:rFonts w:hint="cs"/>
          <w:rtl/>
        </w:rPr>
        <w:t>ٍ</w:t>
      </w:r>
      <w:r w:rsidRPr="00822CE9">
        <w:rPr>
          <w:rFonts w:hint="cs"/>
          <w:rtl/>
        </w:rPr>
        <w:t xml:space="preserve"> لما هو أوسع من مسألة الخروج مع مدّعي المهدوي</w:t>
      </w:r>
      <w:r w:rsidR="00662AEB">
        <w:rPr>
          <w:rFonts w:hint="cs"/>
          <w:rtl/>
        </w:rPr>
        <w:t>ّ</w:t>
      </w:r>
      <w:r w:rsidRPr="00822CE9">
        <w:rPr>
          <w:rFonts w:hint="cs"/>
          <w:rtl/>
        </w:rPr>
        <w:t>ة؛ لاحتمال كون الظرف المحيط قرينة متصلة لبيّة على تقيّد الحكم</w:t>
      </w:r>
      <w:r w:rsidR="000E5D3D">
        <w:rPr>
          <w:rFonts w:hint="cs"/>
          <w:rtl/>
        </w:rPr>
        <w:t xml:space="preserve"> وجِهَةِ البيان</w:t>
      </w:r>
      <w:r w:rsidRPr="00822CE9">
        <w:rPr>
          <w:rFonts w:hint="cs"/>
          <w:rtl/>
        </w:rPr>
        <w:t>، فيكون من باب احتمال القرينة المتصلة أو احتمال قريني</w:t>
      </w:r>
      <w:r w:rsidR="00662AEB">
        <w:rPr>
          <w:rFonts w:hint="cs"/>
          <w:rtl/>
        </w:rPr>
        <w:t>ّ</w:t>
      </w:r>
      <w:r w:rsidRPr="00822CE9">
        <w:rPr>
          <w:rFonts w:hint="cs"/>
          <w:rtl/>
        </w:rPr>
        <w:t>ة الموجود الذي يمنع عن انعقاد الظهور على خلافها، كما بحثناه في نظري</w:t>
      </w:r>
      <w:r w:rsidR="000E5D3D">
        <w:rPr>
          <w:rFonts w:hint="cs"/>
          <w:rtl/>
        </w:rPr>
        <w:t>ّ</w:t>
      </w:r>
      <w:r w:rsidRPr="00822CE9">
        <w:rPr>
          <w:rFonts w:hint="cs"/>
          <w:rtl/>
        </w:rPr>
        <w:t>ة تاريخي</w:t>
      </w:r>
      <w:r w:rsidR="000E5D3D">
        <w:rPr>
          <w:rFonts w:hint="cs"/>
          <w:rtl/>
        </w:rPr>
        <w:t>ّ</w:t>
      </w:r>
      <w:r w:rsidRPr="00822CE9">
        <w:rPr>
          <w:rFonts w:hint="cs"/>
          <w:rtl/>
        </w:rPr>
        <w:t>ة السنّة</w:t>
      </w:r>
      <w:r w:rsidRPr="000A4159">
        <w:rPr>
          <w:rFonts w:cs="Taher"/>
          <w:vertAlign w:val="superscript"/>
          <w:rtl/>
        </w:rPr>
        <w:t>(</w:t>
      </w:r>
      <w:r w:rsidRPr="000A4159">
        <w:rPr>
          <w:rStyle w:val="FootnoteReference"/>
          <w:rFonts w:cs="Taher"/>
          <w:rtl/>
        </w:rPr>
        <w:footnoteReference w:id="447"/>
      </w:r>
      <w:r w:rsidRPr="000A4159">
        <w:rPr>
          <w:rFonts w:cs="Taher"/>
          <w:vertAlign w:val="superscript"/>
          <w:rtl/>
        </w:rPr>
        <w:t>)</w:t>
      </w:r>
      <w:r w:rsidRPr="00822CE9">
        <w:rPr>
          <w:rFonts w:hint="cs"/>
          <w:rtl/>
        </w:rPr>
        <w:t>.</w:t>
      </w:r>
    </w:p>
    <w:p w14:paraId="6463F917" w14:textId="77777777" w:rsidR="000A4159" w:rsidRPr="00822CE9" w:rsidRDefault="000A4159" w:rsidP="0076631E">
      <w:pPr>
        <w:spacing w:line="214" w:lineRule="auto"/>
        <w:rPr>
          <w:rtl/>
        </w:rPr>
      </w:pPr>
      <w:r w:rsidRPr="00822CE9">
        <w:rPr>
          <w:rFonts w:hint="cs"/>
          <w:b/>
          <w:bCs/>
          <w:rtl/>
        </w:rPr>
        <w:t>ثالثاً:</w:t>
      </w:r>
      <w:r w:rsidRPr="00822CE9">
        <w:rPr>
          <w:rFonts w:hint="cs"/>
          <w:rtl/>
        </w:rPr>
        <w:t xml:space="preserve"> ما ذكره السيد الحائري، من أنّه لا</w:t>
      </w:r>
      <w:r w:rsidR="0076631E">
        <w:rPr>
          <w:rFonts w:hint="cs"/>
          <w:rtl/>
        </w:rPr>
        <w:t xml:space="preserve"> </w:t>
      </w:r>
      <w:r w:rsidRPr="00822CE9">
        <w:rPr>
          <w:rFonts w:hint="cs"/>
          <w:rtl/>
        </w:rPr>
        <w:t>بدّ من حمل هذه الرواية على التقي</w:t>
      </w:r>
      <w:r w:rsidR="0076631E">
        <w:rPr>
          <w:rFonts w:hint="cs"/>
          <w:rtl/>
        </w:rPr>
        <w:t>ّ</w:t>
      </w:r>
      <w:r w:rsidRPr="00822CE9">
        <w:rPr>
          <w:rFonts w:hint="cs"/>
          <w:rtl/>
        </w:rPr>
        <w:t>ة؛ لأن</w:t>
      </w:r>
      <w:r w:rsidR="0076631E">
        <w:rPr>
          <w:rFonts w:hint="cs"/>
          <w:rtl/>
        </w:rPr>
        <w:t>ّ</w:t>
      </w:r>
      <w:r w:rsidRPr="00822CE9">
        <w:rPr>
          <w:rFonts w:hint="cs"/>
          <w:rtl/>
        </w:rPr>
        <w:t>ها وقعت قبل ثورة صاحب فخّ التي كانت مرضيةً من جانب الأئم</w:t>
      </w:r>
      <w:r w:rsidR="0076631E">
        <w:rPr>
          <w:rFonts w:hint="cs"/>
          <w:rtl/>
        </w:rPr>
        <w:t>ّ</w:t>
      </w:r>
      <w:r w:rsidRPr="00822CE9">
        <w:rPr>
          <w:rFonts w:hint="cs"/>
          <w:rtl/>
        </w:rPr>
        <w:t>ة، فيحمل إطلاقها على محمل، ولو مثل التقية؛ لإباء لسانها عن التخصيص</w:t>
      </w:r>
      <w:r w:rsidRPr="000A4159">
        <w:rPr>
          <w:rFonts w:cs="Taher"/>
          <w:vertAlign w:val="superscript"/>
          <w:rtl/>
        </w:rPr>
        <w:t>(</w:t>
      </w:r>
      <w:r w:rsidRPr="000A4159">
        <w:rPr>
          <w:rStyle w:val="FootnoteReference"/>
          <w:rFonts w:cs="Taher"/>
          <w:rtl/>
        </w:rPr>
        <w:footnoteReference w:id="448"/>
      </w:r>
      <w:r w:rsidRPr="000A4159">
        <w:rPr>
          <w:rFonts w:cs="Taher"/>
          <w:vertAlign w:val="superscript"/>
          <w:rtl/>
        </w:rPr>
        <w:t>)</w:t>
      </w:r>
      <w:r w:rsidRPr="00822CE9">
        <w:rPr>
          <w:rFonts w:hint="cs"/>
          <w:rtl/>
        </w:rPr>
        <w:t>.</w:t>
      </w:r>
    </w:p>
    <w:p w14:paraId="6A57D520" w14:textId="77777777" w:rsidR="000A4159" w:rsidRPr="00822CE9" w:rsidRDefault="000A4159" w:rsidP="00BC0CFE">
      <w:pPr>
        <w:spacing w:line="214" w:lineRule="auto"/>
        <w:rPr>
          <w:rtl/>
        </w:rPr>
      </w:pPr>
      <w:r w:rsidRPr="00822CE9">
        <w:rPr>
          <w:rFonts w:hint="cs"/>
          <w:b/>
          <w:bCs/>
          <w:rtl/>
        </w:rPr>
        <w:t>وهذا الوجه ضعيف؛</w:t>
      </w:r>
      <w:r w:rsidRPr="00822CE9">
        <w:rPr>
          <w:rFonts w:hint="cs"/>
          <w:rtl/>
        </w:rPr>
        <w:t xml:space="preserve"> لعدم ثبوت رضا الأئم</w:t>
      </w:r>
      <w:r w:rsidR="00BC0CFE">
        <w:rPr>
          <w:rFonts w:hint="cs"/>
          <w:rtl/>
        </w:rPr>
        <w:t>ّ</w:t>
      </w:r>
      <w:r w:rsidRPr="00822CE9">
        <w:rPr>
          <w:rFonts w:hint="cs"/>
          <w:rtl/>
        </w:rPr>
        <w:t>ة عن ثورة صاحب فخّ كما أسلفناه، وقد ناقشنا في محلّه هناك دليل</w:t>
      </w:r>
      <w:r w:rsidR="00BC0CFE">
        <w:rPr>
          <w:rFonts w:hint="cs"/>
          <w:rtl/>
        </w:rPr>
        <w:t>َ</w:t>
      </w:r>
      <w:r w:rsidRPr="00822CE9">
        <w:rPr>
          <w:rFonts w:hint="cs"/>
          <w:rtl/>
        </w:rPr>
        <w:t xml:space="preserve"> السيد الحائري نفسه على دعم أهل البيت لهذه الثورة، على أنّ المناقشة المتقدّمة للرواية (تحت عنوان: ثانياً) تحلّ الموضوع بوجه</w:t>
      </w:r>
      <w:r w:rsidR="00BC0CFE">
        <w:rPr>
          <w:rFonts w:hint="cs"/>
          <w:rtl/>
        </w:rPr>
        <w:t>ٍ</w:t>
      </w:r>
      <w:r w:rsidRPr="00822CE9">
        <w:rPr>
          <w:rFonts w:hint="cs"/>
          <w:rtl/>
        </w:rPr>
        <w:t xml:space="preserve"> مقبول، وقد علّق الحائري كثيراً في مناقشته لهذه الروايات على فكرة صدورها قبل ثورة صاحب فخّ، مع أنّ دليله الرئيس هناك كان أنّ عدم وجود ذمّ للثورة دليلٌ على تأييدها، أفلا تكفي كلّ هذه الروايات الواردة والمعلنة لثقافة تحريم الثورة كي تكون بنفسها مؤشراً على رفض ثورة صاحب فخّ؟! فالأصحّ أنّ الضعف السندي إلى جانب قرينة ادّعاء مهدوي</w:t>
      </w:r>
      <w:r w:rsidR="00BC0CFE">
        <w:rPr>
          <w:rFonts w:hint="cs"/>
          <w:rtl/>
        </w:rPr>
        <w:t>ّ</w:t>
      </w:r>
      <w:r w:rsidRPr="00822CE9">
        <w:rPr>
          <w:rFonts w:hint="cs"/>
          <w:rtl/>
        </w:rPr>
        <w:t>ة محمد بن عبد الله بن الحسن، هما المسقطان للاستدلال بهذه الرواية.</w:t>
      </w:r>
    </w:p>
    <w:p w14:paraId="46980A6F" w14:textId="77777777" w:rsidR="000A4159" w:rsidRPr="00822CE9" w:rsidRDefault="00BC0CFE" w:rsidP="00BC0CFE">
      <w:pPr>
        <w:spacing w:line="214" w:lineRule="auto"/>
        <w:rPr>
          <w:rtl/>
        </w:rPr>
      </w:pPr>
      <w:r w:rsidRPr="00BC0CFE">
        <w:rPr>
          <w:rFonts w:hint="cs"/>
          <w:b/>
          <w:bCs/>
          <w:rtl/>
        </w:rPr>
        <w:t>الرواية الخامسة عشرة</w:t>
      </w:r>
      <w:r w:rsidR="000A4159" w:rsidRPr="00BC0CFE">
        <w:rPr>
          <w:rFonts w:hint="cs"/>
          <w:b/>
          <w:bCs/>
          <w:rtl/>
        </w:rPr>
        <w:t>: خبر نهج البلاغة،</w:t>
      </w:r>
      <w:r w:rsidR="000A4159" w:rsidRPr="00822CE9">
        <w:rPr>
          <w:rFonts w:hint="cs"/>
          <w:rtl/>
        </w:rPr>
        <w:t xml:space="preserve"> عن أمير المؤمنين</w:t>
      </w:r>
      <w:r>
        <w:rPr>
          <w:rFonts w:hint="cs"/>
          <w:rtl/>
        </w:rPr>
        <w:t>×</w:t>
      </w:r>
      <w:r w:rsidR="000A4159" w:rsidRPr="00822CE9">
        <w:rPr>
          <w:rFonts w:hint="cs"/>
          <w:rtl/>
        </w:rPr>
        <w:t xml:space="preserve"> أن</w:t>
      </w:r>
      <w:r>
        <w:rPr>
          <w:rFonts w:hint="cs"/>
          <w:rtl/>
        </w:rPr>
        <w:t>ّ</w:t>
      </w:r>
      <w:r w:rsidR="000A4159" w:rsidRPr="00822CE9">
        <w:rPr>
          <w:rFonts w:hint="cs"/>
          <w:rtl/>
        </w:rPr>
        <w:t>ه قال في خطبة</w:t>
      </w:r>
      <w:r>
        <w:rPr>
          <w:rFonts w:hint="cs"/>
          <w:rtl/>
        </w:rPr>
        <w:t>ٍ له: «الزموا الأرض، وا</w:t>
      </w:r>
      <w:r w:rsidR="000A4159" w:rsidRPr="00822CE9">
        <w:rPr>
          <w:rFonts w:hint="cs"/>
          <w:rtl/>
        </w:rPr>
        <w:t>صبروا على البلاء، ولا تحر</w:t>
      </w:r>
      <w:r>
        <w:rPr>
          <w:rFonts w:hint="cs"/>
          <w:rtl/>
        </w:rPr>
        <w:t>ّ</w:t>
      </w:r>
      <w:r w:rsidR="000A4159" w:rsidRPr="00822CE9">
        <w:rPr>
          <w:rFonts w:hint="cs"/>
          <w:rtl/>
        </w:rPr>
        <w:t>كوا بأيديكم وسيوفكم في هوى ألسنتكم، ولا تستعجلوا بما لم ي</w:t>
      </w:r>
      <w:r>
        <w:rPr>
          <w:rFonts w:hint="cs"/>
          <w:rtl/>
        </w:rPr>
        <w:t>عجل</w:t>
      </w:r>
      <w:r w:rsidR="000A4159" w:rsidRPr="00822CE9">
        <w:rPr>
          <w:rFonts w:hint="cs"/>
          <w:rtl/>
        </w:rPr>
        <w:t xml:space="preserve"> به (يعجله) الله لكم، فإن</w:t>
      </w:r>
      <w:r>
        <w:rPr>
          <w:rFonts w:hint="cs"/>
          <w:rtl/>
        </w:rPr>
        <w:t>ّ</w:t>
      </w:r>
      <w:r w:rsidR="000A4159" w:rsidRPr="00822CE9">
        <w:rPr>
          <w:rFonts w:hint="cs"/>
          <w:rtl/>
        </w:rPr>
        <w:t>ه من مات منكم على فراشه وهو على معرفة حقّ ربه وحق</w:t>
      </w:r>
      <w:r>
        <w:rPr>
          <w:rFonts w:hint="cs"/>
          <w:rtl/>
        </w:rPr>
        <w:t>ّ</w:t>
      </w:r>
      <w:r w:rsidR="000A4159" w:rsidRPr="00822CE9">
        <w:rPr>
          <w:rFonts w:hint="cs"/>
          <w:rtl/>
        </w:rPr>
        <w:t xml:space="preserve"> رسوله وأهل بيته مات شهيداً، ووقع أجره على الله، واستوجب ثواب ما نوى من صالح عمله، </w:t>
      </w:r>
      <w:r w:rsidR="000A4159" w:rsidRPr="00822CE9">
        <w:rPr>
          <w:rFonts w:hint="cs"/>
          <w:rtl/>
        </w:rPr>
        <w:lastRenderedPageBreak/>
        <w:t>وقامت النية مقام إصلاته بسيفه (لسيفه)، فإن</w:t>
      </w:r>
      <w:r>
        <w:rPr>
          <w:rFonts w:hint="cs"/>
          <w:rtl/>
        </w:rPr>
        <w:t>ّ</w:t>
      </w:r>
      <w:r w:rsidR="000A4159" w:rsidRPr="00822CE9">
        <w:rPr>
          <w:rFonts w:hint="cs"/>
          <w:rtl/>
        </w:rPr>
        <w:t xml:space="preserve"> لكلّ شيء مد</w:t>
      </w:r>
      <w:r>
        <w:rPr>
          <w:rFonts w:hint="cs"/>
          <w:rtl/>
        </w:rPr>
        <w:t>ّ</w:t>
      </w:r>
      <w:r w:rsidR="000A4159" w:rsidRPr="00822CE9">
        <w:rPr>
          <w:rFonts w:hint="cs"/>
          <w:rtl/>
        </w:rPr>
        <w:t>ة وأجلاً»</w:t>
      </w:r>
      <w:r w:rsidR="000A4159" w:rsidRPr="000A4159">
        <w:rPr>
          <w:rFonts w:cs="Taher"/>
          <w:vertAlign w:val="superscript"/>
          <w:rtl/>
        </w:rPr>
        <w:t>(</w:t>
      </w:r>
      <w:r w:rsidR="000A4159" w:rsidRPr="000A4159">
        <w:rPr>
          <w:rStyle w:val="FootnoteReference"/>
          <w:rFonts w:cs="Taher"/>
          <w:rtl/>
        </w:rPr>
        <w:footnoteReference w:id="449"/>
      </w:r>
      <w:r w:rsidR="000A4159" w:rsidRPr="000A4159">
        <w:rPr>
          <w:rFonts w:cs="Taher"/>
          <w:vertAlign w:val="superscript"/>
          <w:rtl/>
        </w:rPr>
        <w:t>)</w:t>
      </w:r>
      <w:r w:rsidR="000A4159" w:rsidRPr="00822CE9">
        <w:rPr>
          <w:rtl/>
        </w:rPr>
        <w:t>.</w:t>
      </w:r>
    </w:p>
    <w:p w14:paraId="51D52E0C" w14:textId="77777777" w:rsidR="000A4159" w:rsidRPr="00822CE9" w:rsidRDefault="00BC0CFE" w:rsidP="006A1753">
      <w:pPr>
        <w:spacing w:line="214" w:lineRule="auto"/>
        <w:rPr>
          <w:rtl/>
        </w:rPr>
      </w:pPr>
      <w:r>
        <w:rPr>
          <w:rFonts w:hint="cs"/>
          <w:b/>
          <w:bCs/>
          <w:rtl/>
        </w:rPr>
        <w:t xml:space="preserve">لكنّ هذه </w:t>
      </w:r>
      <w:r w:rsidR="000A4159" w:rsidRPr="00BC0CFE">
        <w:rPr>
          <w:rFonts w:hint="cs"/>
          <w:b/>
          <w:bCs/>
          <w:rtl/>
        </w:rPr>
        <w:t>الرواية ـ مضافاً إلى ضعفها السندي بالإرسال الشديد، حيث لم أعثر لها في سائر المصادر على سن</w:t>
      </w:r>
      <w:r>
        <w:rPr>
          <w:rFonts w:hint="cs"/>
          <w:b/>
          <w:bCs/>
          <w:rtl/>
        </w:rPr>
        <w:t>دٍ</w:t>
      </w:r>
      <w:r w:rsidR="000A4159" w:rsidRPr="00BC0CFE">
        <w:rPr>
          <w:rFonts w:hint="cs"/>
          <w:b/>
          <w:bCs/>
          <w:rtl/>
        </w:rPr>
        <w:t xml:space="preserve"> أساساً ـ ليس فيها تأ</w:t>
      </w:r>
      <w:r>
        <w:rPr>
          <w:rFonts w:hint="cs"/>
          <w:b/>
          <w:bCs/>
          <w:rtl/>
        </w:rPr>
        <w:t>ب</w:t>
      </w:r>
      <w:r w:rsidR="000A4159" w:rsidRPr="00BC0CFE">
        <w:rPr>
          <w:rFonts w:hint="cs"/>
          <w:b/>
          <w:bCs/>
          <w:rtl/>
        </w:rPr>
        <w:t>يد</w:t>
      </w:r>
      <w:r>
        <w:rPr>
          <w:rFonts w:hint="cs"/>
          <w:b/>
          <w:bCs/>
          <w:rtl/>
        </w:rPr>
        <w:t>؛</w:t>
      </w:r>
      <w:r w:rsidR="000A4159" w:rsidRPr="00822CE9">
        <w:rPr>
          <w:rFonts w:hint="cs"/>
          <w:rtl/>
        </w:rPr>
        <w:t xml:space="preserve"> إذ ظاهرها النهي عن العجلة باستخدام القوّة، </w:t>
      </w:r>
      <w:r>
        <w:rPr>
          <w:rFonts w:hint="cs"/>
          <w:rtl/>
        </w:rPr>
        <w:t xml:space="preserve">لا </w:t>
      </w:r>
      <w:r w:rsidR="000A4159" w:rsidRPr="00822CE9">
        <w:rPr>
          <w:rFonts w:hint="cs"/>
          <w:rtl/>
        </w:rPr>
        <w:t>سيما مع غمز</w:t>
      </w:r>
      <w:r>
        <w:rPr>
          <w:rFonts w:hint="cs"/>
          <w:rtl/>
        </w:rPr>
        <w:t>ه</w:t>
      </w:r>
      <w:r w:rsidR="000A4159" w:rsidRPr="00822CE9">
        <w:rPr>
          <w:rFonts w:hint="cs"/>
          <w:rtl/>
        </w:rPr>
        <w:t xml:space="preserve"> بأن</w:t>
      </w:r>
      <w:r>
        <w:rPr>
          <w:rFonts w:hint="cs"/>
          <w:rtl/>
        </w:rPr>
        <w:t>ّ</w:t>
      </w:r>
      <w:r w:rsidR="000A4159" w:rsidRPr="00822CE9">
        <w:rPr>
          <w:rFonts w:hint="cs"/>
          <w:rtl/>
        </w:rPr>
        <w:t xml:space="preserve"> ذلك في هوى النفوس والميول والرغبات، فه</w:t>
      </w:r>
      <w:r w:rsidR="006A1753">
        <w:rPr>
          <w:rFonts w:hint="cs"/>
          <w:rtl/>
        </w:rPr>
        <w:t>ي</w:t>
      </w:r>
      <w:r w:rsidR="000A4159" w:rsidRPr="00822CE9">
        <w:rPr>
          <w:rFonts w:hint="cs"/>
          <w:rtl/>
        </w:rPr>
        <w:t xml:space="preserve"> إشارة إلى أن</w:t>
      </w:r>
      <w:r>
        <w:rPr>
          <w:rFonts w:hint="cs"/>
          <w:rtl/>
        </w:rPr>
        <w:t>ّ</w:t>
      </w:r>
      <w:r w:rsidR="000A4159" w:rsidRPr="00822CE9">
        <w:rPr>
          <w:rFonts w:hint="cs"/>
          <w:rtl/>
        </w:rPr>
        <w:t>ه ليس السيف هو المعيار دوماً وحل</w:t>
      </w:r>
      <w:r>
        <w:rPr>
          <w:rFonts w:hint="cs"/>
          <w:rtl/>
        </w:rPr>
        <w:t>ّ</w:t>
      </w:r>
      <w:r w:rsidR="000A4159" w:rsidRPr="00822CE9">
        <w:rPr>
          <w:rFonts w:hint="cs"/>
          <w:rtl/>
        </w:rPr>
        <w:t>ال المشاكل</w:t>
      </w:r>
      <w:r>
        <w:rPr>
          <w:rFonts w:hint="cs"/>
          <w:rtl/>
        </w:rPr>
        <w:t>،</w:t>
      </w:r>
      <w:r w:rsidR="000A4159" w:rsidRPr="00822CE9">
        <w:rPr>
          <w:rFonts w:hint="cs"/>
          <w:rtl/>
        </w:rPr>
        <w:t xml:space="preserve"> بل عليهم الصبر والتري</w:t>
      </w:r>
      <w:r>
        <w:rPr>
          <w:rFonts w:hint="cs"/>
          <w:rtl/>
        </w:rPr>
        <w:t>ّ</w:t>
      </w:r>
      <w:r w:rsidR="000A4159" w:rsidRPr="00822CE9">
        <w:rPr>
          <w:rFonts w:hint="cs"/>
          <w:rtl/>
        </w:rPr>
        <w:t>ث، وفي فترة التريث لهم أجر الشهداء لح</w:t>
      </w:r>
      <w:r>
        <w:rPr>
          <w:rFonts w:hint="cs"/>
          <w:rtl/>
        </w:rPr>
        <w:t>ُ</w:t>
      </w:r>
      <w:r w:rsidR="000A4159" w:rsidRPr="00822CE9">
        <w:rPr>
          <w:rFonts w:hint="cs"/>
          <w:rtl/>
        </w:rPr>
        <w:t>سن ني</w:t>
      </w:r>
      <w:r>
        <w:rPr>
          <w:rFonts w:hint="cs"/>
          <w:rtl/>
        </w:rPr>
        <w:t>ّ</w:t>
      </w:r>
      <w:r w:rsidR="000A4159" w:rsidRPr="00822CE9">
        <w:rPr>
          <w:rFonts w:hint="cs"/>
          <w:rtl/>
        </w:rPr>
        <w:t xml:space="preserve">تهم، وهذا كلّه لا إشارة فيه إلى </w:t>
      </w:r>
      <w:r>
        <w:rPr>
          <w:rFonts w:hint="cs"/>
          <w:rtl/>
        </w:rPr>
        <w:t>مفهوم التأبيد</w:t>
      </w:r>
      <w:r w:rsidR="00C50DBD">
        <w:rPr>
          <w:rFonts w:hint="cs"/>
          <w:rtl/>
        </w:rPr>
        <w:t xml:space="preserve"> والإطلاقيّة</w:t>
      </w:r>
      <w:r w:rsidR="000A4159" w:rsidRPr="00822CE9">
        <w:rPr>
          <w:rFonts w:hint="cs"/>
          <w:rtl/>
        </w:rPr>
        <w:t>، كما هو واضح.</w:t>
      </w:r>
    </w:p>
    <w:p w14:paraId="7A546782" w14:textId="77777777" w:rsidR="000A4159" w:rsidRPr="00822CE9" w:rsidRDefault="000A4159" w:rsidP="00BC0CFE">
      <w:pPr>
        <w:spacing w:line="214" w:lineRule="auto"/>
        <w:rPr>
          <w:rtl/>
        </w:rPr>
      </w:pPr>
      <w:r w:rsidRPr="006A1753">
        <w:rPr>
          <w:rFonts w:hint="cs"/>
          <w:b/>
          <w:bCs/>
          <w:rtl/>
        </w:rPr>
        <w:t>بل نحن نسأل</w:t>
      </w:r>
      <w:r w:rsidR="00BC0CFE" w:rsidRPr="006A1753">
        <w:rPr>
          <w:rFonts w:hint="cs"/>
          <w:b/>
          <w:bCs/>
          <w:rtl/>
        </w:rPr>
        <w:t>:</w:t>
      </w:r>
      <w:r w:rsidRPr="00822CE9">
        <w:rPr>
          <w:rFonts w:hint="cs"/>
          <w:rtl/>
        </w:rPr>
        <w:t xml:space="preserve"> إذا كانت الخطبة قبل تولّيه الخلافة</w:t>
      </w:r>
      <w:r w:rsidR="00BC0CFE">
        <w:rPr>
          <w:rFonts w:hint="cs"/>
          <w:rtl/>
        </w:rPr>
        <w:t>،</w:t>
      </w:r>
      <w:r w:rsidRPr="00822CE9">
        <w:rPr>
          <w:rFonts w:hint="cs"/>
          <w:rtl/>
        </w:rPr>
        <w:t xml:space="preserve"> أليس من الوجيه تفسيرها بعدم الثورة على الخلفاء ق</w:t>
      </w:r>
      <w:r w:rsidR="00BC0CFE">
        <w:rPr>
          <w:rFonts w:hint="cs"/>
          <w:rtl/>
        </w:rPr>
        <w:t>َ</w:t>
      </w:r>
      <w:r w:rsidRPr="00822CE9">
        <w:rPr>
          <w:rFonts w:hint="cs"/>
          <w:rtl/>
        </w:rPr>
        <w:t>بله وهو ما لا يسمح بالتعميم؟</w:t>
      </w:r>
      <w:r w:rsidR="00BC0CFE">
        <w:rPr>
          <w:rFonts w:hint="cs"/>
          <w:rtl/>
        </w:rPr>
        <w:t>!</w:t>
      </w:r>
      <w:r w:rsidRPr="00822CE9">
        <w:rPr>
          <w:rFonts w:hint="cs"/>
          <w:rtl/>
        </w:rPr>
        <w:t xml:space="preserve"> وإذا كانت بعد الخلافة </w:t>
      </w:r>
      <w:r w:rsidR="00BC0CFE">
        <w:rPr>
          <w:rFonts w:hint="cs"/>
          <w:rtl/>
        </w:rPr>
        <w:t xml:space="preserve">ـ </w:t>
      </w:r>
      <w:r w:rsidRPr="00822CE9">
        <w:rPr>
          <w:rFonts w:hint="cs"/>
          <w:rtl/>
        </w:rPr>
        <w:t xml:space="preserve">كما </w:t>
      </w:r>
      <w:r w:rsidR="00BC0CFE">
        <w:rPr>
          <w:rFonts w:hint="cs"/>
          <w:rtl/>
        </w:rPr>
        <w:t xml:space="preserve">لعلّه </w:t>
      </w:r>
      <w:r w:rsidRPr="00822CE9">
        <w:rPr>
          <w:rFonts w:hint="cs"/>
          <w:rtl/>
        </w:rPr>
        <w:t xml:space="preserve">الأقرب </w:t>
      </w:r>
      <w:r w:rsidR="00BC0CFE">
        <w:rPr>
          <w:rFonts w:hint="cs"/>
          <w:rtl/>
        </w:rPr>
        <w:t xml:space="preserve">ـ </w:t>
      </w:r>
      <w:r w:rsidRPr="00822CE9">
        <w:rPr>
          <w:rFonts w:hint="cs"/>
          <w:rtl/>
        </w:rPr>
        <w:t>ألم ي</w:t>
      </w:r>
      <w:r w:rsidR="00BC0CFE">
        <w:rPr>
          <w:rFonts w:hint="cs"/>
          <w:rtl/>
        </w:rPr>
        <w:t>ُ</w:t>
      </w:r>
      <w:r w:rsidRPr="00822CE9">
        <w:rPr>
          <w:rFonts w:hint="cs"/>
          <w:rtl/>
        </w:rPr>
        <w:t>شه</w:t>
      </w:r>
      <w:r w:rsidR="00BC0CFE">
        <w:rPr>
          <w:rFonts w:hint="cs"/>
          <w:rtl/>
        </w:rPr>
        <w:t>ر</w:t>
      </w:r>
      <w:r w:rsidRPr="00822CE9">
        <w:rPr>
          <w:rFonts w:hint="cs"/>
          <w:rtl/>
        </w:rPr>
        <w:t xml:space="preserve"> هو السيف ضدّ أصحاب الجمل والنهروان وصف</w:t>
      </w:r>
      <w:r w:rsidR="00BC0CFE">
        <w:rPr>
          <w:rFonts w:hint="cs"/>
          <w:rtl/>
        </w:rPr>
        <w:t>ّ</w:t>
      </w:r>
      <w:r w:rsidRPr="00822CE9">
        <w:rPr>
          <w:rFonts w:hint="cs"/>
          <w:rtl/>
        </w:rPr>
        <w:t>ين؟! إذ</w:t>
      </w:r>
      <w:r w:rsidR="00BC0CFE">
        <w:rPr>
          <w:rFonts w:hint="cs"/>
          <w:rtl/>
        </w:rPr>
        <w:t>اً</w:t>
      </w:r>
      <w:r w:rsidRPr="00822CE9">
        <w:rPr>
          <w:rFonts w:hint="cs"/>
          <w:rtl/>
        </w:rPr>
        <w:t xml:space="preserve"> فلا معنى لفهم الحديث فهماً إطلاقي</w:t>
      </w:r>
      <w:r w:rsidR="00BC0CFE">
        <w:rPr>
          <w:rFonts w:hint="cs"/>
          <w:rtl/>
        </w:rPr>
        <w:t>ّ</w:t>
      </w:r>
      <w:r w:rsidRPr="00822CE9">
        <w:rPr>
          <w:rFonts w:hint="cs"/>
          <w:rtl/>
        </w:rPr>
        <w:t>اً.</w:t>
      </w:r>
    </w:p>
    <w:p w14:paraId="1313EEAD" w14:textId="157F900D" w:rsidR="000A4159" w:rsidRDefault="000A4159" w:rsidP="00CF1E7F">
      <w:pPr>
        <w:pStyle w:val="normal84"/>
        <w:rPr>
          <w:rtl/>
        </w:rPr>
      </w:pPr>
      <w:r w:rsidRPr="00BC0CFE">
        <w:rPr>
          <w:rFonts w:hint="cs"/>
          <w:b/>
          <w:bCs/>
          <w:rtl/>
        </w:rPr>
        <w:t>هذا، وقد طعن السي</w:t>
      </w:r>
      <w:r w:rsidR="00BC0CFE">
        <w:rPr>
          <w:rFonts w:hint="cs"/>
          <w:b/>
          <w:bCs/>
          <w:rtl/>
        </w:rPr>
        <w:t>ّ</w:t>
      </w:r>
      <w:r w:rsidRPr="00BC0CFE">
        <w:rPr>
          <w:rFonts w:hint="cs"/>
          <w:b/>
          <w:bCs/>
          <w:rtl/>
        </w:rPr>
        <w:t>د مصطفى الخميني في هذه الرواية بالقول:</w:t>
      </w:r>
      <w:r w:rsidRPr="00822CE9">
        <w:rPr>
          <w:rFonts w:hint="cs"/>
          <w:rtl/>
        </w:rPr>
        <w:t xml:space="preserve"> </w:t>
      </w:r>
      <w:r w:rsidR="00D537A9" w:rsidRPr="00822CE9">
        <w:rPr>
          <w:rFonts w:hint="cs"/>
          <w:rtl/>
        </w:rPr>
        <w:t>«</w:t>
      </w:r>
      <w:r w:rsidRPr="00822CE9">
        <w:rPr>
          <w:rtl/>
        </w:rPr>
        <w:t>وغير خفي</w:t>
      </w:r>
      <w:r w:rsidRPr="00822CE9">
        <w:rPr>
          <w:rFonts w:hint="cs"/>
          <w:rtl/>
        </w:rPr>
        <w:t>ّ</w:t>
      </w:r>
      <w:r w:rsidRPr="00822CE9">
        <w:rPr>
          <w:rtl/>
        </w:rPr>
        <w:t xml:space="preserve"> أن</w:t>
      </w:r>
      <w:r w:rsidRPr="00822CE9">
        <w:rPr>
          <w:rFonts w:hint="cs"/>
          <w:rtl/>
        </w:rPr>
        <w:t>ّ</w:t>
      </w:r>
      <w:r w:rsidRPr="00822CE9">
        <w:rPr>
          <w:rtl/>
        </w:rPr>
        <w:t xml:space="preserve"> من يعرف بلاغته</w:t>
      </w:r>
      <w:r w:rsidR="00BC0CFE">
        <w:rPr>
          <w:rFonts w:hint="cs"/>
          <w:rtl/>
        </w:rPr>
        <w:t>×</w:t>
      </w:r>
      <w:r w:rsidRPr="00822CE9">
        <w:rPr>
          <w:rtl/>
        </w:rPr>
        <w:t xml:space="preserve"> وفصاحته، يطمئن</w:t>
      </w:r>
      <w:r w:rsidR="00BC0CFE">
        <w:rPr>
          <w:rFonts w:hint="cs"/>
          <w:rtl/>
        </w:rPr>
        <w:t>ّ</w:t>
      </w:r>
      <w:r w:rsidRPr="00822CE9">
        <w:rPr>
          <w:rtl/>
        </w:rPr>
        <w:t xml:space="preserve"> بأن</w:t>
      </w:r>
      <w:r w:rsidRPr="00822CE9">
        <w:rPr>
          <w:rFonts w:hint="cs"/>
          <w:rtl/>
        </w:rPr>
        <w:t>ّ</w:t>
      </w:r>
      <w:r w:rsidRPr="00822CE9">
        <w:rPr>
          <w:rtl/>
        </w:rPr>
        <w:t>ه من الأكاذيب المنسوبة إليه</w:t>
      </w:r>
      <w:r w:rsidRPr="00822CE9">
        <w:rPr>
          <w:rFonts w:hint="cs"/>
          <w:rtl/>
        </w:rPr>
        <w:t>؛</w:t>
      </w:r>
      <w:r w:rsidRPr="00822CE9">
        <w:rPr>
          <w:rtl/>
        </w:rPr>
        <w:t xml:space="preserve"> لخلو</w:t>
      </w:r>
      <w:r w:rsidRPr="00822CE9">
        <w:rPr>
          <w:rFonts w:hint="cs"/>
          <w:rtl/>
        </w:rPr>
        <w:t>ّ</w:t>
      </w:r>
      <w:r w:rsidRPr="00822CE9">
        <w:rPr>
          <w:rtl/>
        </w:rPr>
        <w:t>ها عن خصوصي</w:t>
      </w:r>
      <w:r w:rsidR="00BC0CFE">
        <w:rPr>
          <w:rFonts w:hint="cs"/>
          <w:rtl/>
        </w:rPr>
        <w:t>ّ</w:t>
      </w:r>
      <w:r w:rsidRPr="00822CE9">
        <w:rPr>
          <w:rtl/>
        </w:rPr>
        <w:t>ات الخطب اللازمة رعايتها على الخطيب، وسيظهر وجه تصد</w:t>
      </w:r>
      <w:r w:rsidRPr="00822CE9">
        <w:rPr>
          <w:rFonts w:hint="cs"/>
          <w:rtl/>
        </w:rPr>
        <w:t>ّ</w:t>
      </w:r>
      <w:r w:rsidRPr="00822CE9">
        <w:rPr>
          <w:rtl/>
        </w:rPr>
        <w:t>ي الخائنين لجعل هذه المآثير، بل ربما يجعلون وينسبون إلى غيره</w:t>
      </w:r>
      <w:r w:rsidR="00BC0CFE">
        <w:rPr>
          <w:rFonts w:hint="cs"/>
          <w:rtl/>
        </w:rPr>
        <w:t>×</w:t>
      </w:r>
      <w:r w:rsidRPr="00822CE9">
        <w:rPr>
          <w:rtl/>
        </w:rPr>
        <w:t xml:space="preserve"> كأبي بكر ما يشبه ذلك، أو إلى رسول الله</w:t>
      </w:r>
      <w:r w:rsidR="00BC0CFE">
        <w:rPr>
          <w:rFonts w:hint="cs"/>
          <w:rtl/>
        </w:rPr>
        <w:t>‘</w:t>
      </w:r>
      <w:r w:rsidRPr="00822CE9">
        <w:rPr>
          <w:rtl/>
        </w:rPr>
        <w:t>، فراجع</w:t>
      </w:r>
      <w:r w:rsidR="00D537A9" w:rsidRPr="00822CE9">
        <w:rPr>
          <w:rFonts w:hint="cs"/>
          <w:rtl/>
        </w:rPr>
        <w:t>»</w:t>
      </w:r>
      <w:r w:rsidR="00D537A9" w:rsidRPr="000A4159">
        <w:rPr>
          <w:rFonts w:cs="Taher"/>
          <w:vertAlign w:val="superscript"/>
          <w:rtl/>
        </w:rPr>
        <w:t xml:space="preserve"> </w:t>
      </w:r>
      <w:r w:rsidRPr="000A4159">
        <w:rPr>
          <w:rFonts w:cs="Taher"/>
          <w:vertAlign w:val="superscript"/>
          <w:rtl/>
        </w:rPr>
        <w:t>(</w:t>
      </w:r>
      <w:r w:rsidRPr="000A4159">
        <w:rPr>
          <w:rStyle w:val="FootnoteReference"/>
          <w:rFonts w:cs="Taher"/>
          <w:rtl/>
        </w:rPr>
        <w:footnoteReference w:id="450"/>
      </w:r>
      <w:r w:rsidRPr="000A4159">
        <w:rPr>
          <w:rFonts w:cs="Taher"/>
          <w:vertAlign w:val="superscript"/>
          <w:rtl/>
        </w:rPr>
        <w:t>)</w:t>
      </w:r>
      <w:r w:rsidRPr="00822CE9">
        <w:rPr>
          <w:rFonts w:hint="cs"/>
          <w:rtl/>
        </w:rPr>
        <w:t>.</w:t>
      </w:r>
    </w:p>
    <w:p w14:paraId="7EB80D7A" w14:textId="77777777" w:rsidR="0080620D" w:rsidRPr="0080620D" w:rsidRDefault="0080620D" w:rsidP="000153E6">
      <w:pPr>
        <w:pStyle w:val="Heading4"/>
        <w:rPr>
          <w:rtl/>
        </w:rPr>
      </w:pPr>
      <w:bookmarkStart w:id="239" w:name="_Toc143804199"/>
      <w:bookmarkStart w:id="240" w:name="_Toc238123324"/>
      <w:r w:rsidRPr="0080620D">
        <w:rPr>
          <w:rFonts w:hint="cs"/>
          <w:rtl/>
        </w:rPr>
        <w:t xml:space="preserve">وقفات مع الحائري والمنتظري </w:t>
      </w:r>
      <w:r>
        <w:rPr>
          <w:rFonts w:hint="cs"/>
          <w:rtl/>
        </w:rPr>
        <w:t xml:space="preserve">و.. </w:t>
      </w:r>
      <w:r w:rsidRPr="0080620D">
        <w:rPr>
          <w:rFonts w:hint="cs"/>
          <w:rtl/>
        </w:rPr>
        <w:t xml:space="preserve">في رفض الثورة قبل </w:t>
      </w:r>
      <w:r>
        <w:rPr>
          <w:rFonts w:hint="cs"/>
          <w:rtl/>
        </w:rPr>
        <w:t>"</w:t>
      </w:r>
      <w:r w:rsidRPr="0080620D">
        <w:rPr>
          <w:rFonts w:hint="cs"/>
          <w:rtl/>
        </w:rPr>
        <w:t>العلامات</w:t>
      </w:r>
      <w:r>
        <w:rPr>
          <w:rFonts w:hint="cs"/>
          <w:rtl/>
        </w:rPr>
        <w:t>"</w:t>
      </w:r>
      <w:bookmarkEnd w:id="239"/>
      <w:bookmarkEnd w:id="240"/>
    </w:p>
    <w:p w14:paraId="75EA0F15" w14:textId="77777777" w:rsidR="000A4159" w:rsidRPr="00822CE9" w:rsidRDefault="003D0E9E" w:rsidP="00CF1E7F">
      <w:pPr>
        <w:pStyle w:val="normal84"/>
        <w:rPr>
          <w:rtl/>
        </w:rPr>
      </w:pPr>
      <w:r w:rsidRPr="003D0E9E">
        <w:rPr>
          <w:rFonts w:hint="cs"/>
          <w:b/>
          <w:bCs/>
          <w:rtl/>
        </w:rPr>
        <w:t xml:space="preserve">الرواية السادسة عشرة: </w:t>
      </w:r>
      <w:r w:rsidR="000A4159" w:rsidRPr="003D0E9E">
        <w:rPr>
          <w:rFonts w:hint="cs"/>
          <w:b/>
          <w:bCs/>
          <w:rtl/>
        </w:rPr>
        <w:t>خبر جابر،</w:t>
      </w:r>
      <w:r w:rsidR="000A4159" w:rsidRPr="00822CE9">
        <w:rPr>
          <w:rFonts w:hint="cs"/>
          <w:rtl/>
        </w:rPr>
        <w:t xml:space="preserve"> عن أبي جعفر</w:t>
      </w:r>
      <w:r w:rsidR="009A1626" w:rsidRPr="00822CE9">
        <w:rPr>
          <w:rFonts w:hint="cs"/>
          <w:rtl/>
        </w:rPr>
        <w:t>×</w:t>
      </w:r>
      <w:r w:rsidR="000A4159" w:rsidRPr="00822CE9">
        <w:rPr>
          <w:rFonts w:hint="cs"/>
          <w:rtl/>
        </w:rPr>
        <w:t xml:space="preserve"> قال: «إلزم الأرض، ولا تحر</w:t>
      </w:r>
      <w:r w:rsidR="00557331">
        <w:rPr>
          <w:rFonts w:hint="cs"/>
          <w:rtl/>
        </w:rPr>
        <w:t>ّ</w:t>
      </w:r>
      <w:r w:rsidR="000A4159" w:rsidRPr="00822CE9">
        <w:rPr>
          <w:rFonts w:hint="cs"/>
          <w:rtl/>
        </w:rPr>
        <w:t>ك يداً ولا رجلاً حتى ترى علامات</w:t>
      </w:r>
      <w:r w:rsidR="00557331">
        <w:rPr>
          <w:rFonts w:hint="cs"/>
          <w:rtl/>
        </w:rPr>
        <w:t>ٍ</w:t>
      </w:r>
      <w:r w:rsidR="000A4159" w:rsidRPr="00822CE9">
        <w:rPr>
          <w:rFonts w:hint="cs"/>
          <w:rtl/>
        </w:rPr>
        <w:t xml:space="preserve"> أذكرها لك وما أراك ت</w:t>
      </w:r>
      <w:r w:rsidR="00557331">
        <w:rPr>
          <w:rFonts w:hint="cs"/>
          <w:rtl/>
        </w:rPr>
        <w:t>ُدركها: ا</w:t>
      </w:r>
      <w:r w:rsidR="000A4159" w:rsidRPr="00822CE9">
        <w:rPr>
          <w:rFonts w:hint="cs"/>
          <w:rtl/>
        </w:rPr>
        <w:t>ختلاف بني فلان، ومناد</w:t>
      </w:r>
      <w:r w:rsidR="00557331">
        <w:rPr>
          <w:rFonts w:hint="cs"/>
          <w:rtl/>
        </w:rPr>
        <w:t>ٍ</w:t>
      </w:r>
      <w:r w:rsidR="000A4159" w:rsidRPr="00822CE9">
        <w:rPr>
          <w:rFonts w:hint="cs"/>
          <w:rtl/>
        </w:rPr>
        <w:t xml:space="preserve"> ينادي من السماء، ويجيئكم الصوت من ناحية دمشق..»</w:t>
      </w:r>
      <w:r w:rsidR="000A4159" w:rsidRPr="000A4159">
        <w:rPr>
          <w:rFonts w:cs="Taher"/>
          <w:vertAlign w:val="superscript"/>
          <w:rtl/>
        </w:rPr>
        <w:t>(</w:t>
      </w:r>
      <w:r w:rsidR="000A4159" w:rsidRPr="000A4159">
        <w:rPr>
          <w:rStyle w:val="FootnoteReference"/>
          <w:rFonts w:cs="Taher"/>
          <w:rtl/>
        </w:rPr>
        <w:footnoteReference w:id="451"/>
      </w:r>
      <w:r w:rsidR="000A4159" w:rsidRPr="000A4159">
        <w:rPr>
          <w:rFonts w:cs="Taher"/>
          <w:vertAlign w:val="superscript"/>
          <w:rtl/>
        </w:rPr>
        <w:t>)</w:t>
      </w:r>
      <w:r w:rsidR="000A4159" w:rsidRPr="00822CE9">
        <w:rPr>
          <w:rtl/>
        </w:rPr>
        <w:t>.</w:t>
      </w:r>
    </w:p>
    <w:p w14:paraId="2F518BF2" w14:textId="77777777" w:rsidR="000A4159" w:rsidRPr="00822CE9" w:rsidRDefault="000A4159" w:rsidP="00A079D6">
      <w:pPr>
        <w:spacing w:line="214" w:lineRule="auto"/>
        <w:rPr>
          <w:rtl/>
        </w:rPr>
      </w:pPr>
      <w:r w:rsidRPr="00822CE9">
        <w:rPr>
          <w:rFonts w:hint="cs"/>
          <w:rtl/>
        </w:rPr>
        <w:t>فهذه الرواية تنهى عن أي</w:t>
      </w:r>
      <w:r w:rsidR="00557331">
        <w:rPr>
          <w:rFonts w:hint="cs"/>
          <w:rtl/>
        </w:rPr>
        <w:t>ّ</w:t>
      </w:r>
      <w:r w:rsidRPr="00822CE9">
        <w:rPr>
          <w:rFonts w:hint="cs"/>
          <w:rtl/>
        </w:rPr>
        <w:t xml:space="preserve"> حركة مهما كانت جزئي</w:t>
      </w:r>
      <w:r w:rsidR="00557331">
        <w:rPr>
          <w:rFonts w:hint="cs"/>
          <w:rtl/>
        </w:rPr>
        <w:t>ّ</w:t>
      </w:r>
      <w:r w:rsidRPr="00822CE9">
        <w:rPr>
          <w:rFonts w:hint="cs"/>
          <w:rtl/>
        </w:rPr>
        <w:t xml:space="preserve">ةً قبل العلامات، وتصرّح بعدم إدراك جابر </w:t>
      </w:r>
      <w:r w:rsidRPr="00822CE9">
        <w:rPr>
          <w:rFonts w:hint="cs"/>
          <w:rtl/>
        </w:rPr>
        <w:lastRenderedPageBreak/>
        <w:t>لهذه العلامات، لهذا فهي واضحة الدلالة على المطلوب.</w:t>
      </w:r>
    </w:p>
    <w:p w14:paraId="66728B5E" w14:textId="77777777" w:rsidR="000A4159" w:rsidRPr="00557331" w:rsidRDefault="000A4159" w:rsidP="00166389">
      <w:pPr>
        <w:spacing w:line="214" w:lineRule="auto"/>
        <w:rPr>
          <w:b/>
          <w:bCs/>
          <w:rtl/>
        </w:rPr>
      </w:pPr>
      <w:r w:rsidRPr="00557331">
        <w:rPr>
          <w:rFonts w:hint="cs"/>
          <w:b/>
          <w:bCs/>
          <w:rtl/>
        </w:rPr>
        <w:t>وربما يناق</w:t>
      </w:r>
      <w:r w:rsidR="00557331">
        <w:rPr>
          <w:rFonts w:hint="cs"/>
          <w:b/>
          <w:bCs/>
          <w:rtl/>
        </w:rPr>
        <w:t>َ</w:t>
      </w:r>
      <w:r w:rsidRPr="00557331">
        <w:rPr>
          <w:rFonts w:hint="cs"/>
          <w:b/>
          <w:bCs/>
          <w:rtl/>
        </w:rPr>
        <w:t xml:space="preserve">ش الاستناد </w:t>
      </w:r>
      <w:r w:rsidR="00166389">
        <w:rPr>
          <w:rFonts w:hint="cs"/>
          <w:b/>
          <w:bCs/>
          <w:rtl/>
        </w:rPr>
        <w:t xml:space="preserve">على </w:t>
      </w:r>
      <w:r w:rsidRPr="00557331">
        <w:rPr>
          <w:rFonts w:hint="cs"/>
          <w:b/>
          <w:bCs/>
          <w:rtl/>
        </w:rPr>
        <w:t>هذه الرواية من جهات:</w:t>
      </w:r>
    </w:p>
    <w:p w14:paraId="535987CA" w14:textId="77777777" w:rsidR="000A4159" w:rsidRPr="00822CE9" w:rsidRDefault="000A4159" w:rsidP="00557331">
      <w:pPr>
        <w:spacing w:line="214" w:lineRule="auto"/>
        <w:rPr>
          <w:rtl/>
        </w:rPr>
      </w:pPr>
      <w:r w:rsidRPr="00557331">
        <w:rPr>
          <w:rFonts w:hint="cs"/>
          <w:b/>
          <w:bCs/>
          <w:rtl/>
        </w:rPr>
        <w:t>أو</w:t>
      </w:r>
      <w:r w:rsidR="00557331">
        <w:rPr>
          <w:rFonts w:hint="cs"/>
          <w:b/>
          <w:bCs/>
          <w:rtl/>
        </w:rPr>
        <w:t>ّ</w:t>
      </w:r>
      <w:r w:rsidRPr="00557331">
        <w:rPr>
          <w:rFonts w:hint="cs"/>
          <w:b/>
          <w:bCs/>
          <w:rtl/>
        </w:rPr>
        <w:t>لاً:</w:t>
      </w:r>
      <w:r w:rsidRPr="00822CE9">
        <w:rPr>
          <w:rFonts w:hint="cs"/>
          <w:rtl/>
        </w:rPr>
        <w:t xml:space="preserve"> وردت هذه الرواية في كتاب الغيبة للطوسي</w:t>
      </w:r>
      <w:r w:rsidRPr="00822CE9">
        <w:rPr>
          <w:rtl/>
        </w:rPr>
        <w:t xml:space="preserve">، </w:t>
      </w:r>
      <w:r w:rsidRPr="00822CE9">
        <w:rPr>
          <w:rFonts w:hint="cs"/>
          <w:rtl/>
        </w:rPr>
        <w:t>وكتاب الغيبة للنعماني</w:t>
      </w:r>
      <w:r w:rsidR="00557331">
        <w:rPr>
          <w:rFonts w:hint="cs"/>
          <w:rtl/>
        </w:rPr>
        <w:t>،</w:t>
      </w:r>
      <w:r w:rsidRPr="00822CE9">
        <w:rPr>
          <w:rtl/>
        </w:rPr>
        <w:t xml:space="preserve"> </w:t>
      </w:r>
      <w:r w:rsidRPr="00822CE9">
        <w:rPr>
          <w:rFonts w:hint="cs"/>
          <w:rtl/>
        </w:rPr>
        <w:t>بعدّة أسانيد تنتهي كل</w:t>
      </w:r>
      <w:r w:rsidR="00557331">
        <w:rPr>
          <w:rFonts w:hint="cs"/>
          <w:rtl/>
        </w:rPr>
        <w:t>ّ</w:t>
      </w:r>
      <w:r w:rsidRPr="00822CE9">
        <w:rPr>
          <w:rFonts w:hint="cs"/>
          <w:rtl/>
        </w:rPr>
        <w:t>ها إلى الحسن بن محبوب</w:t>
      </w:r>
      <w:r w:rsidR="00557331">
        <w:rPr>
          <w:rFonts w:hint="cs"/>
          <w:rtl/>
        </w:rPr>
        <w:t>،</w:t>
      </w:r>
      <w:r w:rsidRPr="00822CE9">
        <w:rPr>
          <w:rFonts w:hint="cs"/>
          <w:rtl/>
        </w:rPr>
        <w:t xml:space="preserve"> عن عمرو بن أبي المقدام، عن جابر بن يزيد الجعفي، كما جاءت الرواية عينها وفيها هذا السند الأخير في إرشاد الشيخ المفيد</w:t>
      </w:r>
      <w:r w:rsidRPr="00822CE9">
        <w:rPr>
          <w:rtl/>
        </w:rPr>
        <w:t xml:space="preserve">، </w:t>
      </w:r>
      <w:r w:rsidRPr="00822CE9">
        <w:rPr>
          <w:rFonts w:hint="cs"/>
          <w:rtl/>
        </w:rPr>
        <w:t>ورويت في الخرائج والجرائح لقطب الدين الرواندي</w:t>
      </w:r>
      <w:r w:rsidRPr="00822CE9">
        <w:rPr>
          <w:rtl/>
        </w:rPr>
        <w:t>.</w:t>
      </w:r>
    </w:p>
    <w:p w14:paraId="2CBB26C7" w14:textId="77777777" w:rsidR="000A4159" w:rsidRPr="00822CE9" w:rsidRDefault="000A4159" w:rsidP="00557331">
      <w:pPr>
        <w:spacing w:line="214" w:lineRule="auto"/>
        <w:rPr>
          <w:rtl/>
        </w:rPr>
      </w:pPr>
      <w:r w:rsidRPr="00166389">
        <w:rPr>
          <w:rFonts w:hint="cs"/>
          <w:b/>
          <w:bCs/>
          <w:rtl/>
        </w:rPr>
        <w:t>وهذا السند ضعيف بعمرو بن أبي المقدام،</w:t>
      </w:r>
      <w:r w:rsidRPr="00822CE9">
        <w:rPr>
          <w:rFonts w:hint="cs"/>
          <w:rtl/>
        </w:rPr>
        <w:t xml:space="preserve"> فإن</w:t>
      </w:r>
      <w:r w:rsidR="00557331">
        <w:rPr>
          <w:rFonts w:hint="cs"/>
          <w:rtl/>
        </w:rPr>
        <w:t>ّ</w:t>
      </w:r>
      <w:r w:rsidRPr="00822CE9">
        <w:rPr>
          <w:rFonts w:hint="cs"/>
          <w:rtl/>
        </w:rPr>
        <w:t xml:space="preserve"> وثاقته مبني</w:t>
      </w:r>
      <w:r w:rsidR="00557331">
        <w:rPr>
          <w:rFonts w:hint="cs"/>
          <w:rtl/>
        </w:rPr>
        <w:t>ّ</w:t>
      </w:r>
      <w:r w:rsidRPr="00822CE9">
        <w:rPr>
          <w:rFonts w:hint="cs"/>
          <w:rtl/>
        </w:rPr>
        <w:t>ة على تفسير القمي وكامل الزيار</w:t>
      </w:r>
      <w:r w:rsidR="00557331">
        <w:rPr>
          <w:rFonts w:hint="cs"/>
          <w:rtl/>
        </w:rPr>
        <w:t>ات</w:t>
      </w:r>
      <w:r w:rsidRPr="00822CE9">
        <w:rPr>
          <w:rFonts w:hint="cs"/>
          <w:rtl/>
        </w:rPr>
        <w:t xml:space="preserve"> وليس من المشايخ المباشرين، وليسا بثابتين، وقد وردت رواية مرسلة في الكشي في مدحه، لكن</w:t>
      </w:r>
      <w:r w:rsidR="00557331">
        <w:rPr>
          <w:rFonts w:hint="cs"/>
          <w:rtl/>
        </w:rPr>
        <w:t>ّ</w:t>
      </w:r>
      <w:r w:rsidRPr="00822CE9">
        <w:rPr>
          <w:rFonts w:hint="cs"/>
          <w:rtl/>
        </w:rPr>
        <w:t>ها ليست بمعتبر</w:t>
      </w:r>
      <w:r w:rsidR="00557331">
        <w:rPr>
          <w:rFonts w:hint="cs"/>
          <w:rtl/>
        </w:rPr>
        <w:t>ة</w:t>
      </w:r>
      <w:r w:rsidRPr="00822CE9">
        <w:rPr>
          <w:rFonts w:hint="cs"/>
          <w:rtl/>
        </w:rPr>
        <w:t xml:space="preserve"> بعد إرسالها، ولم يوثقه أحد</w:t>
      </w:r>
      <w:r w:rsidR="00557331">
        <w:rPr>
          <w:rFonts w:hint="cs"/>
          <w:rtl/>
        </w:rPr>
        <w:t>ٌ</w:t>
      </w:r>
      <w:r w:rsidRPr="00822CE9">
        <w:rPr>
          <w:rFonts w:hint="cs"/>
          <w:rtl/>
        </w:rPr>
        <w:t xml:space="preserve"> من أئم</w:t>
      </w:r>
      <w:r w:rsidR="00557331">
        <w:rPr>
          <w:rFonts w:hint="cs"/>
          <w:rtl/>
        </w:rPr>
        <w:t>ّة الرجال المتق</w:t>
      </w:r>
      <w:r w:rsidRPr="00822CE9">
        <w:rPr>
          <w:rFonts w:hint="cs"/>
          <w:rtl/>
        </w:rPr>
        <w:t>دمين</w:t>
      </w:r>
      <w:r w:rsidR="00557331">
        <w:rPr>
          <w:rFonts w:hint="cs"/>
          <w:rtl/>
        </w:rPr>
        <w:t>.</w:t>
      </w:r>
      <w:r w:rsidRPr="00822CE9">
        <w:rPr>
          <w:rFonts w:hint="cs"/>
          <w:rtl/>
        </w:rPr>
        <w:t xml:space="preserve"> نعم لما ذكره النجاشي قا</w:t>
      </w:r>
      <w:r w:rsidR="00557331">
        <w:rPr>
          <w:rFonts w:hint="cs"/>
          <w:rtl/>
        </w:rPr>
        <w:t xml:space="preserve">ل بأنّ </w:t>
      </w:r>
      <w:r w:rsidRPr="00822CE9">
        <w:rPr>
          <w:rFonts w:hint="cs"/>
          <w:rtl/>
        </w:rPr>
        <w:t>عنده كتاباً لطيفاً، لكن</w:t>
      </w:r>
      <w:r w:rsidR="00557331">
        <w:rPr>
          <w:rFonts w:hint="cs"/>
          <w:rtl/>
        </w:rPr>
        <w:t>ّ</w:t>
      </w:r>
      <w:r w:rsidRPr="00822CE9">
        <w:rPr>
          <w:rFonts w:hint="cs"/>
          <w:rtl/>
        </w:rPr>
        <w:t xml:space="preserve"> هذا ليس مؤشراً على وثاقته</w:t>
      </w:r>
      <w:r w:rsidR="00557331">
        <w:rPr>
          <w:rFonts w:hint="cs"/>
          <w:rtl/>
        </w:rPr>
        <w:t>،</w:t>
      </w:r>
      <w:r w:rsidRPr="00822CE9">
        <w:rPr>
          <w:rFonts w:hint="cs"/>
          <w:rtl/>
        </w:rPr>
        <w:t xml:space="preserve"> وحتى على تقدير أن</w:t>
      </w:r>
      <w:r w:rsidR="00557331">
        <w:rPr>
          <w:rFonts w:hint="cs"/>
          <w:rtl/>
        </w:rPr>
        <w:t>ّ</w:t>
      </w:r>
      <w:r w:rsidRPr="00822CE9">
        <w:rPr>
          <w:rFonts w:hint="cs"/>
          <w:rtl/>
        </w:rPr>
        <w:t xml:space="preserve"> اسمه عمر وليس عمرو، أو أن</w:t>
      </w:r>
      <w:r w:rsidR="00557331">
        <w:rPr>
          <w:rFonts w:hint="cs"/>
          <w:rtl/>
        </w:rPr>
        <w:t>ّ</w:t>
      </w:r>
      <w:r w:rsidRPr="00822CE9">
        <w:rPr>
          <w:rFonts w:hint="cs"/>
          <w:rtl/>
        </w:rPr>
        <w:t>ه ابن ميمون وليس ابن أبي المقدام</w:t>
      </w:r>
      <w:r w:rsidR="00557331">
        <w:rPr>
          <w:rFonts w:hint="cs"/>
          <w:rtl/>
        </w:rPr>
        <w:t>،</w:t>
      </w:r>
      <w:r w:rsidRPr="00822CE9">
        <w:rPr>
          <w:rFonts w:hint="cs"/>
          <w:rtl/>
        </w:rPr>
        <w:t xml:space="preserve"> يظلّ مجهولاً</w:t>
      </w:r>
      <w:r w:rsidR="00557331">
        <w:rPr>
          <w:rFonts w:hint="cs"/>
          <w:rtl/>
        </w:rPr>
        <w:t>؛</w:t>
      </w:r>
      <w:r w:rsidRPr="00822CE9">
        <w:rPr>
          <w:rFonts w:hint="cs"/>
          <w:rtl/>
        </w:rPr>
        <w:t xml:space="preserve"> لعدم وجود سبيل لتوثيقه</w:t>
      </w:r>
      <w:r w:rsidR="00557331">
        <w:rPr>
          <w:rFonts w:hint="cs"/>
          <w:rtl/>
        </w:rPr>
        <w:t xml:space="preserve">، غير رواية </w:t>
      </w:r>
      <w:r w:rsidRPr="00822CE9">
        <w:rPr>
          <w:rFonts w:hint="cs"/>
          <w:rtl/>
        </w:rPr>
        <w:t xml:space="preserve">الأجلاء </w:t>
      </w:r>
      <w:r w:rsidR="00557331">
        <w:rPr>
          <w:rFonts w:hint="cs"/>
          <w:rtl/>
        </w:rPr>
        <w:t>عنه ومنهم ا</w:t>
      </w:r>
      <w:r w:rsidRPr="00822CE9">
        <w:rPr>
          <w:rFonts w:hint="cs"/>
          <w:rtl/>
        </w:rPr>
        <w:t>بن أبي عمير، لكن</w:t>
      </w:r>
      <w:r w:rsidR="00557331">
        <w:rPr>
          <w:rFonts w:hint="cs"/>
          <w:rtl/>
        </w:rPr>
        <w:t>ّ</w:t>
      </w:r>
      <w:r w:rsidRPr="00822CE9">
        <w:rPr>
          <w:rFonts w:hint="cs"/>
          <w:rtl/>
        </w:rPr>
        <w:t xml:space="preserve"> المبنى ليس بثابت</w:t>
      </w:r>
      <w:r w:rsidR="00557331">
        <w:rPr>
          <w:rFonts w:hint="cs"/>
          <w:rtl/>
        </w:rPr>
        <w:t>،</w:t>
      </w:r>
      <w:r w:rsidRPr="00822CE9">
        <w:rPr>
          <w:rFonts w:hint="cs"/>
          <w:rtl/>
        </w:rPr>
        <w:t xml:space="preserve"> فالرجل مجهول</w:t>
      </w:r>
      <w:r w:rsidRPr="000A4159">
        <w:rPr>
          <w:rFonts w:cs="Taher"/>
          <w:vertAlign w:val="superscript"/>
          <w:rtl/>
        </w:rPr>
        <w:t>(</w:t>
      </w:r>
      <w:r w:rsidRPr="000A4159">
        <w:rPr>
          <w:rStyle w:val="FootnoteReference"/>
          <w:rFonts w:cs="Taher"/>
          <w:rtl/>
        </w:rPr>
        <w:footnoteReference w:id="452"/>
      </w:r>
      <w:r w:rsidRPr="000A4159">
        <w:rPr>
          <w:rFonts w:cs="Taher"/>
          <w:vertAlign w:val="superscript"/>
          <w:rtl/>
        </w:rPr>
        <w:t>)</w:t>
      </w:r>
      <w:r w:rsidRPr="00822CE9">
        <w:rPr>
          <w:rtl/>
        </w:rPr>
        <w:t>.</w:t>
      </w:r>
    </w:p>
    <w:p w14:paraId="22CB6454" w14:textId="77777777" w:rsidR="000A4159" w:rsidRPr="00822CE9" w:rsidRDefault="000A4159" w:rsidP="00D171E8">
      <w:pPr>
        <w:spacing w:line="214" w:lineRule="auto"/>
        <w:rPr>
          <w:rtl/>
        </w:rPr>
      </w:pPr>
      <w:r w:rsidRPr="00822CE9">
        <w:rPr>
          <w:rFonts w:hint="cs"/>
          <w:rtl/>
        </w:rPr>
        <w:t>والذي يثير هنا أن</w:t>
      </w:r>
      <w:r w:rsidR="00557331">
        <w:rPr>
          <w:rFonts w:hint="cs"/>
          <w:rtl/>
        </w:rPr>
        <w:t>ّ</w:t>
      </w:r>
      <w:r w:rsidRPr="00822CE9">
        <w:rPr>
          <w:rFonts w:hint="cs"/>
          <w:rtl/>
        </w:rPr>
        <w:t>ه م</w:t>
      </w:r>
      <w:r w:rsidR="00557331">
        <w:rPr>
          <w:rFonts w:hint="cs"/>
          <w:rtl/>
        </w:rPr>
        <w:t>َ</w:t>
      </w:r>
      <w:r w:rsidRPr="00822CE9">
        <w:rPr>
          <w:rFonts w:hint="cs"/>
          <w:rtl/>
        </w:rPr>
        <w:t>ن</w:t>
      </w:r>
      <w:r w:rsidR="00557331">
        <w:rPr>
          <w:rFonts w:hint="cs"/>
          <w:rtl/>
        </w:rPr>
        <w:t>ْ</w:t>
      </w:r>
      <w:r w:rsidRPr="00822CE9">
        <w:rPr>
          <w:rFonts w:hint="cs"/>
          <w:rtl/>
        </w:rPr>
        <w:t xml:space="preserve"> </w:t>
      </w:r>
      <w:r w:rsidR="00557331">
        <w:rPr>
          <w:rFonts w:hint="cs"/>
          <w:rtl/>
        </w:rPr>
        <w:t xml:space="preserve">هو </w:t>
      </w:r>
      <w:r w:rsidRPr="00822CE9">
        <w:rPr>
          <w:rFonts w:hint="cs"/>
          <w:rtl/>
        </w:rPr>
        <w:t>المقصود بجابر الذي روى عنه ابن أبي المقدام</w:t>
      </w:r>
      <w:r w:rsidR="00557331">
        <w:rPr>
          <w:rFonts w:hint="cs"/>
          <w:rtl/>
        </w:rPr>
        <w:t>؟</w:t>
      </w:r>
      <w:r w:rsidRPr="00822CE9">
        <w:rPr>
          <w:rFonts w:hint="cs"/>
          <w:rtl/>
        </w:rPr>
        <w:t xml:space="preserve"> فهناك جابر بن يزيد الجعفي، ولم نجد لابن أبي المقدام رواية</w:t>
      </w:r>
      <w:r w:rsidR="00557331">
        <w:rPr>
          <w:rFonts w:hint="cs"/>
          <w:rtl/>
        </w:rPr>
        <w:t>ً</w:t>
      </w:r>
      <w:r w:rsidRPr="00822CE9">
        <w:rPr>
          <w:rFonts w:hint="cs"/>
          <w:rtl/>
        </w:rPr>
        <w:t xml:space="preserve"> عنه سوى هذه، والمعروف أن</w:t>
      </w:r>
      <w:r w:rsidR="00557331">
        <w:rPr>
          <w:rFonts w:hint="cs"/>
          <w:rtl/>
        </w:rPr>
        <w:t>ّ</w:t>
      </w:r>
      <w:r w:rsidRPr="00822CE9">
        <w:rPr>
          <w:rFonts w:hint="cs"/>
          <w:rtl/>
        </w:rPr>
        <w:t xml:space="preserve"> الراوي المشهور عن جابر هذا هو عمرو بن شمر الكذ</w:t>
      </w:r>
      <w:r w:rsidR="00557331">
        <w:rPr>
          <w:rFonts w:hint="cs"/>
          <w:rtl/>
        </w:rPr>
        <w:t>ّ</w:t>
      </w:r>
      <w:r w:rsidRPr="00822CE9">
        <w:rPr>
          <w:rFonts w:hint="cs"/>
          <w:rtl/>
        </w:rPr>
        <w:t>اب الضعيف، ويبعد أن يكون المراد جابر بن عبد الله الأنصاري</w:t>
      </w:r>
      <w:r w:rsidR="00557331">
        <w:rPr>
          <w:rFonts w:hint="cs"/>
          <w:rtl/>
        </w:rPr>
        <w:t>؛</w:t>
      </w:r>
      <w:r w:rsidRPr="00822CE9">
        <w:rPr>
          <w:rFonts w:hint="cs"/>
          <w:rtl/>
        </w:rPr>
        <w:t xml:space="preserve"> لأن</w:t>
      </w:r>
      <w:r w:rsidR="00557331">
        <w:rPr>
          <w:rFonts w:hint="cs"/>
          <w:rtl/>
        </w:rPr>
        <w:t>ّ</w:t>
      </w:r>
      <w:r w:rsidRPr="00822CE9">
        <w:rPr>
          <w:rFonts w:hint="cs"/>
          <w:rtl/>
        </w:rPr>
        <w:t xml:space="preserve"> جابر بن يزيد الجعفي هو من يروى عنه عادةً، من هنا فالسند غير </w:t>
      </w:r>
      <w:r w:rsidR="00D171E8">
        <w:rPr>
          <w:rFonts w:hint="cs"/>
          <w:rtl/>
        </w:rPr>
        <w:t xml:space="preserve">موثوق حتى </w:t>
      </w:r>
      <w:r w:rsidRPr="00822CE9">
        <w:rPr>
          <w:rFonts w:hint="cs"/>
          <w:rtl/>
        </w:rPr>
        <w:t>ي</w:t>
      </w:r>
      <w:r w:rsidR="00D171E8">
        <w:rPr>
          <w:rFonts w:hint="cs"/>
          <w:rtl/>
        </w:rPr>
        <w:t>ُ</w:t>
      </w:r>
      <w:r w:rsidRPr="00822CE9">
        <w:rPr>
          <w:rFonts w:hint="cs"/>
          <w:rtl/>
        </w:rPr>
        <w:t>عمل به</w:t>
      </w:r>
      <w:r w:rsidR="00D171E8">
        <w:rPr>
          <w:rFonts w:hint="cs"/>
          <w:rtl/>
        </w:rPr>
        <w:t xml:space="preserve">، وخاصّة مع </w:t>
      </w:r>
      <w:r w:rsidRPr="00822CE9">
        <w:rPr>
          <w:rFonts w:hint="cs"/>
          <w:rtl/>
        </w:rPr>
        <w:t>طول الرواية.</w:t>
      </w:r>
    </w:p>
    <w:p w14:paraId="6FD4C1A8" w14:textId="77777777" w:rsidR="000A4159" w:rsidRPr="00822CE9" w:rsidRDefault="000A4159" w:rsidP="00CF1E7F">
      <w:pPr>
        <w:pStyle w:val="normal930"/>
        <w:rPr>
          <w:rtl/>
        </w:rPr>
      </w:pPr>
      <w:r w:rsidRPr="00D171E8">
        <w:rPr>
          <w:rFonts w:hint="cs"/>
          <w:b/>
          <w:bCs/>
          <w:rtl/>
        </w:rPr>
        <w:t xml:space="preserve">ثانياً: </w:t>
      </w:r>
      <w:r w:rsidRPr="00822CE9">
        <w:rPr>
          <w:rFonts w:hint="cs"/>
          <w:rtl/>
        </w:rPr>
        <w:t>ما ذكره الشيخ المنتظري</w:t>
      </w:r>
      <w:r w:rsidR="00D171E8">
        <w:rPr>
          <w:rFonts w:hint="cs"/>
          <w:rtl/>
        </w:rPr>
        <w:t>،</w:t>
      </w:r>
      <w:r w:rsidRPr="00822CE9">
        <w:rPr>
          <w:rFonts w:hint="cs"/>
          <w:rtl/>
        </w:rPr>
        <w:t xml:space="preserve"> من أن</w:t>
      </w:r>
      <w:r w:rsidR="00D171E8">
        <w:rPr>
          <w:rFonts w:hint="cs"/>
          <w:rtl/>
        </w:rPr>
        <w:t>ّ</w:t>
      </w:r>
      <w:r w:rsidRPr="00822CE9">
        <w:rPr>
          <w:rFonts w:hint="cs"/>
          <w:rtl/>
        </w:rPr>
        <w:t xml:space="preserve"> الخطاب خاص</w:t>
      </w:r>
      <w:r w:rsidR="00D171E8">
        <w:rPr>
          <w:rFonts w:hint="cs"/>
          <w:rtl/>
        </w:rPr>
        <w:t>ّ</w:t>
      </w:r>
      <w:r w:rsidRPr="00822CE9">
        <w:rPr>
          <w:rFonts w:hint="cs"/>
          <w:rtl/>
        </w:rPr>
        <w:t xml:space="preserve"> موجّه إلى جابر، ولعلّ له خصوصي</w:t>
      </w:r>
      <w:r w:rsidR="00D171E8">
        <w:rPr>
          <w:rFonts w:hint="cs"/>
          <w:rtl/>
        </w:rPr>
        <w:t>ّ</w:t>
      </w:r>
      <w:r w:rsidRPr="00822CE9">
        <w:rPr>
          <w:rFonts w:hint="cs"/>
          <w:rtl/>
        </w:rPr>
        <w:t>ة، أو لعلّ أحداً كان حاضراً في المجلس وقت</w:t>
      </w:r>
      <w:r w:rsidR="00D171E8">
        <w:rPr>
          <w:rFonts w:hint="cs"/>
          <w:rtl/>
        </w:rPr>
        <w:t xml:space="preserve">ها ولم </w:t>
      </w:r>
      <w:r w:rsidRPr="00822CE9">
        <w:rPr>
          <w:rFonts w:hint="cs"/>
          <w:rtl/>
        </w:rPr>
        <w:t>ي</w:t>
      </w:r>
      <w:r w:rsidR="00D171E8">
        <w:rPr>
          <w:rFonts w:hint="cs"/>
          <w:rtl/>
        </w:rPr>
        <w:t>ُ</w:t>
      </w:r>
      <w:r w:rsidRPr="00822CE9">
        <w:rPr>
          <w:rFonts w:hint="cs"/>
          <w:rtl/>
        </w:rPr>
        <w:t>ر</w:t>
      </w:r>
      <w:r w:rsidR="00D171E8">
        <w:rPr>
          <w:rFonts w:hint="cs"/>
          <w:rtl/>
        </w:rPr>
        <w:t>ِ</w:t>
      </w:r>
      <w:r w:rsidRPr="00822CE9">
        <w:rPr>
          <w:rFonts w:hint="cs"/>
          <w:rtl/>
        </w:rPr>
        <w:t>د الإمام أن ي</w:t>
      </w:r>
      <w:r w:rsidR="00D171E8">
        <w:rPr>
          <w:rFonts w:hint="cs"/>
          <w:rtl/>
        </w:rPr>
        <w:t>ُ</w:t>
      </w:r>
      <w:r w:rsidRPr="00822CE9">
        <w:rPr>
          <w:rFonts w:hint="cs"/>
          <w:rtl/>
        </w:rPr>
        <w:t>بدي الأمور</w:t>
      </w:r>
      <w:r w:rsidR="00D171E8">
        <w:rPr>
          <w:rFonts w:hint="cs"/>
          <w:rtl/>
        </w:rPr>
        <w:t>َ أمامه، ولعلّ جابراً تو</w:t>
      </w:r>
      <w:r w:rsidRPr="00822CE9">
        <w:rPr>
          <w:rFonts w:hint="cs"/>
          <w:rtl/>
        </w:rPr>
        <w:t>ه</w:t>
      </w:r>
      <w:r w:rsidR="00D171E8">
        <w:rPr>
          <w:rFonts w:hint="cs"/>
          <w:rtl/>
        </w:rPr>
        <w:t>ّ</w:t>
      </w:r>
      <w:r w:rsidRPr="00822CE9">
        <w:rPr>
          <w:rFonts w:hint="cs"/>
          <w:rtl/>
        </w:rPr>
        <w:t>م قرب حلول قيام القائم</w:t>
      </w:r>
      <w:r w:rsidR="00D171E8">
        <w:rPr>
          <w:rFonts w:hint="cs"/>
          <w:rtl/>
        </w:rPr>
        <w:t>،</w:t>
      </w:r>
      <w:r w:rsidRPr="00822CE9">
        <w:rPr>
          <w:rFonts w:hint="cs"/>
          <w:rtl/>
        </w:rPr>
        <w:t xml:space="preserve"> فأراد الإمام أن يخبره بالأمر، وما شابه ذلك</w:t>
      </w:r>
      <w:r w:rsidRPr="000A4159">
        <w:rPr>
          <w:rFonts w:cs="Taher"/>
          <w:vertAlign w:val="superscript"/>
          <w:rtl/>
        </w:rPr>
        <w:t>(</w:t>
      </w:r>
      <w:r w:rsidRPr="000A4159">
        <w:rPr>
          <w:rStyle w:val="FootnoteReference"/>
          <w:rFonts w:cs="Taher"/>
          <w:rtl/>
        </w:rPr>
        <w:footnoteReference w:id="453"/>
      </w:r>
      <w:r w:rsidRPr="000A4159">
        <w:rPr>
          <w:rFonts w:cs="Taher"/>
          <w:vertAlign w:val="superscript"/>
          <w:rtl/>
        </w:rPr>
        <w:t>)</w:t>
      </w:r>
      <w:r w:rsidRPr="00822CE9">
        <w:rPr>
          <w:rtl/>
        </w:rPr>
        <w:t>.</w:t>
      </w:r>
    </w:p>
    <w:p w14:paraId="50162D63" w14:textId="77777777" w:rsidR="000A4159" w:rsidRPr="00822CE9" w:rsidRDefault="000A4159" w:rsidP="00D171E8">
      <w:pPr>
        <w:spacing w:line="214" w:lineRule="auto"/>
        <w:rPr>
          <w:rtl/>
        </w:rPr>
      </w:pPr>
      <w:r w:rsidRPr="00D171E8">
        <w:rPr>
          <w:rFonts w:hint="cs"/>
          <w:b/>
          <w:bCs/>
          <w:rtl/>
        </w:rPr>
        <w:lastRenderedPageBreak/>
        <w:t>ويناق</w:t>
      </w:r>
      <w:r w:rsidR="00D171E8" w:rsidRPr="00D171E8">
        <w:rPr>
          <w:rFonts w:hint="cs"/>
          <w:b/>
          <w:bCs/>
          <w:rtl/>
        </w:rPr>
        <w:t>َ</w:t>
      </w:r>
      <w:r w:rsidRPr="00D171E8">
        <w:rPr>
          <w:rFonts w:hint="cs"/>
          <w:b/>
          <w:bCs/>
          <w:rtl/>
        </w:rPr>
        <w:t>ش</w:t>
      </w:r>
      <w:r w:rsidRPr="00822CE9">
        <w:rPr>
          <w:rFonts w:hint="cs"/>
          <w:rtl/>
        </w:rPr>
        <w:t xml:space="preserve"> بأنّه هل يمارس الشيخ المنتظري هذه الطريقة الاحتمالي</w:t>
      </w:r>
      <w:r w:rsidR="00D171E8">
        <w:rPr>
          <w:rFonts w:hint="cs"/>
          <w:rtl/>
        </w:rPr>
        <w:t>ّ</w:t>
      </w:r>
      <w:r w:rsidRPr="00822CE9">
        <w:rPr>
          <w:rFonts w:hint="cs"/>
          <w:rtl/>
        </w:rPr>
        <w:t>ة في تمام روايات الفقه أ</w:t>
      </w:r>
      <w:r w:rsidR="00D171E8">
        <w:rPr>
          <w:rFonts w:hint="cs"/>
          <w:rtl/>
        </w:rPr>
        <w:t>و</w:t>
      </w:r>
      <w:r w:rsidRPr="00822CE9">
        <w:rPr>
          <w:rFonts w:hint="cs"/>
          <w:rtl/>
        </w:rPr>
        <w:t xml:space="preserve"> في هذا البحث فقط؟ وهل مجرّد احتمال وجود غرباء في المجلس كاف</w:t>
      </w:r>
      <w:r w:rsidR="00D171E8">
        <w:rPr>
          <w:rFonts w:hint="cs"/>
          <w:rtl/>
        </w:rPr>
        <w:t>ٍ لإ</w:t>
      </w:r>
      <w:r w:rsidRPr="00822CE9">
        <w:rPr>
          <w:rFonts w:hint="cs"/>
          <w:rtl/>
        </w:rPr>
        <w:t>سقاط الاستدلال، وإذا كان الأمر خاص</w:t>
      </w:r>
      <w:r w:rsidR="00D171E8">
        <w:rPr>
          <w:rFonts w:hint="cs"/>
          <w:rtl/>
        </w:rPr>
        <w:t>ّ</w:t>
      </w:r>
      <w:r w:rsidRPr="00822CE9">
        <w:rPr>
          <w:rFonts w:hint="cs"/>
          <w:rtl/>
        </w:rPr>
        <w:t>اً بجابر، فلماذا كل</w:t>
      </w:r>
      <w:r w:rsidR="00D171E8">
        <w:rPr>
          <w:rFonts w:hint="cs"/>
          <w:rtl/>
        </w:rPr>
        <w:t>ّ</w:t>
      </w:r>
      <w:r w:rsidRPr="00822CE9">
        <w:rPr>
          <w:rFonts w:hint="cs"/>
          <w:rtl/>
        </w:rPr>
        <w:t xml:space="preserve"> هذه العلامات العديدة، أما كان يمكن الاكتفاء بواحدة يحر</w:t>
      </w:r>
      <w:r w:rsidR="00D171E8">
        <w:rPr>
          <w:rFonts w:hint="cs"/>
          <w:rtl/>
        </w:rPr>
        <w:t>َ</w:t>
      </w:r>
      <w:r w:rsidRPr="00822CE9">
        <w:rPr>
          <w:rFonts w:hint="cs"/>
          <w:rtl/>
        </w:rPr>
        <w:t>ز أن</w:t>
      </w:r>
      <w:r w:rsidR="00D171E8">
        <w:rPr>
          <w:rFonts w:hint="cs"/>
          <w:rtl/>
        </w:rPr>
        <w:t>ّ</w:t>
      </w:r>
      <w:r w:rsidRPr="00822CE9">
        <w:rPr>
          <w:rFonts w:hint="cs"/>
          <w:rtl/>
        </w:rPr>
        <w:t xml:space="preserve"> جابر</w:t>
      </w:r>
      <w:r w:rsidR="00D171E8">
        <w:rPr>
          <w:rFonts w:hint="cs"/>
          <w:rtl/>
        </w:rPr>
        <w:t>اً</w:t>
      </w:r>
      <w:r w:rsidRPr="00822CE9">
        <w:rPr>
          <w:rFonts w:hint="cs"/>
          <w:rtl/>
        </w:rPr>
        <w:t xml:space="preserve"> لن يعاصرها؟ وهل كان الإمام مضطراً لذكرها جميعاً بدل أن يبيّن لجابر بصيغة شخصي</w:t>
      </w:r>
      <w:r w:rsidR="00D171E8">
        <w:rPr>
          <w:rFonts w:hint="cs"/>
          <w:rtl/>
        </w:rPr>
        <w:t>ّ</w:t>
      </w:r>
      <w:r w:rsidRPr="00822CE9">
        <w:rPr>
          <w:rFonts w:hint="cs"/>
          <w:rtl/>
        </w:rPr>
        <w:t>ة أن</w:t>
      </w:r>
      <w:r w:rsidR="00D171E8">
        <w:rPr>
          <w:rFonts w:hint="cs"/>
          <w:rtl/>
        </w:rPr>
        <w:t>ّ</w:t>
      </w:r>
      <w:r w:rsidRPr="00822CE9">
        <w:rPr>
          <w:rFonts w:hint="cs"/>
          <w:rtl/>
        </w:rPr>
        <w:t xml:space="preserve"> عليه أن لا يخرج بدل إقحام موضوع الإمام المهدي</w:t>
      </w:r>
      <w:r w:rsidR="00D171E8">
        <w:rPr>
          <w:rFonts w:hint="cs"/>
          <w:rtl/>
        </w:rPr>
        <w:t>ّ</w:t>
      </w:r>
      <w:r w:rsidRPr="00822CE9">
        <w:rPr>
          <w:rFonts w:hint="cs"/>
          <w:rtl/>
        </w:rPr>
        <w:t xml:space="preserve"> بالحسبان؟</w:t>
      </w:r>
      <w:r w:rsidR="00D171E8">
        <w:rPr>
          <w:rFonts w:hint="cs"/>
          <w:rtl/>
        </w:rPr>
        <w:t>!</w:t>
      </w:r>
    </w:p>
    <w:p w14:paraId="7DD80368" w14:textId="77777777" w:rsidR="000A4159" w:rsidRPr="00822CE9" w:rsidRDefault="000A4159" w:rsidP="00C736E4">
      <w:pPr>
        <w:spacing w:line="214" w:lineRule="auto"/>
        <w:rPr>
          <w:rtl/>
        </w:rPr>
      </w:pPr>
      <w:r w:rsidRPr="00D171E8">
        <w:rPr>
          <w:rFonts w:hint="cs"/>
          <w:b/>
          <w:bCs/>
          <w:rtl/>
        </w:rPr>
        <w:t>ثالثاً:</w:t>
      </w:r>
      <w:r w:rsidRPr="00822CE9">
        <w:rPr>
          <w:rFonts w:hint="cs"/>
          <w:rtl/>
        </w:rPr>
        <w:t xml:space="preserve"> ما ذكره السيد الحائري</w:t>
      </w:r>
      <w:r w:rsidR="00D171E8">
        <w:rPr>
          <w:rFonts w:hint="cs"/>
          <w:rtl/>
        </w:rPr>
        <w:t>،</w:t>
      </w:r>
      <w:r w:rsidRPr="00822CE9">
        <w:rPr>
          <w:rFonts w:hint="cs"/>
          <w:rtl/>
        </w:rPr>
        <w:t xml:space="preserve"> من أنّ الرواية إذا تمت دلالةً فهي آبية عن التخصيص، الأمر الذي يفرض عدم العمل بها</w:t>
      </w:r>
      <w:r w:rsidR="00D171E8">
        <w:rPr>
          <w:rFonts w:hint="cs"/>
          <w:rtl/>
        </w:rPr>
        <w:t>؛</w:t>
      </w:r>
      <w:r w:rsidRPr="00822CE9">
        <w:rPr>
          <w:rFonts w:hint="cs"/>
          <w:rtl/>
        </w:rPr>
        <w:t xml:space="preserve"> لوقوعها قبل ثورت</w:t>
      </w:r>
      <w:r w:rsidR="00D171E8">
        <w:rPr>
          <w:rFonts w:hint="cs"/>
          <w:rtl/>
        </w:rPr>
        <w:t>َ</w:t>
      </w:r>
      <w:r w:rsidRPr="00822CE9">
        <w:rPr>
          <w:rFonts w:hint="cs"/>
          <w:rtl/>
        </w:rPr>
        <w:t>ي زيد الشهيد وصاحب فخ</w:t>
      </w:r>
      <w:r w:rsidR="00D171E8">
        <w:rPr>
          <w:rFonts w:hint="cs"/>
          <w:rtl/>
        </w:rPr>
        <w:t>ّ</w:t>
      </w:r>
      <w:r w:rsidRPr="00822CE9">
        <w:rPr>
          <w:rFonts w:hint="cs"/>
          <w:rtl/>
        </w:rPr>
        <w:t xml:space="preserve"> المؤي</w:t>
      </w:r>
      <w:r w:rsidR="00D171E8">
        <w:rPr>
          <w:rFonts w:hint="cs"/>
          <w:rtl/>
        </w:rPr>
        <w:t>ّد</w:t>
      </w:r>
      <w:r w:rsidRPr="00822CE9">
        <w:rPr>
          <w:rFonts w:hint="cs"/>
          <w:rtl/>
        </w:rPr>
        <w:t>ت</w:t>
      </w:r>
      <w:r w:rsidR="00D171E8">
        <w:rPr>
          <w:rFonts w:hint="cs"/>
          <w:rtl/>
        </w:rPr>
        <w:t>َ</w:t>
      </w:r>
      <w:r w:rsidRPr="00822CE9">
        <w:rPr>
          <w:rFonts w:hint="cs"/>
          <w:rtl/>
        </w:rPr>
        <w:t>ين من أهل الب</w:t>
      </w:r>
      <w:r w:rsidR="00D171E8">
        <w:rPr>
          <w:rFonts w:hint="cs"/>
          <w:rtl/>
        </w:rPr>
        <w:t>يت</w:t>
      </w:r>
      <w:r w:rsidRPr="00822CE9">
        <w:rPr>
          <w:rFonts w:hint="cs"/>
          <w:rtl/>
        </w:rPr>
        <w:t>، ولا يمكن الجمع هنا سوى بعدم العمل بهذه الرواية</w:t>
      </w:r>
      <w:r w:rsidRPr="000A4159">
        <w:rPr>
          <w:rFonts w:cs="Taher"/>
          <w:vertAlign w:val="superscript"/>
          <w:rtl/>
        </w:rPr>
        <w:t>(</w:t>
      </w:r>
      <w:r w:rsidRPr="000A4159">
        <w:rPr>
          <w:rStyle w:val="FootnoteReference"/>
          <w:rFonts w:cs="Taher"/>
          <w:rtl/>
        </w:rPr>
        <w:footnoteReference w:id="454"/>
      </w:r>
      <w:r w:rsidRPr="000A4159">
        <w:rPr>
          <w:rFonts w:cs="Taher"/>
          <w:vertAlign w:val="superscript"/>
          <w:rtl/>
        </w:rPr>
        <w:t>)</w:t>
      </w:r>
      <w:r w:rsidRPr="00822CE9">
        <w:rPr>
          <w:rFonts w:hint="cs"/>
          <w:rtl/>
        </w:rPr>
        <w:t xml:space="preserve">؛ </w:t>
      </w:r>
      <w:r w:rsidR="00C736E4">
        <w:rPr>
          <w:rFonts w:hint="cs"/>
          <w:rtl/>
        </w:rPr>
        <w:t xml:space="preserve">وكأنّه يريد أن يقول بأنّه حيث لا يمكن التخصيص؛ لذا يلزم العمل إمّا بهذه الرواية وترك ما دلّ على تأييد ثورتَي: زيد وصاحب فخّ، أو العكس، وحيث إنّ حركة زيد وثورة صاحب فخّ ثبتا بدليل قاطع، لم يعد يمكن التخلّي عنهما، فسقطت هذه الرواية هنا بالكليّة؛ لامتناعها عن التخصيص. </w:t>
      </w:r>
      <w:r w:rsidRPr="00822CE9">
        <w:rPr>
          <w:rFonts w:hint="cs"/>
          <w:rtl/>
        </w:rPr>
        <w:t xml:space="preserve">من هنا </w:t>
      </w:r>
      <w:r w:rsidR="00D171E8">
        <w:rPr>
          <w:rFonts w:hint="cs"/>
          <w:rtl/>
        </w:rPr>
        <w:t>ا</w:t>
      </w:r>
      <w:r w:rsidRPr="00822CE9">
        <w:rPr>
          <w:rFonts w:hint="cs"/>
          <w:rtl/>
        </w:rPr>
        <w:t>حتمل الحائري أن يكون الخروج فيها هو الخروج مقابل الإمام</w:t>
      </w:r>
      <w:r w:rsidR="009A1626" w:rsidRPr="00822CE9">
        <w:rPr>
          <w:rFonts w:hint="cs"/>
          <w:rtl/>
        </w:rPr>
        <w:t>×</w:t>
      </w:r>
      <w:r w:rsidRPr="00822CE9">
        <w:rPr>
          <w:rFonts w:hint="cs"/>
          <w:rtl/>
        </w:rPr>
        <w:t xml:space="preserve"> لا تحت إذنه</w:t>
      </w:r>
      <w:r w:rsidRPr="000A4159">
        <w:rPr>
          <w:rFonts w:cs="Taher"/>
          <w:vertAlign w:val="superscript"/>
          <w:rtl/>
        </w:rPr>
        <w:t>(</w:t>
      </w:r>
      <w:r w:rsidRPr="000A4159">
        <w:rPr>
          <w:rStyle w:val="FootnoteReference"/>
          <w:rFonts w:cs="Taher"/>
          <w:rtl/>
        </w:rPr>
        <w:footnoteReference w:id="455"/>
      </w:r>
      <w:r w:rsidRPr="000A4159">
        <w:rPr>
          <w:rFonts w:cs="Taher"/>
          <w:vertAlign w:val="superscript"/>
          <w:rtl/>
        </w:rPr>
        <w:t>)</w:t>
      </w:r>
      <w:r w:rsidRPr="00822CE9">
        <w:rPr>
          <w:rtl/>
        </w:rPr>
        <w:t>.</w:t>
      </w:r>
    </w:p>
    <w:p w14:paraId="6307A1D1" w14:textId="77777777" w:rsidR="000A4159" w:rsidRPr="00822CE9" w:rsidRDefault="000A4159" w:rsidP="00D171E8">
      <w:pPr>
        <w:spacing w:line="214" w:lineRule="auto"/>
        <w:rPr>
          <w:rtl/>
        </w:rPr>
      </w:pPr>
      <w:r w:rsidRPr="0080620D">
        <w:rPr>
          <w:rFonts w:hint="cs"/>
          <w:b/>
          <w:bCs/>
          <w:rtl/>
        </w:rPr>
        <w:t>وقد كر</w:t>
      </w:r>
      <w:r w:rsidR="00D171E8" w:rsidRPr="0080620D">
        <w:rPr>
          <w:rFonts w:hint="cs"/>
          <w:b/>
          <w:bCs/>
          <w:rtl/>
        </w:rPr>
        <w:t>ّ</w:t>
      </w:r>
      <w:r w:rsidRPr="0080620D">
        <w:rPr>
          <w:rFonts w:hint="cs"/>
          <w:b/>
          <w:bCs/>
          <w:rtl/>
        </w:rPr>
        <w:t xml:space="preserve">رنا الجواب عن مثل هذا الإشكال من عدم ثبوت تأييد </w:t>
      </w:r>
      <w:r w:rsidR="009A1626" w:rsidRPr="0080620D">
        <w:rPr>
          <w:rFonts w:hint="cs"/>
          <w:b/>
          <w:bCs/>
          <w:rtl/>
        </w:rPr>
        <w:t>أهل البيت</w:t>
      </w:r>
      <w:r w:rsidRPr="0080620D">
        <w:rPr>
          <w:rFonts w:hint="cs"/>
          <w:b/>
          <w:bCs/>
          <w:rtl/>
        </w:rPr>
        <w:t xml:space="preserve"> لهاتين الثورتين،</w:t>
      </w:r>
      <w:r w:rsidRPr="00822CE9">
        <w:rPr>
          <w:rFonts w:hint="cs"/>
          <w:rtl/>
        </w:rPr>
        <w:t xml:space="preserve"> وحتى لو فرض ذلك فلا مانع من حملهما على العنوان الثانوي الذي فرض التخلّي عن الحكم الأو</w:t>
      </w:r>
      <w:r w:rsidR="00D171E8">
        <w:rPr>
          <w:rFonts w:hint="cs"/>
          <w:rtl/>
        </w:rPr>
        <w:t>ّ</w:t>
      </w:r>
      <w:r w:rsidRPr="00822CE9">
        <w:rPr>
          <w:rFonts w:hint="cs"/>
          <w:rtl/>
        </w:rPr>
        <w:t>لي بالحرمة، وأم</w:t>
      </w:r>
      <w:r w:rsidR="00D171E8">
        <w:rPr>
          <w:rFonts w:hint="cs"/>
          <w:rtl/>
        </w:rPr>
        <w:t>ّ</w:t>
      </w:r>
      <w:r w:rsidRPr="00822CE9">
        <w:rPr>
          <w:rFonts w:hint="cs"/>
          <w:rtl/>
        </w:rPr>
        <w:t>ا احتمال الثورة بزعم أن</w:t>
      </w:r>
      <w:r w:rsidR="00D171E8">
        <w:rPr>
          <w:rFonts w:hint="cs"/>
          <w:rtl/>
        </w:rPr>
        <w:t>ّ</w:t>
      </w:r>
      <w:r w:rsidRPr="00822CE9">
        <w:rPr>
          <w:rFonts w:hint="cs"/>
          <w:rtl/>
        </w:rPr>
        <w:t>ه مقابل الإمام فهذا مجرّد فرض</w:t>
      </w:r>
      <w:r w:rsidR="00D171E8">
        <w:rPr>
          <w:rFonts w:hint="cs"/>
          <w:rtl/>
        </w:rPr>
        <w:t>،</w:t>
      </w:r>
      <w:r w:rsidRPr="00822CE9">
        <w:rPr>
          <w:rFonts w:hint="cs"/>
          <w:rtl/>
        </w:rPr>
        <w:t xml:space="preserve"> فلا جابر بن عبد الله الأنصاري ولا جابر بن يزيد الجعفي كانا ممّن يحتمل هذا في حق</w:t>
      </w:r>
      <w:r w:rsidR="00D171E8">
        <w:rPr>
          <w:rFonts w:hint="cs"/>
          <w:rtl/>
        </w:rPr>
        <w:t>ّهما عادةً حتى يش</w:t>
      </w:r>
      <w:r w:rsidRPr="00822CE9">
        <w:rPr>
          <w:rFonts w:hint="cs"/>
          <w:rtl/>
        </w:rPr>
        <w:t>د</w:t>
      </w:r>
      <w:r w:rsidR="00D171E8">
        <w:rPr>
          <w:rFonts w:hint="cs"/>
          <w:rtl/>
        </w:rPr>
        <w:t>َّ</w:t>
      </w:r>
      <w:r w:rsidRPr="00822CE9">
        <w:rPr>
          <w:rFonts w:hint="cs"/>
          <w:rtl/>
        </w:rPr>
        <w:t>د عليه بهذه اللغة.</w:t>
      </w:r>
    </w:p>
    <w:p w14:paraId="36D7C4A4" w14:textId="77777777" w:rsidR="000A4159" w:rsidRPr="00822CE9" w:rsidRDefault="000A4159" w:rsidP="00D171E8">
      <w:pPr>
        <w:spacing w:line="214" w:lineRule="auto"/>
        <w:rPr>
          <w:rtl/>
        </w:rPr>
      </w:pPr>
      <w:r w:rsidRPr="00D171E8">
        <w:rPr>
          <w:rFonts w:hint="cs"/>
          <w:b/>
          <w:bCs/>
          <w:rtl/>
        </w:rPr>
        <w:t xml:space="preserve">رابعاً: </w:t>
      </w:r>
      <w:r w:rsidRPr="00822CE9">
        <w:rPr>
          <w:rFonts w:hint="cs"/>
          <w:rtl/>
        </w:rPr>
        <w:t xml:space="preserve">ما ذكره </w:t>
      </w:r>
      <w:r w:rsidR="00D171E8">
        <w:rPr>
          <w:rFonts w:hint="cs"/>
          <w:rtl/>
        </w:rPr>
        <w:t xml:space="preserve">بعض </w:t>
      </w:r>
      <w:r w:rsidRPr="00822CE9">
        <w:rPr>
          <w:rFonts w:hint="cs"/>
          <w:rtl/>
        </w:rPr>
        <w:t>المعاصر</w:t>
      </w:r>
      <w:r w:rsidR="00D171E8">
        <w:rPr>
          <w:rFonts w:hint="cs"/>
          <w:rtl/>
        </w:rPr>
        <w:t>ين،</w:t>
      </w:r>
      <w:r w:rsidRPr="00822CE9">
        <w:rPr>
          <w:rFonts w:hint="cs"/>
          <w:rtl/>
        </w:rPr>
        <w:t xml:space="preserve"> من أن</w:t>
      </w:r>
      <w:r w:rsidR="00D171E8">
        <w:rPr>
          <w:rFonts w:hint="cs"/>
          <w:rtl/>
        </w:rPr>
        <w:t>ّ</w:t>
      </w:r>
      <w:r w:rsidRPr="00822CE9">
        <w:rPr>
          <w:rFonts w:hint="cs"/>
          <w:rtl/>
        </w:rPr>
        <w:t xml:space="preserve"> الرواية تتحدّث عن الأئم</w:t>
      </w:r>
      <w:r w:rsidR="00D171E8">
        <w:rPr>
          <w:rFonts w:hint="cs"/>
          <w:rtl/>
        </w:rPr>
        <w:t>ّ</w:t>
      </w:r>
      <w:r w:rsidRPr="00822CE9">
        <w:rPr>
          <w:rFonts w:hint="cs"/>
          <w:rtl/>
        </w:rPr>
        <w:t>ة وظروف حضورهم وأن</w:t>
      </w:r>
      <w:r w:rsidR="00D171E8">
        <w:rPr>
          <w:rFonts w:hint="cs"/>
          <w:rtl/>
        </w:rPr>
        <w:t>ّ</w:t>
      </w:r>
      <w:r w:rsidRPr="00822CE9">
        <w:rPr>
          <w:rFonts w:hint="cs"/>
          <w:rtl/>
        </w:rPr>
        <w:t>هم لا ثورة لهم إلا مع المهدي</w:t>
      </w:r>
      <w:r w:rsidR="00D171E8">
        <w:rPr>
          <w:rFonts w:hint="cs"/>
          <w:rtl/>
        </w:rPr>
        <w:t>ّ</w:t>
      </w:r>
      <w:r w:rsidRPr="00822CE9">
        <w:rPr>
          <w:rFonts w:hint="cs"/>
          <w:rtl/>
        </w:rPr>
        <w:t>، فلا نظر لها إلى عصر الغيبة</w:t>
      </w:r>
      <w:r w:rsidRPr="000A4159">
        <w:rPr>
          <w:rFonts w:cs="Taher"/>
          <w:vertAlign w:val="superscript"/>
          <w:rtl/>
        </w:rPr>
        <w:t>(</w:t>
      </w:r>
      <w:r w:rsidRPr="000A4159">
        <w:rPr>
          <w:rStyle w:val="FootnoteReference"/>
          <w:rFonts w:cs="Taher"/>
          <w:rtl/>
        </w:rPr>
        <w:footnoteReference w:id="456"/>
      </w:r>
      <w:r w:rsidRPr="000A4159">
        <w:rPr>
          <w:rFonts w:cs="Taher"/>
          <w:vertAlign w:val="superscript"/>
          <w:rtl/>
        </w:rPr>
        <w:t>)</w:t>
      </w:r>
      <w:r w:rsidRPr="00822CE9">
        <w:rPr>
          <w:rFonts w:hint="cs"/>
          <w:rtl/>
        </w:rPr>
        <w:t>.</w:t>
      </w:r>
    </w:p>
    <w:p w14:paraId="0E9F88C5" w14:textId="77777777" w:rsidR="000A4159" w:rsidRPr="00822CE9" w:rsidRDefault="000A4159" w:rsidP="00166389">
      <w:pPr>
        <w:spacing w:line="214" w:lineRule="auto"/>
        <w:rPr>
          <w:rtl/>
        </w:rPr>
      </w:pPr>
      <w:r w:rsidRPr="00D171E8">
        <w:rPr>
          <w:rFonts w:hint="cs"/>
          <w:b/>
          <w:bCs/>
          <w:rtl/>
        </w:rPr>
        <w:t>وهذا الاحتمال أيضاً غير واضح؛</w:t>
      </w:r>
      <w:r w:rsidR="00D171E8">
        <w:rPr>
          <w:rFonts w:hint="cs"/>
          <w:rtl/>
        </w:rPr>
        <w:t xml:space="preserve"> إذ معناه لا أحد منّا يثور إلا</w:t>
      </w:r>
      <w:r w:rsidRPr="00822CE9">
        <w:rPr>
          <w:rFonts w:hint="cs"/>
          <w:rtl/>
        </w:rPr>
        <w:t xml:space="preserve"> المهدي، وهذا النصّ لا ربط له بصدر الرواية من النهي عن الحركة، إلا أن يقصد لا تخرجوا مع أحد من مدّعي المهدوي</w:t>
      </w:r>
      <w:r w:rsidR="00D171E8">
        <w:rPr>
          <w:rFonts w:hint="cs"/>
          <w:rtl/>
        </w:rPr>
        <w:t xml:space="preserve">ّة أو </w:t>
      </w:r>
      <w:r w:rsidR="00D171E8">
        <w:rPr>
          <w:rFonts w:hint="cs"/>
          <w:rtl/>
        </w:rPr>
        <w:lastRenderedPageBreak/>
        <w:t>م</w:t>
      </w:r>
      <w:r w:rsidRPr="00822CE9">
        <w:rPr>
          <w:rFonts w:hint="cs"/>
          <w:rtl/>
        </w:rPr>
        <w:t>د</w:t>
      </w:r>
      <w:r w:rsidR="00D171E8">
        <w:rPr>
          <w:rFonts w:hint="cs"/>
          <w:rtl/>
        </w:rPr>
        <w:t>ّ</w:t>
      </w:r>
      <w:r w:rsidRPr="00822CE9">
        <w:rPr>
          <w:rFonts w:hint="cs"/>
          <w:rtl/>
        </w:rPr>
        <w:t xml:space="preserve">عي </w:t>
      </w:r>
      <w:r w:rsidR="00D171E8">
        <w:rPr>
          <w:rFonts w:hint="cs"/>
          <w:rtl/>
        </w:rPr>
        <w:t>الإمامة إلا</w:t>
      </w:r>
      <w:r w:rsidRPr="00822CE9">
        <w:rPr>
          <w:rFonts w:hint="cs"/>
          <w:rtl/>
        </w:rPr>
        <w:t xml:space="preserve"> بهذه العلامات، وهذا عود</w:t>
      </w:r>
      <w:r w:rsidR="00D171E8">
        <w:rPr>
          <w:rFonts w:hint="cs"/>
          <w:rtl/>
        </w:rPr>
        <w:t>ٌ</w:t>
      </w:r>
      <w:r w:rsidRPr="00822CE9">
        <w:rPr>
          <w:rFonts w:hint="cs"/>
          <w:rtl/>
        </w:rPr>
        <w:t xml:space="preserve"> إلى المناقشة السابقة (ثانياً) تقريباً، مع أن</w:t>
      </w:r>
      <w:r w:rsidR="00D171E8">
        <w:rPr>
          <w:rFonts w:hint="cs"/>
          <w:rtl/>
        </w:rPr>
        <w:t>ّ</w:t>
      </w:r>
      <w:r w:rsidRPr="00822CE9">
        <w:rPr>
          <w:rFonts w:hint="cs"/>
          <w:rtl/>
        </w:rPr>
        <w:t xml:space="preserve"> المناق</w:t>
      </w:r>
      <w:r w:rsidR="00D171E8">
        <w:rPr>
          <w:rFonts w:hint="cs"/>
          <w:rtl/>
        </w:rPr>
        <w:t>ِ</w:t>
      </w:r>
      <w:r w:rsidRPr="00822CE9">
        <w:rPr>
          <w:rFonts w:hint="cs"/>
          <w:rtl/>
        </w:rPr>
        <w:t>ش هنا ردّ تلك المناقشة، وكذا هنا نحن نرد</w:t>
      </w:r>
      <w:r w:rsidR="00D171E8">
        <w:rPr>
          <w:rFonts w:hint="cs"/>
          <w:rtl/>
        </w:rPr>
        <w:t>ّ</w:t>
      </w:r>
      <w:r w:rsidRPr="00822CE9">
        <w:rPr>
          <w:rFonts w:hint="cs"/>
          <w:rtl/>
        </w:rPr>
        <w:t xml:space="preserve"> كلامه بعدم دليل على كون الرواية في هذا السياق</w:t>
      </w:r>
      <w:r w:rsidR="00D171E8">
        <w:rPr>
          <w:rFonts w:hint="cs"/>
          <w:rtl/>
        </w:rPr>
        <w:t>،</w:t>
      </w:r>
      <w:r w:rsidRPr="00822CE9">
        <w:rPr>
          <w:rFonts w:hint="cs"/>
          <w:rtl/>
        </w:rPr>
        <w:t xml:space="preserve"> وإن</w:t>
      </w:r>
      <w:r w:rsidR="00D171E8">
        <w:rPr>
          <w:rFonts w:hint="cs"/>
          <w:rtl/>
        </w:rPr>
        <w:t>ّما هو محض احتمال معقول، يمكن أ</w:t>
      </w:r>
      <w:r w:rsidRPr="00822CE9">
        <w:rPr>
          <w:rFonts w:hint="cs"/>
          <w:rtl/>
        </w:rPr>
        <w:t>ن يفيد</w:t>
      </w:r>
      <w:r w:rsidR="00D171E8">
        <w:rPr>
          <w:rFonts w:hint="cs"/>
          <w:rtl/>
        </w:rPr>
        <w:t>،</w:t>
      </w:r>
      <w:r w:rsidRPr="00822CE9">
        <w:rPr>
          <w:rFonts w:hint="cs"/>
          <w:rtl/>
        </w:rPr>
        <w:t xml:space="preserve"> لكن</w:t>
      </w:r>
      <w:r w:rsidR="00D171E8">
        <w:rPr>
          <w:rFonts w:hint="cs"/>
          <w:rtl/>
        </w:rPr>
        <w:t>ّ</w:t>
      </w:r>
      <w:r w:rsidRPr="00822CE9">
        <w:rPr>
          <w:rFonts w:hint="cs"/>
          <w:rtl/>
        </w:rPr>
        <w:t>ه لا شاهد من داخل الرواية له.</w:t>
      </w:r>
    </w:p>
    <w:p w14:paraId="194EA218" w14:textId="77777777" w:rsidR="000A4159" w:rsidRPr="00822CE9" w:rsidRDefault="000A4159" w:rsidP="00A079D6">
      <w:pPr>
        <w:spacing w:line="214" w:lineRule="auto"/>
        <w:rPr>
          <w:rtl/>
        </w:rPr>
      </w:pPr>
      <w:r w:rsidRPr="00822CE9">
        <w:rPr>
          <w:rFonts w:hint="cs"/>
          <w:rtl/>
        </w:rPr>
        <w:t>وعليه؛ فالرواية تام</w:t>
      </w:r>
      <w:r w:rsidR="00D171E8">
        <w:rPr>
          <w:rFonts w:hint="cs"/>
          <w:rtl/>
        </w:rPr>
        <w:t>ّ</w:t>
      </w:r>
      <w:r w:rsidRPr="00822CE9">
        <w:rPr>
          <w:rFonts w:hint="cs"/>
          <w:rtl/>
        </w:rPr>
        <w:t>ة الدلالة، إلا أن</w:t>
      </w:r>
      <w:r w:rsidR="00D171E8">
        <w:rPr>
          <w:rFonts w:hint="cs"/>
          <w:rtl/>
        </w:rPr>
        <w:t>ّ</w:t>
      </w:r>
      <w:r w:rsidRPr="00822CE9">
        <w:rPr>
          <w:rFonts w:hint="cs"/>
          <w:rtl/>
        </w:rPr>
        <w:t xml:space="preserve"> في سندها نقاشاً وتوق</w:t>
      </w:r>
      <w:r w:rsidR="00D171E8">
        <w:rPr>
          <w:rFonts w:hint="cs"/>
          <w:rtl/>
        </w:rPr>
        <w:t>ّ</w:t>
      </w:r>
      <w:r w:rsidRPr="00822CE9">
        <w:rPr>
          <w:rFonts w:hint="cs"/>
          <w:rtl/>
        </w:rPr>
        <w:t>فاً.</w:t>
      </w:r>
    </w:p>
    <w:p w14:paraId="78AD32DB" w14:textId="77777777" w:rsidR="000A4159" w:rsidRPr="00822CE9" w:rsidRDefault="00D171E8" w:rsidP="00053676">
      <w:pPr>
        <w:spacing w:line="214" w:lineRule="auto"/>
        <w:rPr>
          <w:rtl/>
        </w:rPr>
      </w:pPr>
      <w:r w:rsidRPr="00D171E8">
        <w:rPr>
          <w:rFonts w:hint="cs"/>
          <w:b/>
          <w:bCs/>
          <w:rtl/>
        </w:rPr>
        <w:t xml:space="preserve">الرواية السابعة عشرة: </w:t>
      </w:r>
      <w:r w:rsidR="000A4159" w:rsidRPr="00D171E8">
        <w:rPr>
          <w:rFonts w:hint="cs"/>
          <w:b/>
          <w:bCs/>
          <w:rtl/>
        </w:rPr>
        <w:t>خبر زر</w:t>
      </w:r>
      <w:r w:rsidRPr="00D171E8">
        <w:rPr>
          <w:rFonts w:hint="cs"/>
          <w:b/>
          <w:bCs/>
          <w:rtl/>
        </w:rPr>
        <w:t>ّ</w:t>
      </w:r>
      <w:r w:rsidR="000A4159" w:rsidRPr="00D171E8">
        <w:rPr>
          <w:rFonts w:hint="cs"/>
          <w:b/>
          <w:bCs/>
          <w:rtl/>
        </w:rPr>
        <w:t xml:space="preserve"> بن </w:t>
      </w:r>
      <w:r w:rsidRPr="00D171E8">
        <w:rPr>
          <w:rFonts w:hint="cs"/>
          <w:b/>
          <w:bCs/>
          <w:rtl/>
        </w:rPr>
        <w:t>حبي</w:t>
      </w:r>
      <w:r w:rsidR="000A4159" w:rsidRPr="00D171E8">
        <w:rPr>
          <w:rFonts w:hint="cs"/>
          <w:b/>
          <w:bCs/>
          <w:rtl/>
        </w:rPr>
        <w:t>ش،</w:t>
      </w:r>
      <w:r w:rsidR="000A4159" w:rsidRPr="00822CE9">
        <w:rPr>
          <w:rFonts w:hint="cs"/>
          <w:rtl/>
        </w:rPr>
        <w:t xml:space="preserve"> قال: خطب أمير المؤمنين</w:t>
      </w:r>
      <w:r w:rsidR="009A1626" w:rsidRPr="00822CE9">
        <w:rPr>
          <w:rFonts w:hint="cs"/>
          <w:rtl/>
        </w:rPr>
        <w:t>×</w:t>
      </w:r>
      <w:r w:rsidR="000A4159" w:rsidRPr="00822CE9">
        <w:rPr>
          <w:rFonts w:hint="cs"/>
          <w:rtl/>
        </w:rPr>
        <w:t xml:space="preserve"> بالنهروان ـ إلى أن قال: ـ فقام رجل، فقال: يا أمير المؤمنين</w:t>
      </w:r>
      <w:r>
        <w:rPr>
          <w:rFonts w:hint="cs"/>
          <w:rtl/>
        </w:rPr>
        <w:t>،</w:t>
      </w:r>
      <w:r w:rsidR="000A4159" w:rsidRPr="00822CE9">
        <w:rPr>
          <w:rFonts w:hint="cs"/>
          <w:rtl/>
        </w:rPr>
        <w:t xml:space="preserve"> حد</w:t>
      </w:r>
      <w:r w:rsidR="00053676">
        <w:rPr>
          <w:rFonts w:hint="cs"/>
          <w:rtl/>
        </w:rPr>
        <w:t>ّ</w:t>
      </w:r>
      <w:r w:rsidR="000A4159" w:rsidRPr="00822CE9">
        <w:rPr>
          <w:rFonts w:hint="cs"/>
          <w:rtl/>
        </w:rPr>
        <w:t>ثنا عن الفتن.. فقام رجل، فقال: يا أمير المؤمنين</w:t>
      </w:r>
      <w:r w:rsidR="00053676">
        <w:rPr>
          <w:rFonts w:hint="cs"/>
          <w:rtl/>
        </w:rPr>
        <w:t>،</w:t>
      </w:r>
      <w:r w:rsidR="000A4159" w:rsidRPr="00822CE9">
        <w:rPr>
          <w:rFonts w:hint="cs"/>
          <w:rtl/>
        </w:rPr>
        <w:t xml:space="preserve"> ما نصنع في ذلك الزمان؟ قال: «انظروا أهل بيت نبي</w:t>
      </w:r>
      <w:r w:rsidR="00053676">
        <w:rPr>
          <w:rFonts w:hint="cs"/>
          <w:rtl/>
        </w:rPr>
        <w:t>ّ</w:t>
      </w:r>
      <w:r w:rsidR="000A4159" w:rsidRPr="00822CE9">
        <w:rPr>
          <w:rFonts w:hint="cs"/>
          <w:rtl/>
        </w:rPr>
        <w:t>كم؛ فإن لبدوا فالبدوا، وإن استصرخوكم فانصروهم تؤجروا، ولا تستب</w:t>
      </w:r>
      <w:r w:rsidR="00053676">
        <w:rPr>
          <w:rFonts w:hint="cs"/>
          <w:rtl/>
        </w:rPr>
        <w:t>ق</w:t>
      </w:r>
      <w:r w:rsidR="000A4159" w:rsidRPr="00822CE9">
        <w:rPr>
          <w:rFonts w:hint="cs"/>
          <w:rtl/>
        </w:rPr>
        <w:t>وهم فتصرعكم البلي</w:t>
      </w:r>
      <w:r w:rsidR="00053676">
        <w:rPr>
          <w:rFonts w:hint="cs"/>
          <w:rtl/>
        </w:rPr>
        <w:t>ّ</w:t>
      </w:r>
      <w:r w:rsidR="000A4159" w:rsidRPr="00822CE9">
        <w:rPr>
          <w:rFonts w:hint="cs"/>
          <w:rtl/>
        </w:rPr>
        <w:t xml:space="preserve">ة»، ثم ذكر حصول </w:t>
      </w:r>
      <w:r w:rsidR="00053676">
        <w:rPr>
          <w:rFonts w:hint="cs"/>
          <w:rtl/>
        </w:rPr>
        <w:t xml:space="preserve">الفرج </w:t>
      </w:r>
      <w:r w:rsidR="000A4159" w:rsidRPr="00822CE9">
        <w:rPr>
          <w:rFonts w:hint="cs"/>
          <w:rtl/>
        </w:rPr>
        <w:t>بخروج صاحب الأمر</w:t>
      </w:r>
      <w:r w:rsidR="000A4159" w:rsidRPr="000A4159">
        <w:rPr>
          <w:rFonts w:cs="Taher"/>
          <w:vertAlign w:val="superscript"/>
          <w:rtl/>
        </w:rPr>
        <w:t>(</w:t>
      </w:r>
      <w:r w:rsidR="000A4159" w:rsidRPr="000A4159">
        <w:rPr>
          <w:rStyle w:val="FootnoteReference"/>
          <w:rFonts w:cs="Taher"/>
          <w:rtl/>
        </w:rPr>
        <w:footnoteReference w:id="457"/>
      </w:r>
      <w:r w:rsidR="000A4159" w:rsidRPr="000A4159">
        <w:rPr>
          <w:rFonts w:cs="Taher"/>
          <w:vertAlign w:val="superscript"/>
          <w:rtl/>
        </w:rPr>
        <w:t>)</w:t>
      </w:r>
      <w:r w:rsidR="000A4159" w:rsidRPr="00822CE9">
        <w:rPr>
          <w:rtl/>
        </w:rPr>
        <w:t>.</w:t>
      </w:r>
    </w:p>
    <w:p w14:paraId="2784E7FB" w14:textId="77777777" w:rsidR="000A4159" w:rsidRPr="00822CE9" w:rsidRDefault="000A4159" w:rsidP="00053676">
      <w:pPr>
        <w:spacing w:line="214" w:lineRule="auto"/>
        <w:rPr>
          <w:rtl/>
        </w:rPr>
      </w:pPr>
      <w:r w:rsidRPr="00822CE9">
        <w:rPr>
          <w:rFonts w:hint="cs"/>
          <w:rtl/>
        </w:rPr>
        <w:t>والرواية ظاهرة في لزوم اللبد حتى يخرج الأئم</w:t>
      </w:r>
      <w:r w:rsidR="00053676">
        <w:rPr>
          <w:rFonts w:hint="cs"/>
          <w:rtl/>
        </w:rPr>
        <w:t>ّ</w:t>
      </w:r>
      <w:r w:rsidRPr="00822CE9">
        <w:rPr>
          <w:rFonts w:hint="cs"/>
          <w:rtl/>
        </w:rPr>
        <w:t>ة أنفسهم.</w:t>
      </w:r>
    </w:p>
    <w:p w14:paraId="30C45BBB" w14:textId="77777777" w:rsidR="000A4159" w:rsidRPr="00822CE9" w:rsidRDefault="000A4159" w:rsidP="00CF1E7F">
      <w:pPr>
        <w:pStyle w:val="normal870"/>
        <w:rPr>
          <w:rtl/>
        </w:rPr>
      </w:pPr>
      <w:r w:rsidRPr="00822CE9">
        <w:rPr>
          <w:rFonts w:hint="cs"/>
          <w:rtl/>
        </w:rPr>
        <w:t>وقد ورد مضمون هذه الرواية في نهج البلاغة مرسلاً</w:t>
      </w:r>
      <w:r w:rsidRPr="000A4159">
        <w:rPr>
          <w:rFonts w:cs="Taher"/>
          <w:vertAlign w:val="superscript"/>
          <w:rtl/>
        </w:rPr>
        <w:t>(</w:t>
      </w:r>
      <w:r w:rsidRPr="000A4159">
        <w:rPr>
          <w:rStyle w:val="FootnoteReference"/>
          <w:rFonts w:cs="Taher"/>
          <w:rtl/>
        </w:rPr>
        <w:footnoteReference w:id="458"/>
      </w:r>
      <w:r w:rsidRPr="000A4159">
        <w:rPr>
          <w:rFonts w:cs="Taher"/>
          <w:vertAlign w:val="superscript"/>
          <w:rtl/>
        </w:rPr>
        <w:t>)</w:t>
      </w:r>
      <w:r w:rsidRPr="00822CE9">
        <w:rPr>
          <w:rtl/>
        </w:rPr>
        <w:t xml:space="preserve">، </w:t>
      </w:r>
      <w:r w:rsidRPr="00822CE9">
        <w:rPr>
          <w:rFonts w:hint="cs"/>
          <w:rtl/>
        </w:rPr>
        <w:t>وفي كتاب س</w:t>
      </w:r>
      <w:r w:rsidR="00053676">
        <w:rPr>
          <w:rFonts w:hint="cs"/>
          <w:rtl/>
        </w:rPr>
        <w:t>ُ</w:t>
      </w:r>
      <w:r w:rsidRPr="00822CE9">
        <w:rPr>
          <w:rFonts w:hint="cs"/>
          <w:rtl/>
        </w:rPr>
        <w:t>ل</w:t>
      </w:r>
      <w:r w:rsidR="00053676">
        <w:rPr>
          <w:rFonts w:hint="cs"/>
          <w:rtl/>
        </w:rPr>
        <w:t>ي</w:t>
      </w:r>
      <w:r w:rsidRPr="00822CE9">
        <w:rPr>
          <w:rFonts w:hint="cs"/>
          <w:rtl/>
        </w:rPr>
        <w:t>م بن قيس بسند</w:t>
      </w:r>
      <w:r w:rsidR="00053676">
        <w:rPr>
          <w:rFonts w:hint="cs"/>
          <w:rtl/>
        </w:rPr>
        <w:t>ٍ</w:t>
      </w:r>
      <w:r w:rsidRPr="00822CE9">
        <w:rPr>
          <w:rFonts w:hint="cs"/>
          <w:rtl/>
        </w:rPr>
        <w:t xml:space="preserve"> ضعيف</w:t>
      </w:r>
      <w:r w:rsidRPr="000A4159">
        <w:rPr>
          <w:rFonts w:cs="Taher"/>
          <w:vertAlign w:val="superscript"/>
          <w:rtl/>
        </w:rPr>
        <w:t>(</w:t>
      </w:r>
      <w:r w:rsidRPr="000A4159">
        <w:rPr>
          <w:rStyle w:val="FootnoteReference"/>
          <w:rFonts w:cs="Taher"/>
          <w:rtl/>
        </w:rPr>
        <w:footnoteReference w:id="459"/>
      </w:r>
      <w:r w:rsidRPr="000A4159">
        <w:rPr>
          <w:rFonts w:cs="Taher"/>
          <w:vertAlign w:val="superscript"/>
          <w:rtl/>
        </w:rPr>
        <w:t>)</w:t>
      </w:r>
      <w:r w:rsidRPr="00822CE9">
        <w:rPr>
          <w:rtl/>
        </w:rPr>
        <w:t xml:space="preserve">، </w:t>
      </w:r>
      <w:r w:rsidRPr="00822CE9">
        <w:rPr>
          <w:rFonts w:hint="cs"/>
          <w:rtl/>
        </w:rPr>
        <w:t>وورد أيضاً عن الباقر عن رسول الله</w:t>
      </w:r>
      <w:r w:rsidR="00053676">
        <w:rPr>
          <w:rFonts w:hint="cs"/>
          <w:rtl/>
        </w:rPr>
        <w:t>‘</w:t>
      </w:r>
      <w:r w:rsidRPr="00822CE9">
        <w:rPr>
          <w:rFonts w:hint="cs"/>
          <w:rtl/>
        </w:rPr>
        <w:t xml:space="preserve"> في مناقب الإمام أمير المؤمنين لمحمد بن سليمان الكوفي</w:t>
      </w:r>
      <w:r w:rsidRPr="000A4159">
        <w:rPr>
          <w:rFonts w:cs="Taher"/>
          <w:vertAlign w:val="superscript"/>
          <w:rtl/>
        </w:rPr>
        <w:t>(</w:t>
      </w:r>
      <w:r w:rsidRPr="000A4159">
        <w:rPr>
          <w:rStyle w:val="FootnoteReference"/>
          <w:rFonts w:cs="Taher"/>
          <w:rtl/>
        </w:rPr>
        <w:footnoteReference w:id="460"/>
      </w:r>
      <w:r w:rsidRPr="000A4159">
        <w:rPr>
          <w:rFonts w:cs="Taher"/>
          <w:vertAlign w:val="superscript"/>
          <w:rtl/>
        </w:rPr>
        <w:t>)</w:t>
      </w:r>
      <w:r w:rsidRPr="00822CE9">
        <w:rPr>
          <w:rtl/>
        </w:rPr>
        <w:t xml:space="preserve"> </w:t>
      </w:r>
      <w:r w:rsidRPr="00822CE9">
        <w:rPr>
          <w:rFonts w:hint="cs"/>
          <w:rtl/>
        </w:rPr>
        <w:t>بسند</w:t>
      </w:r>
      <w:r w:rsidR="00053676">
        <w:rPr>
          <w:rFonts w:hint="cs"/>
          <w:rtl/>
        </w:rPr>
        <w:t>ٍ فيه إ</w:t>
      </w:r>
      <w:r w:rsidRPr="00822CE9">
        <w:rPr>
          <w:rFonts w:hint="cs"/>
          <w:rtl/>
        </w:rPr>
        <w:t>سماعيل بن المنذر</w:t>
      </w:r>
      <w:r w:rsidR="00053676">
        <w:rPr>
          <w:rFonts w:hint="cs"/>
          <w:rtl/>
        </w:rPr>
        <w:t>،</w:t>
      </w:r>
      <w:r w:rsidRPr="00822CE9">
        <w:rPr>
          <w:rFonts w:hint="cs"/>
          <w:rtl/>
        </w:rPr>
        <w:t xml:space="preserve"> وهو رجل</w:t>
      </w:r>
      <w:r w:rsidR="00053676">
        <w:rPr>
          <w:rFonts w:hint="cs"/>
          <w:rtl/>
        </w:rPr>
        <w:t>ٌ</w:t>
      </w:r>
      <w:r w:rsidRPr="00822CE9">
        <w:rPr>
          <w:rFonts w:hint="cs"/>
          <w:rtl/>
        </w:rPr>
        <w:t xml:space="preserve"> لا ذكر له في أيّ مصدر حديثي أو رجالي، وإن</w:t>
      </w:r>
      <w:r w:rsidR="00053676">
        <w:rPr>
          <w:rFonts w:hint="cs"/>
          <w:rtl/>
        </w:rPr>
        <w:t>ّ</w:t>
      </w:r>
      <w:r w:rsidRPr="00822CE9">
        <w:rPr>
          <w:rFonts w:hint="cs"/>
          <w:rtl/>
        </w:rPr>
        <w:t xml:space="preserve">ما ورد اسمه عابراً في </w:t>
      </w:r>
      <w:r w:rsidR="00166389">
        <w:rPr>
          <w:rFonts w:hint="cs"/>
          <w:rtl/>
        </w:rPr>
        <w:t>كلمات ا</w:t>
      </w:r>
      <w:r w:rsidRPr="00822CE9">
        <w:rPr>
          <w:rFonts w:hint="cs"/>
          <w:rtl/>
        </w:rPr>
        <w:t>لرازي</w:t>
      </w:r>
      <w:r w:rsidRPr="000A4159">
        <w:rPr>
          <w:rFonts w:cs="Taher"/>
          <w:vertAlign w:val="superscript"/>
          <w:rtl/>
        </w:rPr>
        <w:t>(</w:t>
      </w:r>
      <w:r w:rsidRPr="000A4159">
        <w:rPr>
          <w:rStyle w:val="FootnoteReference"/>
          <w:rFonts w:cs="Taher"/>
          <w:rtl/>
        </w:rPr>
        <w:footnoteReference w:id="461"/>
      </w:r>
      <w:r w:rsidRPr="000A4159">
        <w:rPr>
          <w:rFonts w:cs="Taher"/>
          <w:vertAlign w:val="superscript"/>
          <w:rtl/>
        </w:rPr>
        <w:t>)</w:t>
      </w:r>
      <w:r w:rsidRPr="00822CE9">
        <w:rPr>
          <w:rtl/>
        </w:rPr>
        <w:t xml:space="preserve">، </w:t>
      </w:r>
      <w:r w:rsidRPr="00822CE9">
        <w:rPr>
          <w:rFonts w:hint="cs"/>
          <w:rtl/>
        </w:rPr>
        <w:t>ووردت في شرح الأخبار للقاضي النعمان مرسلةً</w:t>
      </w:r>
      <w:r w:rsidRPr="000A4159">
        <w:rPr>
          <w:rFonts w:cs="Taher"/>
          <w:vertAlign w:val="superscript"/>
          <w:rtl/>
        </w:rPr>
        <w:t>(</w:t>
      </w:r>
      <w:r w:rsidRPr="000A4159">
        <w:rPr>
          <w:rStyle w:val="FootnoteReference"/>
          <w:rFonts w:cs="Taher"/>
          <w:rtl/>
        </w:rPr>
        <w:footnoteReference w:id="462"/>
      </w:r>
      <w:r w:rsidRPr="000A4159">
        <w:rPr>
          <w:rFonts w:cs="Taher"/>
          <w:vertAlign w:val="superscript"/>
          <w:rtl/>
        </w:rPr>
        <w:t>)</w:t>
      </w:r>
      <w:r w:rsidRPr="00822CE9">
        <w:rPr>
          <w:rtl/>
        </w:rPr>
        <w:t>.</w:t>
      </w:r>
    </w:p>
    <w:p w14:paraId="77FFDCB6" w14:textId="77777777" w:rsidR="000A4159" w:rsidRPr="00822CE9" w:rsidRDefault="000A4159" w:rsidP="00E51EF1">
      <w:pPr>
        <w:spacing w:line="214" w:lineRule="auto"/>
        <w:rPr>
          <w:rtl/>
        </w:rPr>
      </w:pPr>
      <w:r w:rsidRPr="00822CE9">
        <w:rPr>
          <w:rFonts w:hint="cs"/>
          <w:rtl/>
        </w:rPr>
        <w:t>وأم</w:t>
      </w:r>
      <w:r w:rsidR="00053676">
        <w:rPr>
          <w:rFonts w:hint="cs"/>
          <w:rtl/>
        </w:rPr>
        <w:t>ّ</w:t>
      </w:r>
      <w:r w:rsidRPr="00822CE9">
        <w:rPr>
          <w:rFonts w:hint="cs"/>
          <w:rtl/>
        </w:rPr>
        <w:t xml:space="preserve">ا المصدر الذي أخذ عنه </w:t>
      </w:r>
      <w:r w:rsidR="00053676">
        <w:rPr>
          <w:rFonts w:hint="cs"/>
          <w:rtl/>
        </w:rPr>
        <w:t xml:space="preserve">الحرّ العاملي، </w:t>
      </w:r>
      <w:r w:rsidRPr="00822CE9">
        <w:rPr>
          <w:rFonts w:hint="cs"/>
          <w:rtl/>
        </w:rPr>
        <w:t>فهو الغارات للثقفي بسند</w:t>
      </w:r>
      <w:r w:rsidR="00053676">
        <w:rPr>
          <w:rFonts w:hint="cs"/>
          <w:rtl/>
        </w:rPr>
        <w:t>ٍ</w:t>
      </w:r>
      <w:r w:rsidRPr="00822CE9">
        <w:rPr>
          <w:rFonts w:hint="cs"/>
          <w:rtl/>
        </w:rPr>
        <w:t xml:space="preserve"> إلى علي</w:t>
      </w:r>
      <w:r w:rsidR="00053676">
        <w:rPr>
          <w:rFonts w:hint="cs"/>
          <w:rtl/>
        </w:rPr>
        <w:t>ّ</w:t>
      </w:r>
      <w:r w:rsidRPr="00822CE9">
        <w:rPr>
          <w:rFonts w:hint="cs"/>
          <w:rtl/>
        </w:rPr>
        <w:t xml:space="preserve"> بن أبي طالب</w:t>
      </w:r>
      <w:r w:rsidR="00053676">
        <w:rPr>
          <w:rFonts w:hint="cs"/>
          <w:rtl/>
        </w:rPr>
        <w:t>،</w:t>
      </w:r>
      <w:r w:rsidRPr="00822CE9">
        <w:rPr>
          <w:rFonts w:hint="cs"/>
          <w:rtl/>
        </w:rPr>
        <w:t xml:space="preserve"> ومن المعروف أن</w:t>
      </w:r>
      <w:r w:rsidR="00626273">
        <w:rPr>
          <w:rFonts w:hint="cs"/>
          <w:rtl/>
        </w:rPr>
        <w:t>ّ</w:t>
      </w:r>
      <w:r w:rsidRPr="00822CE9">
        <w:rPr>
          <w:rFonts w:hint="cs"/>
          <w:rtl/>
        </w:rPr>
        <w:t xml:space="preserve"> الثقفي هذا توف</w:t>
      </w:r>
      <w:r w:rsidR="00626273">
        <w:rPr>
          <w:rFonts w:hint="cs"/>
          <w:rtl/>
        </w:rPr>
        <w:t>ّ</w:t>
      </w:r>
      <w:r w:rsidRPr="00822CE9">
        <w:rPr>
          <w:rFonts w:hint="cs"/>
          <w:rtl/>
        </w:rPr>
        <w:t>ي عام 283هـ، وقد ورد في السند المنصور بن عمرو</w:t>
      </w:r>
      <w:r w:rsidR="00626273">
        <w:rPr>
          <w:rFonts w:hint="cs"/>
          <w:rtl/>
        </w:rPr>
        <w:t>،</w:t>
      </w:r>
      <w:r w:rsidRPr="00822CE9">
        <w:rPr>
          <w:rFonts w:hint="cs"/>
          <w:rtl/>
        </w:rPr>
        <w:t xml:space="preserve"> وهو رجل</w:t>
      </w:r>
      <w:r w:rsidR="00626273">
        <w:rPr>
          <w:rFonts w:hint="cs"/>
          <w:rtl/>
        </w:rPr>
        <w:t>ٌ</w:t>
      </w:r>
      <w:r w:rsidRPr="00822CE9">
        <w:rPr>
          <w:rFonts w:hint="cs"/>
          <w:rtl/>
        </w:rPr>
        <w:t xml:space="preserve"> مهمل جداً، كما ورد المنهال بن عمرو وهو </w:t>
      </w:r>
      <w:r w:rsidR="00626273">
        <w:rPr>
          <w:rFonts w:hint="cs"/>
          <w:rtl/>
        </w:rPr>
        <w:t>مجهول إلا</w:t>
      </w:r>
      <w:r w:rsidRPr="00822CE9">
        <w:rPr>
          <w:rFonts w:hint="cs"/>
          <w:rtl/>
        </w:rPr>
        <w:t xml:space="preserve"> على كامل الزيار</w:t>
      </w:r>
      <w:r w:rsidR="00557331">
        <w:rPr>
          <w:rFonts w:hint="cs"/>
          <w:rtl/>
        </w:rPr>
        <w:t>ات</w:t>
      </w:r>
      <w:r w:rsidRPr="00822CE9">
        <w:rPr>
          <w:rFonts w:hint="cs"/>
          <w:rtl/>
        </w:rPr>
        <w:t xml:space="preserve"> وليس من المشايخ </w:t>
      </w:r>
      <w:r w:rsidRPr="00822CE9">
        <w:rPr>
          <w:rFonts w:hint="cs"/>
          <w:rtl/>
        </w:rPr>
        <w:lastRenderedPageBreak/>
        <w:t>المباشرين</w:t>
      </w:r>
      <w:r w:rsidRPr="000A4159">
        <w:rPr>
          <w:rFonts w:cs="Taher"/>
          <w:vertAlign w:val="superscript"/>
          <w:rtl/>
        </w:rPr>
        <w:t>(</w:t>
      </w:r>
      <w:r w:rsidRPr="000A4159">
        <w:rPr>
          <w:rStyle w:val="FootnoteReference"/>
          <w:rFonts w:cs="Taher"/>
          <w:rtl/>
        </w:rPr>
        <w:footnoteReference w:id="463"/>
      </w:r>
      <w:r w:rsidRPr="000A4159">
        <w:rPr>
          <w:rFonts w:cs="Taher"/>
          <w:vertAlign w:val="superscript"/>
          <w:rtl/>
        </w:rPr>
        <w:t>)</w:t>
      </w:r>
      <w:r w:rsidRPr="00822CE9">
        <w:rPr>
          <w:rtl/>
        </w:rPr>
        <w:t xml:space="preserve">، </w:t>
      </w:r>
      <w:r w:rsidR="00E51EF1">
        <w:rPr>
          <w:rFonts w:hint="cs"/>
          <w:rtl/>
        </w:rPr>
        <w:t>غير أنّه رغم غمز بعض علماء أهل السنّة بالمنهال بن عمرو الأسدي، غير أنّ بعضهم وثّقه</w:t>
      </w:r>
      <w:r w:rsidR="00E51EF1" w:rsidRPr="000A4159">
        <w:rPr>
          <w:rFonts w:cs="Taher"/>
          <w:vertAlign w:val="superscript"/>
          <w:rtl/>
        </w:rPr>
        <w:t>(</w:t>
      </w:r>
      <w:r w:rsidR="00E51EF1" w:rsidRPr="000A4159">
        <w:rPr>
          <w:rStyle w:val="FootnoteReference"/>
          <w:rFonts w:cs="Taher"/>
          <w:rtl/>
        </w:rPr>
        <w:footnoteReference w:id="464"/>
      </w:r>
      <w:r w:rsidR="00E51EF1" w:rsidRPr="000A4159">
        <w:rPr>
          <w:rFonts w:cs="Taher"/>
          <w:vertAlign w:val="superscript"/>
          <w:rtl/>
        </w:rPr>
        <w:t>)</w:t>
      </w:r>
      <w:r w:rsidR="00E51EF1">
        <w:rPr>
          <w:rFonts w:hint="cs"/>
          <w:rtl/>
        </w:rPr>
        <w:t xml:space="preserve">، </w:t>
      </w:r>
      <w:r w:rsidRPr="00822CE9">
        <w:rPr>
          <w:rFonts w:hint="cs"/>
          <w:rtl/>
        </w:rPr>
        <w:t>فالرواية ضعيفة السند بكاف</w:t>
      </w:r>
      <w:r w:rsidR="00626273">
        <w:rPr>
          <w:rFonts w:hint="cs"/>
          <w:rtl/>
        </w:rPr>
        <w:t>ّ</w:t>
      </w:r>
      <w:r w:rsidRPr="00822CE9">
        <w:rPr>
          <w:rFonts w:hint="cs"/>
          <w:rtl/>
        </w:rPr>
        <w:t>ة مصادرها لا ي</w:t>
      </w:r>
      <w:r w:rsidR="00626273">
        <w:rPr>
          <w:rFonts w:hint="cs"/>
          <w:rtl/>
        </w:rPr>
        <w:t>ُ</w:t>
      </w:r>
      <w:r w:rsidRPr="00822CE9">
        <w:rPr>
          <w:rFonts w:hint="cs"/>
          <w:rtl/>
        </w:rPr>
        <w:t>ستند إليها.</w:t>
      </w:r>
    </w:p>
    <w:p w14:paraId="2DC332C5" w14:textId="77777777" w:rsidR="000A4159" w:rsidRPr="00822CE9" w:rsidRDefault="000A4159" w:rsidP="00DD2118">
      <w:pPr>
        <w:spacing w:line="214" w:lineRule="auto"/>
        <w:rPr>
          <w:rtl/>
        </w:rPr>
      </w:pPr>
      <w:r w:rsidRPr="00822CE9">
        <w:rPr>
          <w:rFonts w:hint="cs"/>
          <w:rtl/>
        </w:rPr>
        <w:t>وي</w:t>
      </w:r>
      <w:r w:rsidR="00626273">
        <w:rPr>
          <w:rFonts w:hint="cs"/>
          <w:rtl/>
        </w:rPr>
        <w:t>ُ</w:t>
      </w:r>
      <w:r w:rsidRPr="00822CE9">
        <w:rPr>
          <w:rFonts w:hint="cs"/>
          <w:rtl/>
        </w:rPr>
        <w:t>ضاف إلى الضعف السندي الموجود في الرواية أن</w:t>
      </w:r>
      <w:r w:rsidR="00626273">
        <w:rPr>
          <w:rFonts w:hint="cs"/>
          <w:rtl/>
        </w:rPr>
        <w:t>ّ</w:t>
      </w:r>
      <w:r w:rsidRPr="00822CE9">
        <w:rPr>
          <w:rFonts w:hint="cs"/>
          <w:rtl/>
        </w:rPr>
        <w:t>ها تتحدّث عن زمان وقوع الفتنة وأن</w:t>
      </w:r>
      <w:r w:rsidR="00626273">
        <w:rPr>
          <w:rFonts w:hint="cs"/>
          <w:rtl/>
        </w:rPr>
        <w:t>ّ</w:t>
      </w:r>
      <w:r w:rsidRPr="00822CE9">
        <w:rPr>
          <w:rFonts w:hint="cs"/>
          <w:rtl/>
        </w:rPr>
        <w:t xml:space="preserve"> </w:t>
      </w:r>
      <w:r w:rsidR="009A1626" w:rsidRPr="00822CE9">
        <w:rPr>
          <w:rFonts w:hint="cs"/>
          <w:rtl/>
        </w:rPr>
        <w:t>أهل البيت</w:t>
      </w:r>
      <w:r w:rsidRPr="00822CE9">
        <w:rPr>
          <w:rFonts w:hint="cs"/>
          <w:rtl/>
        </w:rPr>
        <w:t xml:space="preserve"> إن لبدوا وجب على الآخرين اللبد وإن استصرخوا وجبت نصرتهم</w:t>
      </w:r>
      <w:r w:rsidR="00626273">
        <w:rPr>
          <w:rFonts w:hint="cs"/>
          <w:rtl/>
        </w:rPr>
        <w:t>.</w:t>
      </w:r>
      <w:r w:rsidRPr="00822CE9">
        <w:rPr>
          <w:rFonts w:hint="cs"/>
          <w:rtl/>
        </w:rPr>
        <w:t xml:space="preserve"> وهذا السي</w:t>
      </w:r>
      <w:r w:rsidR="00626273">
        <w:rPr>
          <w:rFonts w:hint="cs"/>
          <w:rtl/>
        </w:rPr>
        <w:t>ا</w:t>
      </w:r>
      <w:r w:rsidRPr="00822CE9">
        <w:rPr>
          <w:rFonts w:hint="cs"/>
          <w:rtl/>
        </w:rPr>
        <w:t xml:space="preserve">ق هو سياق حضورهم </w:t>
      </w:r>
      <w:r w:rsidR="00626273">
        <w:rPr>
          <w:rFonts w:hint="cs"/>
          <w:rtl/>
        </w:rPr>
        <w:t xml:space="preserve">دون </w:t>
      </w:r>
      <w:r w:rsidRPr="00822CE9">
        <w:rPr>
          <w:rFonts w:hint="cs"/>
          <w:rtl/>
        </w:rPr>
        <w:t>غيبتهم، فتكون الرواية ناظرة إلى عصر الحضور، ومنصرفة عن عصر الغيبة، ولا دليل على أن</w:t>
      </w:r>
      <w:r w:rsidR="00626273">
        <w:rPr>
          <w:rFonts w:hint="cs"/>
          <w:rtl/>
        </w:rPr>
        <w:t>ّ</w:t>
      </w:r>
      <w:r w:rsidRPr="00822CE9">
        <w:rPr>
          <w:rFonts w:hint="cs"/>
          <w:rtl/>
        </w:rPr>
        <w:t xml:space="preserve"> الإمام علي</w:t>
      </w:r>
      <w:r w:rsidR="00626273">
        <w:rPr>
          <w:rFonts w:hint="cs"/>
          <w:rtl/>
        </w:rPr>
        <w:t>ّ</w:t>
      </w:r>
      <w:r w:rsidRPr="00822CE9">
        <w:rPr>
          <w:rFonts w:hint="cs"/>
          <w:rtl/>
        </w:rPr>
        <w:t>اً قد ربط الخروج بمسألة ظهور المهدي، نعم هو تحدّث عن المهدي بوصفه المخلّص؛ لكن</w:t>
      </w:r>
      <w:r w:rsidR="00626273">
        <w:rPr>
          <w:rFonts w:hint="cs"/>
          <w:rtl/>
        </w:rPr>
        <w:t>ّ</w:t>
      </w:r>
      <w:r w:rsidRPr="00822CE9">
        <w:rPr>
          <w:rFonts w:hint="cs"/>
          <w:rtl/>
        </w:rPr>
        <w:t xml:space="preserve"> هذا لم يقع في سياق جعل منته</w:t>
      </w:r>
      <w:r w:rsidR="00626273">
        <w:rPr>
          <w:rFonts w:hint="cs"/>
          <w:rtl/>
        </w:rPr>
        <w:t>ى</w:t>
      </w:r>
      <w:r w:rsidRPr="00822CE9">
        <w:rPr>
          <w:rFonts w:hint="cs"/>
          <w:rtl/>
        </w:rPr>
        <w:t xml:space="preserve"> اللبد هو خروجه، على أنّ هذه الرواية لو عم</w:t>
      </w:r>
      <w:r w:rsidR="00626273">
        <w:rPr>
          <w:rFonts w:hint="cs"/>
          <w:rtl/>
        </w:rPr>
        <w:t>ّ</w:t>
      </w:r>
      <w:r w:rsidRPr="00822CE9">
        <w:rPr>
          <w:rFonts w:hint="cs"/>
          <w:rtl/>
        </w:rPr>
        <w:t>ت عصر الغيبة، فلا تفيد أيضاً؛ لأن</w:t>
      </w:r>
      <w:r w:rsidR="00626273">
        <w:rPr>
          <w:rFonts w:hint="cs"/>
          <w:rtl/>
        </w:rPr>
        <w:t>ّ</w:t>
      </w:r>
      <w:r w:rsidRPr="00822CE9">
        <w:rPr>
          <w:rFonts w:hint="cs"/>
          <w:rtl/>
        </w:rPr>
        <w:t>ها قضي</w:t>
      </w:r>
      <w:r w:rsidR="00626273">
        <w:rPr>
          <w:rFonts w:hint="cs"/>
          <w:rtl/>
        </w:rPr>
        <w:t>ّ</w:t>
      </w:r>
      <w:r w:rsidRPr="00822CE9">
        <w:rPr>
          <w:rFonts w:hint="cs"/>
          <w:rtl/>
        </w:rPr>
        <w:t>تان شرطي</w:t>
      </w:r>
      <w:r w:rsidR="00626273">
        <w:rPr>
          <w:rFonts w:hint="cs"/>
          <w:rtl/>
        </w:rPr>
        <w:t>ّ</w:t>
      </w:r>
      <w:r w:rsidRPr="00822CE9">
        <w:rPr>
          <w:rFonts w:hint="cs"/>
          <w:rtl/>
        </w:rPr>
        <w:t xml:space="preserve">تان، ولا ندري هل يريد </w:t>
      </w:r>
      <w:r w:rsidR="009A1626" w:rsidRPr="00822CE9">
        <w:rPr>
          <w:rFonts w:hint="cs"/>
          <w:rtl/>
        </w:rPr>
        <w:t>أهل البيت</w:t>
      </w:r>
      <w:r w:rsidRPr="00822CE9">
        <w:rPr>
          <w:rFonts w:hint="cs"/>
          <w:rtl/>
        </w:rPr>
        <w:t xml:space="preserve"> منّا اليوم النصرة أو اللبد؟ فتكون بحاجة إلى دليل آخر، فلا تكون هذه الرواية بنفسها دليلاً</w:t>
      </w:r>
      <w:r w:rsidR="00626273">
        <w:rPr>
          <w:rFonts w:hint="cs"/>
          <w:rtl/>
        </w:rPr>
        <w:t>،</w:t>
      </w:r>
      <w:r w:rsidRPr="00822CE9">
        <w:rPr>
          <w:rFonts w:hint="cs"/>
          <w:rtl/>
        </w:rPr>
        <w:t xml:space="preserve"> إلا إذا قيل </w:t>
      </w:r>
      <w:r w:rsidR="00626273">
        <w:rPr>
          <w:rFonts w:hint="cs"/>
          <w:rtl/>
        </w:rPr>
        <w:t>بأ</w:t>
      </w:r>
      <w:r w:rsidRPr="00822CE9">
        <w:rPr>
          <w:rFonts w:hint="cs"/>
          <w:rtl/>
        </w:rPr>
        <w:t>ن</w:t>
      </w:r>
      <w:r w:rsidR="00626273">
        <w:rPr>
          <w:rFonts w:hint="cs"/>
          <w:rtl/>
        </w:rPr>
        <w:t>ّ</w:t>
      </w:r>
      <w:r w:rsidRPr="00822CE9">
        <w:rPr>
          <w:rFonts w:hint="cs"/>
          <w:rtl/>
        </w:rPr>
        <w:t xml:space="preserve"> المهدي اليوم لابد</w:t>
      </w:r>
      <w:r w:rsidR="00626273">
        <w:rPr>
          <w:rFonts w:hint="cs"/>
          <w:rtl/>
        </w:rPr>
        <w:t xml:space="preserve">ٌ، </w:t>
      </w:r>
      <w:r w:rsidR="00DD2118">
        <w:rPr>
          <w:rFonts w:hint="cs"/>
          <w:rtl/>
        </w:rPr>
        <w:t xml:space="preserve">إذ اللبد متضمَّنٌ في غَيبته، </w:t>
      </w:r>
      <w:r w:rsidR="00626273">
        <w:rPr>
          <w:rFonts w:hint="cs"/>
          <w:rtl/>
        </w:rPr>
        <w:t>فلزم اللبد معه</w:t>
      </w:r>
      <w:r w:rsidRPr="00822CE9">
        <w:rPr>
          <w:rFonts w:hint="cs"/>
          <w:rtl/>
        </w:rPr>
        <w:t>.</w:t>
      </w:r>
    </w:p>
    <w:p w14:paraId="347F84C3" w14:textId="77777777" w:rsidR="000A4159" w:rsidRPr="00822CE9" w:rsidRDefault="00626273" w:rsidP="00626273">
      <w:pPr>
        <w:spacing w:line="214" w:lineRule="auto"/>
        <w:rPr>
          <w:rtl/>
        </w:rPr>
      </w:pPr>
      <w:r w:rsidRPr="00626273">
        <w:rPr>
          <w:rFonts w:hint="cs"/>
          <w:b/>
          <w:bCs/>
          <w:rtl/>
        </w:rPr>
        <w:t xml:space="preserve">الرواية الثامنة عشرة: </w:t>
      </w:r>
      <w:r w:rsidR="000A4159" w:rsidRPr="00626273">
        <w:rPr>
          <w:rFonts w:hint="cs"/>
          <w:b/>
          <w:bCs/>
          <w:rtl/>
        </w:rPr>
        <w:t>خبر محم</w:t>
      </w:r>
      <w:r w:rsidRPr="00626273">
        <w:rPr>
          <w:rFonts w:hint="cs"/>
          <w:b/>
          <w:bCs/>
          <w:rtl/>
        </w:rPr>
        <w:t>ّ</w:t>
      </w:r>
      <w:r w:rsidR="000A4159" w:rsidRPr="00626273">
        <w:rPr>
          <w:rFonts w:hint="cs"/>
          <w:b/>
          <w:bCs/>
          <w:rtl/>
        </w:rPr>
        <w:t>د بن مسلم،</w:t>
      </w:r>
      <w:r w:rsidR="000A4159" w:rsidRPr="00822CE9">
        <w:rPr>
          <w:rFonts w:hint="cs"/>
          <w:rtl/>
        </w:rPr>
        <w:t xml:space="preserve"> عن أبي عبد الله</w:t>
      </w:r>
      <w:r>
        <w:rPr>
          <w:rFonts w:hint="cs"/>
          <w:rtl/>
        </w:rPr>
        <w:t>×</w:t>
      </w:r>
      <w:r w:rsidR="000A4159" w:rsidRPr="00822CE9">
        <w:rPr>
          <w:rFonts w:hint="cs"/>
          <w:rtl/>
        </w:rPr>
        <w:t xml:space="preserve"> أن</w:t>
      </w:r>
      <w:r>
        <w:rPr>
          <w:rFonts w:hint="cs"/>
          <w:rtl/>
        </w:rPr>
        <w:t>ّ</w:t>
      </w:r>
      <w:r w:rsidR="000A4159" w:rsidRPr="00822CE9">
        <w:rPr>
          <w:rFonts w:hint="cs"/>
          <w:rtl/>
        </w:rPr>
        <w:t>ه قال:«كل</w:t>
      </w:r>
      <w:r>
        <w:rPr>
          <w:rFonts w:hint="cs"/>
          <w:rtl/>
        </w:rPr>
        <w:t>ّ</w:t>
      </w:r>
      <w:r w:rsidR="000A4159" w:rsidRPr="00822CE9">
        <w:rPr>
          <w:rFonts w:hint="cs"/>
          <w:rtl/>
        </w:rPr>
        <w:t>ما تقارب هذا الأمر كان أشدّ لل</w:t>
      </w:r>
      <w:r>
        <w:rPr>
          <w:rFonts w:hint="cs"/>
          <w:rtl/>
        </w:rPr>
        <w:t>ت</w:t>
      </w:r>
      <w:r w:rsidR="000A4159" w:rsidRPr="00822CE9">
        <w:rPr>
          <w:rFonts w:hint="cs"/>
          <w:rtl/>
        </w:rPr>
        <w:t>قية»</w:t>
      </w:r>
      <w:r w:rsidR="000A4159" w:rsidRPr="000A4159">
        <w:rPr>
          <w:rFonts w:cs="Taher"/>
          <w:vertAlign w:val="superscript"/>
          <w:rtl/>
        </w:rPr>
        <w:t>(</w:t>
      </w:r>
      <w:r w:rsidR="000A4159" w:rsidRPr="000A4159">
        <w:rPr>
          <w:rStyle w:val="FootnoteReference"/>
          <w:rFonts w:cs="Taher"/>
          <w:rtl/>
        </w:rPr>
        <w:footnoteReference w:id="465"/>
      </w:r>
      <w:r w:rsidR="000A4159" w:rsidRPr="000A4159">
        <w:rPr>
          <w:rFonts w:cs="Taher"/>
          <w:vertAlign w:val="superscript"/>
          <w:rtl/>
        </w:rPr>
        <w:t>)</w:t>
      </w:r>
      <w:r w:rsidR="000A4159" w:rsidRPr="00822CE9">
        <w:rPr>
          <w:rtl/>
        </w:rPr>
        <w:t>.</w:t>
      </w:r>
    </w:p>
    <w:p w14:paraId="1B14F479" w14:textId="77777777" w:rsidR="000A4159" w:rsidRPr="00822CE9" w:rsidRDefault="000A4159" w:rsidP="00CF1E7F">
      <w:pPr>
        <w:pStyle w:val="normal84"/>
        <w:rPr>
          <w:rtl/>
        </w:rPr>
      </w:pPr>
      <w:r w:rsidRPr="00822CE9">
        <w:rPr>
          <w:rFonts w:hint="cs"/>
          <w:rtl/>
        </w:rPr>
        <w:t>وقد ف</w:t>
      </w:r>
      <w:r w:rsidR="00626273">
        <w:rPr>
          <w:rFonts w:hint="cs"/>
          <w:rtl/>
        </w:rPr>
        <w:t>ُ</w:t>
      </w:r>
      <w:r w:rsidRPr="00822CE9">
        <w:rPr>
          <w:rFonts w:hint="cs"/>
          <w:rtl/>
        </w:rPr>
        <w:t>سّر «الأمر» الوارد في الرواية بخروج القائم، كما جاء في بحار الأنوار</w:t>
      </w:r>
      <w:r w:rsidRPr="000A4159">
        <w:rPr>
          <w:rFonts w:cs="Taher"/>
          <w:vertAlign w:val="superscript"/>
          <w:rtl/>
        </w:rPr>
        <w:t>(</w:t>
      </w:r>
      <w:r w:rsidRPr="000A4159">
        <w:rPr>
          <w:rStyle w:val="FootnoteReference"/>
          <w:rFonts w:cs="Taher"/>
          <w:rtl/>
        </w:rPr>
        <w:footnoteReference w:id="466"/>
      </w:r>
      <w:r w:rsidRPr="000A4159">
        <w:rPr>
          <w:rFonts w:cs="Taher"/>
          <w:vertAlign w:val="superscript"/>
          <w:rtl/>
        </w:rPr>
        <w:t>)</w:t>
      </w:r>
      <w:r w:rsidRPr="00822CE9">
        <w:rPr>
          <w:rFonts w:hint="cs"/>
          <w:rtl/>
        </w:rPr>
        <w:t>، وقد أوردها العلماء والمحدّثون في مباحث التقية.</w:t>
      </w:r>
    </w:p>
    <w:p w14:paraId="0DF39250" w14:textId="77777777" w:rsidR="000A4159" w:rsidRPr="00822CE9" w:rsidRDefault="000A4159" w:rsidP="00CF1E7F">
      <w:pPr>
        <w:pStyle w:val="normal84"/>
        <w:rPr>
          <w:rtl/>
        </w:rPr>
      </w:pPr>
      <w:r w:rsidRPr="00166389">
        <w:rPr>
          <w:rFonts w:hint="cs"/>
          <w:b/>
          <w:bCs/>
          <w:rtl/>
        </w:rPr>
        <w:t>والرواية من حيث السند تام</w:t>
      </w:r>
      <w:r w:rsidR="00626273" w:rsidRPr="00166389">
        <w:rPr>
          <w:rFonts w:hint="cs"/>
          <w:b/>
          <w:bCs/>
          <w:rtl/>
        </w:rPr>
        <w:t>ّ</w:t>
      </w:r>
      <w:r w:rsidRPr="00166389">
        <w:rPr>
          <w:rFonts w:hint="cs"/>
          <w:b/>
          <w:bCs/>
          <w:rtl/>
        </w:rPr>
        <w:t>ة؛ لكن</w:t>
      </w:r>
      <w:r w:rsidR="00626273" w:rsidRPr="00166389">
        <w:rPr>
          <w:rFonts w:hint="cs"/>
          <w:b/>
          <w:bCs/>
          <w:rtl/>
        </w:rPr>
        <w:t>ّ</w:t>
      </w:r>
      <w:r w:rsidRPr="00166389">
        <w:rPr>
          <w:rFonts w:hint="cs"/>
          <w:b/>
          <w:bCs/>
          <w:rtl/>
        </w:rPr>
        <w:t>ها من حيث الدلالة مبهمة؛</w:t>
      </w:r>
      <w:r w:rsidRPr="00822CE9">
        <w:rPr>
          <w:rFonts w:hint="cs"/>
          <w:rtl/>
        </w:rPr>
        <w:t xml:space="preserve"> فما هو الدليل على أن</w:t>
      </w:r>
      <w:r w:rsidR="00626273">
        <w:rPr>
          <w:rFonts w:hint="cs"/>
          <w:rtl/>
        </w:rPr>
        <w:t>ّ</w:t>
      </w:r>
      <w:r w:rsidRPr="00822CE9">
        <w:rPr>
          <w:rFonts w:hint="cs"/>
          <w:rtl/>
        </w:rPr>
        <w:t xml:space="preserve"> المراد بالأمر فيها هو خروج المهدي</w:t>
      </w:r>
      <w:r w:rsidR="00626273">
        <w:rPr>
          <w:rFonts w:hint="cs"/>
          <w:rtl/>
        </w:rPr>
        <w:t>ّ</w:t>
      </w:r>
      <w:r w:rsidRPr="00822CE9">
        <w:rPr>
          <w:rFonts w:hint="cs"/>
          <w:rtl/>
        </w:rPr>
        <w:t xml:space="preserve"> سوى مجرّد الإنس</w:t>
      </w:r>
      <w:r w:rsidR="00626273">
        <w:rPr>
          <w:rFonts w:hint="cs"/>
          <w:rtl/>
        </w:rPr>
        <w:t>؟</w:t>
      </w:r>
      <w:r w:rsidRPr="00822CE9">
        <w:rPr>
          <w:rFonts w:hint="cs"/>
          <w:rtl/>
        </w:rPr>
        <w:t xml:space="preserve"> </w:t>
      </w:r>
      <w:r w:rsidR="00626273">
        <w:rPr>
          <w:rFonts w:hint="cs"/>
          <w:rtl/>
        </w:rPr>
        <w:t xml:space="preserve">ولا </w:t>
      </w:r>
      <w:r w:rsidRPr="00822CE9">
        <w:rPr>
          <w:rFonts w:hint="cs"/>
          <w:rtl/>
        </w:rPr>
        <w:t>سيما من غير الواضح فيها السياق المحيط</w:t>
      </w:r>
      <w:r w:rsidR="00626273">
        <w:rPr>
          <w:rFonts w:hint="cs"/>
          <w:rtl/>
        </w:rPr>
        <w:t>،</w:t>
      </w:r>
      <w:r w:rsidRPr="00822CE9">
        <w:rPr>
          <w:rFonts w:hint="cs"/>
          <w:rtl/>
        </w:rPr>
        <w:t xml:space="preserve"> لا قبلها ولا بعدها</w:t>
      </w:r>
      <w:r w:rsidR="00626273">
        <w:rPr>
          <w:rFonts w:hint="cs"/>
          <w:rtl/>
        </w:rPr>
        <w:t>،</w:t>
      </w:r>
      <w:r w:rsidRPr="00822CE9">
        <w:rPr>
          <w:rFonts w:hint="cs"/>
          <w:rtl/>
        </w:rPr>
        <w:t xml:space="preserve"> ولا حتى سؤال السائل.</w:t>
      </w:r>
      <w:r w:rsidR="00766ABE">
        <w:rPr>
          <w:rFonts w:hint="cs"/>
          <w:rtl/>
        </w:rPr>
        <w:t xml:space="preserve"> ونحن وإن كنّا لا نشكّ في كثرة استخدام كلمة </w:t>
      </w:r>
      <w:r w:rsidR="00766ABE">
        <w:rPr>
          <w:rFonts w:cs="Cambria" w:hint="cs"/>
          <w:rtl/>
        </w:rPr>
        <w:t>"</w:t>
      </w:r>
      <w:r w:rsidR="00766ABE">
        <w:rPr>
          <w:rFonts w:hint="cs"/>
          <w:rtl/>
        </w:rPr>
        <w:t>الأمر</w:t>
      </w:r>
      <w:r w:rsidR="00766ABE">
        <w:rPr>
          <w:rFonts w:cs="Cambria" w:hint="cs"/>
          <w:rtl/>
        </w:rPr>
        <w:t>"</w:t>
      </w:r>
      <w:r w:rsidR="00766ABE">
        <w:rPr>
          <w:rFonts w:hint="cs"/>
          <w:rtl/>
        </w:rPr>
        <w:t xml:space="preserve"> في الموضوع المهدويّ في ألسنة النصوص، لكنّ الرواية هنا أشبه بالمقتطعة من سياق، فمن الممكن أن يكون المراد بالأمر فيها هو زوال حكم بني أميّة مثلاً وهكذا، على أساس أنّه كلما </w:t>
      </w:r>
      <w:r w:rsidR="00766ABE">
        <w:rPr>
          <w:rFonts w:hint="cs"/>
          <w:rtl/>
        </w:rPr>
        <w:lastRenderedPageBreak/>
        <w:t>اقتربت نهايتهم اشتدّ البطش والقتل والفتن وسفك الدمّ، فكانت الحال أقرب للتقيّة، فيصعب الوثوق بكون المراد هو المهديّ وظهوره.</w:t>
      </w:r>
    </w:p>
    <w:p w14:paraId="5440BE0F" w14:textId="77777777" w:rsidR="000A4159" w:rsidRPr="00822CE9" w:rsidRDefault="000A4159" w:rsidP="00766ABE">
      <w:pPr>
        <w:spacing w:line="214" w:lineRule="auto"/>
        <w:rPr>
          <w:rtl/>
        </w:rPr>
      </w:pPr>
      <w:r w:rsidRPr="00822CE9">
        <w:rPr>
          <w:rFonts w:hint="cs"/>
          <w:rtl/>
        </w:rPr>
        <w:t>ي</w:t>
      </w:r>
      <w:r w:rsidR="00626273">
        <w:rPr>
          <w:rFonts w:hint="cs"/>
          <w:rtl/>
        </w:rPr>
        <w:t>ُ</w:t>
      </w:r>
      <w:r w:rsidRPr="00822CE9">
        <w:rPr>
          <w:rFonts w:hint="cs"/>
          <w:rtl/>
        </w:rPr>
        <w:t>ضاف إلى ذلك</w:t>
      </w:r>
      <w:r w:rsidR="00626273">
        <w:rPr>
          <w:rFonts w:hint="cs"/>
          <w:rtl/>
        </w:rPr>
        <w:t xml:space="preserve"> أ</w:t>
      </w:r>
      <w:r w:rsidRPr="00822CE9">
        <w:rPr>
          <w:rFonts w:hint="cs"/>
          <w:rtl/>
        </w:rPr>
        <w:t>ن</w:t>
      </w:r>
      <w:r w:rsidR="00626273">
        <w:rPr>
          <w:rFonts w:hint="cs"/>
          <w:rtl/>
        </w:rPr>
        <w:t>ّ</w:t>
      </w:r>
      <w:r w:rsidRPr="00822CE9">
        <w:rPr>
          <w:rFonts w:hint="cs"/>
          <w:rtl/>
        </w:rPr>
        <w:t xml:space="preserve"> هذه الرواية ظاهرة في الإخبار</w:t>
      </w:r>
      <w:r w:rsidR="00626273">
        <w:rPr>
          <w:rFonts w:hint="cs"/>
          <w:rtl/>
        </w:rPr>
        <w:t>،</w:t>
      </w:r>
      <w:r w:rsidRPr="00822CE9">
        <w:rPr>
          <w:rFonts w:hint="cs"/>
          <w:rtl/>
        </w:rPr>
        <w:t xml:space="preserve"> وأن</w:t>
      </w:r>
      <w:r w:rsidR="00626273">
        <w:rPr>
          <w:rFonts w:hint="cs"/>
          <w:rtl/>
        </w:rPr>
        <w:t>ّ</w:t>
      </w:r>
      <w:r w:rsidRPr="00822CE9">
        <w:rPr>
          <w:rFonts w:hint="cs"/>
          <w:rtl/>
        </w:rPr>
        <w:t>ه كلّما اقترب موعد الظهور كانت أحوا</w:t>
      </w:r>
      <w:r w:rsidR="00626273">
        <w:rPr>
          <w:rFonts w:hint="cs"/>
          <w:rtl/>
        </w:rPr>
        <w:t>ل</w:t>
      </w:r>
      <w:r w:rsidRPr="00822CE9">
        <w:rPr>
          <w:rFonts w:hint="cs"/>
          <w:rtl/>
        </w:rPr>
        <w:t xml:space="preserve"> التقية أشدّ، فإذا أردنا أن نفس</w:t>
      </w:r>
      <w:r w:rsidR="00626273">
        <w:rPr>
          <w:rFonts w:hint="cs"/>
          <w:rtl/>
        </w:rPr>
        <w:t>ّ</w:t>
      </w:r>
      <w:r w:rsidRPr="00822CE9">
        <w:rPr>
          <w:rFonts w:hint="cs"/>
          <w:rtl/>
        </w:rPr>
        <w:t>رها قاعدةً كلية تفيد لزوم التقية لتحق</w:t>
      </w:r>
      <w:r w:rsidR="00626273">
        <w:rPr>
          <w:rFonts w:hint="cs"/>
          <w:rtl/>
        </w:rPr>
        <w:t>ّ</w:t>
      </w:r>
      <w:r w:rsidRPr="00822CE9">
        <w:rPr>
          <w:rFonts w:hint="cs"/>
          <w:rtl/>
        </w:rPr>
        <w:t>ق ظروفها دوماً بل أشد</w:t>
      </w:r>
      <w:r w:rsidR="00626273">
        <w:rPr>
          <w:rFonts w:hint="cs"/>
          <w:rtl/>
        </w:rPr>
        <w:t>ّ</w:t>
      </w:r>
      <w:r w:rsidRPr="00822CE9">
        <w:rPr>
          <w:rFonts w:hint="cs"/>
          <w:rtl/>
        </w:rPr>
        <w:t xml:space="preserve"> وأشد</w:t>
      </w:r>
      <w:r w:rsidR="00626273">
        <w:rPr>
          <w:rFonts w:hint="cs"/>
          <w:rtl/>
        </w:rPr>
        <w:t>ّ</w:t>
      </w:r>
      <w:r w:rsidRPr="00822CE9">
        <w:rPr>
          <w:rFonts w:hint="cs"/>
          <w:rtl/>
        </w:rPr>
        <w:t>، كان معناها مخالفاً لحقائق التاريخ؛ فقد مرّت على الشيعة بعد صدور هذه الرواية أحوال أفضل بآلاف المرات ـ على صعيد الخوف ـ من ع</w:t>
      </w:r>
      <w:r w:rsidR="00626273">
        <w:rPr>
          <w:rFonts w:hint="cs"/>
          <w:rtl/>
        </w:rPr>
        <w:t>ص</w:t>
      </w:r>
      <w:r w:rsidRPr="00822CE9">
        <w:rPr>
          <w:rFonts w:hint="cs"/>
          <w:rtl/>
        </w:rPr>
        <w:t xml:space="preserve">ر بني أمية وبني العباس، كما في العصر الصفوي وغيره </w:t>
      </w:r>
      <w:r w:rsidR="00626273">
        <w:rPr>
          <w:rFonts w:hint="cs"/>
          <w:rtl/>
        </w:rPr>
        <w:t xml:space="preserve">كعصرنا </w:t>
      </w:r>
      <w:r w:rsidRPr="00822CE9">
        <w:rPr>
          <w:rFonts w:hint="cs"/>
          <w:rtl/>
        </w:rPr>
        <w:t>الحاضر، فعدم مطابقة الرواية للواقع شاهد</w:t>
      </w:r>
      <w:r w:rsidR="00626273">
        <w:rPr>
          <w:rFonts w:hint="cs"/>
          <w:rtl/>
        </w:rPr>
        <w:t>ٌ</w:t>
      </w:r>
      <w:r w:rsidRPr="00822CE9">
        <w:rPr>
          <w:rFonts w:hint="cs"/>
          <w:rtl/>
        </w:rPr>
        <w:t xml:space="preserve"> إم</w:t>
      </w:r>
      <w:r w:rsidR="00626273">
        <w:rPr>
          <w:rFonts w:hint="cs"/>
          <w:rtl/>
        </w:rPr>
        <w:t>ّ</w:t>
      </w:r>
      <w:r w:rsidRPr="00822CE9">
        <w:rPr>
          <w:rFonts w:hint="cs"/>
          <w:rtl/>
        </w:rPr>
        <w:t>ا على بطلانها من حيث الصدور أو على عدم إرادة هذا المعنى منها كما ذكرناه</w:t>
      </w:r>
      <w:r w:rsidR="00766ABE">
        <w:rPr>
          <w:rFonts w:hint="cs"/>
          <w:rtl/>
        </w:rPr>
        <w:t xml:space="preserve"> أو على اختصاصها بالفترة التي تسبق الظهور خاصّة</w:t>
      </w:r>
      <w:r w:rsidRPr="00822CE9">
        <w:rPr>
          <w:rFonts w:hint="cs"/>
          <w:rtl/>
        </w:rPr>
        <w:t>.</w:t>
      </w:r>
    </w:p>
    <w:p w14:paraId="52C82BBA" w14:textId="77777777" w:rsidR="000A4159" w:rsidRPr="00822CE9" w:rsidRDefault="00626273" w:rsidP="00A079D6">
      <w:pPr>
        <w:spacing w:line="214" w:lineRule="auto"/>
        <w:rPr>
          <w:rtl/>
        </w:rPr>
      </w:pPr>
      <w:r>
        <w:rPr>
          <w:rFonts w:hint="cs"/>
          <w:rtl/>
        </w:rPr>
        <w:t xml:space="preserve">هذا، </w:t>
      </w:r>
      <w:r w:rsidR="000A4159" w:rsidRPr="00822CE9">
        <w:rPr>
          <w:rFonts w:hint="cs"/>
          <w:rtl/>
        </w:rPr>
        <w:t xml:space="preserve">وقد </w:t>
      </w:r>
      <w:r>
        <w:rPr>
          <w:rFonts w:hint="cs"/>
          <w:rtl/>
        </w:rPr>
        <w:t xml:space="preserve">لاحظتُ </w:t>
      </w:r>
      <w:r w:rsidR="00166389">
        <w:rPr>
          <w:rFonts w:hint="cs"/>
          <w:rtl/>
        </w:rPr>
        <w:t xml:space="preserve">فيما بعد </w:t>
      </w:r>
      <w:r>
        <w:rPr>
          <w:rFonts w:hint="cs"/>
          <w:rtl/>
        </w:rPr>
        <w:t xml:space="preserve">أنّه </w:t>
      </w:r>
      <w:r w:rsidR="00166389">
        <w:rPr>
          <w:rFonts w:hint="cs"/>
          <w:rtl/>
        </w:rPr>
        <w:t xml:space="preserve">قد </w:t>
      </w:r>
      <w:r w:rsidR="000A4159" w:rsidRPr="00822CE9">
        <w:rPr>
          <w:rFonts w:hint="cs"/>
          <w:rtl/>
        </w:rPr>
        <w:t>التفت السيد الحائري إلى إشكال مخالفة الواقع</w:t>
      </w:r>
      <w:r w:rsidR="000A4159" w:rsidRPr="000A4159">
        <w:rPr>
          <w:rFonts w:cs="Taher"/>
          <w:vertAlign w:val="superscript"/>
          <w:rtl/>
        </w:rPr>
        <w:t>(</w:t>
      </w:r>
      <w:r w:rsidR="000A4159" w:rsidRPr="000A4159">
        <w:rPr>
          <w:rStyle w:val="FootnoteReference"/>
          <w:rFonts w:cs="Taher"/>
          <w:rtl/>
        </w:rPr>
        <w:footnoteReference w:id="467"/>
      </w:r>
      <w:r w:rsidR="000A4159" w:rsidRPr="000A4159">
        <w:rPr>
          <w:rFonts w:cs="Taher"/>
          <w:vertAlign w:val="superscript"/>
          <w:rtl/>
        </w:rPr>
        <w:t>)</w:t>
      </w:r>
      <w:r w:rsidR="000A4159" w:rsidRPr="00822CE9">
        <w:rPr>
          <w:rtl/>
        </w:rPr>
        <w:t>.</w:t>
      </w:r>
    </w:p>
    <w:p w14:paraId="64425616" w14:textId="77777777" w:rsidR="000A4159" w:rsidRPr="00822CE9" w:rsidRDefault="00626273" w:rsidP="00FD0BFF">
      <w:pPr>
        <w:spacing w:line="214" w:lineRule="auto"/>
        <w:rPr>
          <w:rtl/>
        </w:rPr>
      </w:pPr>
      <w:r w:rsidRPr="00626273">
        <w:rPr>
          <w:rFonts w:hint="cs"/>
          <w:b/>
          <w:bCs/>
          <w:rtl/>
        </w:rPr>
        <w:t>الرواي</w:t>
      </w:r>
      <w:r w:rsidR="00FD0BFF">
        <w:rPr>
          <w:rFonts w:hint="cs"/>
          <w:b/>
          <w:bCs/>
          <w:rtl/>
        </w:rPr>
        <w:t>ة</w:t>
      </w:r>
      <w:r w:rsidRPr="00626273">
        <w:rPr>
          <w:rFonts w:hint="cs"/>
          <w:b/>
          <w:bCs/>
          <w:rtl/>
        </w:rPr>
        <w:t xml:space="preserve"> التاسعة عشرة: </w:t>
      </w:r>
      <w:r w:rsidR="000A4159" w:rsidRPr="00626273">
        <w:rPr>
          <w:rFonts w:hint="cs"/>
          <w:b/>
          <w:bCs/>
          <w:rtl/>
        </w:rPr>
        <w:t>خبر أبي الجارود،</w:t>
      </w:r>
      <w:r w:rsidR="000A4159" w:rsidRPr="00822CE9">
        <w:rPr>
          <w:rFonts w:hint="cs"/>
          <w:rtl/>
        </w:rPr>
        <w:t xml:space="preserve"> عن أبي جعفر</w:t>
      </w:r>
      <w:r w:rsidR="009A1626" w:rsidRPr="00822CE9">
        <w:rPr>
          <w:rFonts w:hint="cs"/>
          <w:rtl/>
        </w:rPr>
        <w:t>×</w:t>
      </w:r>
      <w:r>
        <w:rPr>
          <w:rFonts w:hint="cs"/>
          <w:rtl/>
        </w:rPr>
        <w:t>،</w:t>
      </w:r>
      <w:r w:rsidR="000A4159" w:rsidRPr="00822CE9">
        <w:rPr>
          <w:rFonts w:hint="cs"/>
          <w:rtl/>
        </w:rPr>
        <w:t xml:space="preserve"> قال: قلت له: أوصني</w:t>
      </w:r>
      <w:r>
        <w:rPr>
          <w:rFonts w:hint="cs"/>
          <w:rtl/>
        </w:rPr>
        <w:t>،</w:t>
      </w:r>
      <w:r w:rsidR="000A4159" w:rsidRPr="00822CE9">
        <w:rPr>
          <w:rFonts w:hint="cs"/>
          <w:rtl/>
        </w:rPr>
        <w:t xml:space="preserve"> فقال: «أوصيك بتقوى الله، و</w:t>
      </w:r>
      <w:r>
        <w:rPr>
          <w:rFonts w:hint="cs"/>
          <w:rtl/>
        </w:rPr>
        <w:t>أ</w:t>
      </w:r>
      <w:r w:rsidR="000A4159" w:rsidRPr="00822CE9">
        <w:rPr>
          <w:rFonts w:hint="cs"/>
          <w:rtl/>
        </w:rPr>
        <w:t>ن تلزم بيتك، وت</w:t>
      </w:r>
      <w:r>
        <w:rPr>
          <w:rFonts w:hint="cs"/>
          <w:rtl/>
        </w:rPr>
        <w:t>قعد</w:t>
      </w:r>
      <w:r w:rsidR="000A4159" w:rsidRPr="00822CE9">
        <w:rPr>
          <w:rFonts w:hint="cs"/>
          <w:rtl/>
        </w:rPr>
        <w:t xml:space="preserve"> في دهماء هؤلاء الناس، وإي</w:t>
      </w:r>
      <w:r>
        <w:rPr>
          <w:rFonts w:hint="cs"/>
          <w:rtl/>
        </w:rPr>
        <w:t>ّ</w:t>
      </w:r>
      <w:r w:rsidR="000A4159" w:rsidRPr="00822CE9">
        <w:rPr>
          <w:rFonts w:hint="cs"/>
          <w:rtl/>
        </w:rPr>
        <w:t>اك والخوارج منّا؛ فإن</w:t>
      </w:r>
      <w:r>
        <w:rPr>
          <w:rFonts w:hint="cs"/>
          <w:rtl/>
        </w:rPr>
        <w:t>ّ</w:t>
      </w:r>
      <w:r w:rsidR="000A4159" w:rsidRPr="00822CE9">
        <w:rPr>
          <w:rFonts w:hint="cs"/>
          <w:rtl/>
        </w:rPr>
        <w:t>هم ليسوا على شيء ولا إلى شيء، واعلم أن</w:t>
      </w:r>
      <w:r>
        <w:rPr>
          <w:rFonts w:hint="cs"/>
          <w:rtl/>
        </w:rPr>
        <w:t>ّ</w:t>
      </w:r>
      <w:r w:rsidR="000A4159" w:rsidRPr="00822CE9">
        <w:rPr>
          <w:rFonts w:hint="cs"/>
          <w:rtl/>
        </w:rPr>
        <w:t xml:space="preserve"> لبني أمية ملكاً لا يستطيع الناس أن تردعه، وأن</w:t>
      </w:r>
      <w:r>
        <w:rPr>
          <w:rFonts w:hint="cs"/>
          <w:rtl/>
        </w:rPr>
        <w:t>ّ</w:t>
      </w:r>
      <w:r w:rsidR="000A4159" w:rsidRPr="00822CE9">
        <w:rPr>
          <w:rFonts w:hint="cs"/>
          <w:rtl/>
        </w:rPr>
        <w:t xml:space="preserve"> لأهل الحق</w:t>
      </w:r>
      <w:r>
        <w:rPr>
          <w:rFonts w:hint="cs"/>
          <w:rtl/>
        </w:rPr>
        <w:t>ّ</w:t>
      </w:r>
      <w:r w:rsidR="000A4159" w:rsidRPr="00822CE9">
        <w:rPr>
          <w:rFonts w:hint="cs"/>
          <w:rtl/>
        </w:rPr>
        <w:t xml:space="preserve"> دولة إذا جاءت ولاّها الله لمن يشاء منّا أهل البيت، فمن أدركها منكم كان عندنا في السنام الأعلى.. واعلم أن</w:t>
      </w:r>
      <w:r>
        <w:rPr>
          <w:rFonts w:hint="cs"/>
          <w:rtl/>
        </w:rPr>
        <w:t>ّ</w:t>
      </w:r>
      <w:r w:rsidR="000A4159" w:rsidRPr="00822CE9">
        <w:rPr>
          <w:rFonts w:hint="cs"/>
          <w:rtl/>
        </w:rPr>
        <w:t>ه لا تقوم عصا</w:t>
      </w:r>
      <w:r>
        <w:rPr>
          <w:rFonts w:hint="cs"/>
          <w:rtl/>
        </w:rPr>
        <w:t>بة تدفع ضيماً أو تعزّ ديناً إلا</w:t>
      </w:r>
      <w:r w:rsidR="000A4159" w:rsidRPr="00822CE9">
        <w:rPr>
          <w:rFonts w:hint="cs"/>
          <w:rtl/>
        </w:rPr>
        <w:t xml:space="preserve"> صرعتهم المني</w:t>
      </w:r>
      <w:r>
        <w:rPr>
          <w:rFonts w:hint="cs"/>
          <w:rtl/>
        </w:rPr>
        <w:t>ّ</w:t>
      </w:r>
      <w:r w:rsidR="000A4159" w:rsidRPr="00822CE9">
        <w:rPr>
          <w:rFonts w:hint="cs"/>
          <w:rtl/>
        </w:rPr>
        <w:t>ة والبلي</w:t>
      </w:r>
      <w:r>
        <w:rPr>
          <w:rFonts w:hint="cs"/>
          <w:rtl/>
        </w:rPr>
        <w:t>ّ</w:t>
      </w:r>
      <w:r w:rsidR="000A4159" w:rsidRPr="00822CE9">
        <w:rPr>
          <w:rFonts w:hint="cs"/>
          <w:rtl/>
        </w:rPr>
        <w:t>ة، حتى تقوم عصابة شهدوا بدراً مع رسول الله لا يوارى قتيلهم، ولا يرفع صريعهم، ولا يداوى جريحهم</w:t>
      </w:r>
      <w:r>
        <w:rPr>
          <w:rFonts w:hint="eastAsia"/>
          <w:rtl/>
        </w:rPr>
        <w:t>»</w:t>
      </w:r>
      <w:r w:rsidR="000A4159" w:rsidRPr="00822CE9">
        <w:rPr>
          <w:rFonts w:hint="cs"/>
          <w:rtl/>
        </w:rPr>
        <w:t>، قلت: من هم؟ قال: «الملائكة»</w:t>
      </w:r>
      <w:r w:rsidR="000A4159" w:rsidRPr="000A4159">
        <w:rPr>
          <w:rFonts w:cs="Taher"/>
          <w:vertAlign w:val="superscript"/>
          <w:rtl/>
        </w:rPr>
        <w:t>(</w:t>
      </w:r>
      <w:r w:rsidR="000A4159" w:rsidRPr="000A4159">
        <w:rPr>
          <w:rStyle w:val="FootnoteReference"/>
          <w:rFonts w:cs="Taher"/>
          <w:rtl/>
        </w:rPr>
        <w:footnoteReference w:id="468"/>
      </w:r>
      <w:r w:rsidR="000A4159" w:rsidRPr="000A4159">
        <w:rPr>
          <w:rFonts w:cs="Taher"/>
          <w:vertAlign w:val="superscript"/>
          <w:rtl/>
        </w:rPr>
        <w:t>)</w:t>
      </w:r>
      <w:r w:rsidR="000A4159" w:rsidRPr="00822CE9">
        <w:rPr>
          <w:rtl/>
        </w:rPr>
        <w:t xml:space="preserve">، </w:t>
      </w:r>
      <w:r w:rsidR="000A4159" w:rsidRPr="00626273">
        <w:rPr>
          <w:rFonts w:hint="cs"/>
          <w:b/>
          <w:bCs/>
          <w:rtl/>
        </w:rPr>
        <w:t>ونحوها رواية أخرى في المصدر عينه</w:t>
      </w:r>
      <w:r w:rsidR="000A4159" w:rsidRPr="00626273">
        <w:rPr>
          <w:rFonts w:cs="Taher"/>
          <w:b/>
          <w:bCs/>
          <w:vertAlign w:val="superscript"/>
          <w:rtl/>
        </w:rPr>
        <w:t>(</w:t>
      </w:r>
      <w:r w:rsidR="000A4159" w:rsidRPr="00626273">
        <w:rPr>
          <w:rStyle w:val="FootnoteReference"/>
          <w:rFonts w:cs="Taher"/>
          <w:b/>
          <w:bCs/>
          <w:rtl/>
        </w:rPr>
        <w:footnoteReference w:id="469"/>
      </w:r>
      <w:r w:rsidR="000A4159" w:rsidRPr="00626273">
        <w:rPr>
          <w:rFonts w:cs="Taher"/>
          <w:b/>
          <w:bCs/>
          <w:vertAlign w:val="superscript"/>
          <w:rtl/>
        </w:rPr>
        <w:t>)</w:t>
      </w:r>
      <w:r w:rsidR="000A4159" w:rsidRPr="00626273">
        <w:rPr>
          <w:b/>
          <w:bCs/>
          <w:rtl/>
        </w:rPr>
        <w:t>.</w:t>
      </w:r>
    </w:p>
    <w:p w14:paraId="5FED69D3" w14:textId="77777777" w:rsidR="000A4159" w:rsidRPr="00822CE9" w:rsidRDefault="000A4159" w:rsidP="00CF1E7F">
      <w:pPr>
        <w:pStyle w:val="normal930"/>
        <w:rPr>
          <w:rtl/>
        </w:rPr>
      </w:pPr>
      <w:r w:rsidRPr="00822CE9">
        <w:rPr>
          <w:rFonts w:hint="cs"/>
          <w:rtl/>
        </w:rPr>
        <w:t>فهذه الرواية تن</w:t>
      </w:r>
      <w:r w:rsidR="00626273">
        <w:rPr>
          <w:rFonts w:hint="cs"/>
          <w:rtl/>
        </w:rPr>
        <w:t>ذ</w:t>
      </w:r>
      <w:r w:rsidRPr="00822CE9">
        <w:rPr>
          <w:rFonts w:hint="cs"/>
          <w:rtl/>
        </w:rPr>
        <w:t>ر بالسوء والفشل</w:t>
      </w:r>
      <w:r w:rsidR="00626273">
        <w:rPr>
          <w:rFonts w:hint="cs"/>
          <w:rtl/>
        </w:rPr>
        <w:t>،</w:t>
      </w:r>
      <w:r w:rsidRPr="00822CE9">
        <w:rPr>
          <w:rFonts w:hint="cs"/>
          <w:rtl/>
        </w:rPr>
        <w:t xml:space="preserve"> لكلّ ثورة قبل قيام المهدي وأنها لن تجني سوى الخيبة والاندحار.</w:t>
      </w:r>
    </w:p>
    <w:p w14:paraId="3201A9B5" w14:textId="77777777" w:rsidR="000A4159" w:rsidRPr="00822CE9" w:rsidRDefault="000A4159" w:rsidP="00A079D6">
      <w:pPr>
        <w:spacing w:line="214" w:lineRule="auto"/>
        <w:rPr>
          <w:rtl/>
        </w:rPr>
      </w:pPr>
      <w:r w:rsidRPr="00626273">
        <w:rPr>
          <w:rFonts w:hint="cs"/>
          <w:b/>
          <w:bCs/>
          <w:rtl/>
        </w:rPr>
        <w:t>لكن</w:t>
      </w:r>
      <w:r w:rsidR="00626273" w:rsidRPr="00626273">
        <w:rPr>
          <w:rFonts w:hint="cs"/>
          <w:b/>
          <w:bCs/>
          <w:rtl/>
        </w:rPr>
        <w:t>ّ</w:t>
      </w:r>
      <w:r w:rsidRPr="00626273">
        <w:rPr>
          <w:rFonts w:hint="cs"/>
          <w:b/>
          <w:bCs/>
          <w:rtl/>
        </w:rPr>
        <w:t xml:space="preserve"> هاتين الروايتين قابلتان للنقاش سنداً،</w:t>
      </w:r>
      <w:r w:rsidRPr="00822CE9">
        <w:rPr>
          <w:rFonts w:hint="cs"/>
          <w:rtl/>
        </w:rPr>
        <w:t xml:space="preserve"> ففي الرواية الأولى روى الخبر أحمد بن محمد بن سعيد عن بعض رجاله، فتكون مرسلةً؛ كما أن</w:t>
      </w:r>
      <w:r w:rsidR="00626273">
        <w:rPr>
          <w:rFonts w:hint="cs"/>
          <w:rtl/>
        </w:rPr>
        <w:t>ّ</w:t>
      </w:r>
      <w:r w:rsidRPr="00822CE9">
        <w:rPr>
          <w:rFonts w:hint="cs"/>
          <w:rtl/>
        </w:rPr>
        <w:t xml:space="preserve"> في سندها علي بن عمارة الكناني، وهو رجل مهمل </w:t>
      </w:r>
      <w:r w:rsidRPr="00822CE9">
        <w:rPr>
          <w:rFonts w:hint="cs"/>
          <w:rtl/>
        </w:rPr>
        <w:lastRenderedPageBreak/>
        <w:t>جداً، أم</w:t>
      </w:r>
      <w:r w:rsidR="00626273">
        <w:rPr>
          <w:rFonts w:hint="cs"/>
          <w:rtl/>
        </w:rPr>
        <w:t>ّ</w:t>
      </w:r>
      <w:r w:rsidRPr="00822CE9">
        <w:rPr>
          <w:rFonts w:hint="cs"/>
          <w:rtl/>
        </w:rPr>
        <w:t>ا الرواية الثانية ففيها صالح بن أبي الأسود وهو مجهول</w:t>
      </w:r>
      <w:r w:rsidRPr="000A4159">
        <w:rPr>
          <w:rFonts w:cs="Taher"/>
          <w:vertAlign w:val="superscript"/>
          <w:rtl/>
        </w:rPr>
        <w:t>(</w:t>
      </w:r>
      <w:r w:rsidRPr="000A4159">
        <w:rPr>
          <w:rStyle w:val="FootnoteReference"/>
          <w:rFonts w:cs="Taher"/>
          <w:rtl/>
        </w:rPr>
        <w:footnoteReference w:id="470"/>
      </w:r>
      <w:r w:rsidRPr="000A4159">
        <w:rPr>
          <w:rFonts w:cs="Taher"/>
          <w:vertAlign w:val="superscript"/>
          <w:rtl/>
        </w:rPr>
        <w:t>)</w:t>
      </w:r>
      <w:r w:rsidRPr="00822CE9">
        <w:rPr>
          <w:rtl/>
        </w:rPr>
        <w:t xml:space="preserve">، </w:t>
      </w:r>
      <w:r w:rsidRPr="00822CE9">
        <w:rPr>
          <w:rFonts w:hint="cs"/>
          <w:rtl/>
        </w:rPr>
        <w:t>فالروايتان ضعيفتان سنداً.</w:t>
      </w:r>
    </w:p>
    <w:p w14:paraId="04D8475E" w14:textId="77777777" w:rsidR="000A4159" w:rsidRPr="00822CE9" w:rsidRDefault="000A4159" w:rsidP="00626273">
      <w:pPr>
        <w:spacing w:line="214" w:lineRule="auto"/>
        <w:rPr>
          <w:rtl/>
        </w:rPr>
      </w:pPr>
      <w:r w:rsidRPr="00822CE9">
        <w:rPr>
          <w:rFonts w:hint="cs"/>
          <w:rtl/>
        </w:rPr>
        <w:t xml:space="preserve">والخبران يلوح من بعض مقاطعهما الحديث عمّن يخرج من </w:t>
      </w:r>
      <w:r w:rsidR="009A1626" w:rsidRPr="00822CE9">
        <w:rPr>
          <w:rFonts w:hint="cs"/>
          <w:rtl/>
        </w:rPr>
        <w:t>أهل البيت</w:t>
      </w:r>
      <w:r w:rsidRPr="00822CE9">
        <w:rPr>
          <w:rFonts w:hint="cs"/>
          <w:rtl/>
        </w:rPr>
        <w:t>، لكن</w:t>
      </w:r>
      <w:r w:rsidR="00626273">
        <w:rPr>
          <w:rFonts w:hint="cs"/>
          <w:rtl/>
        </w:rPr>
        <w:t>ّ</w:t>
      </w:r>
      <w:r w:rsidRPr="00822CE9">
        <w:rPr>
          <w:rFonts w:hint="cs"/>
          <w:rtl/>
        </w:rPr>
        <w:t xml:space="preserve">هما </w:t>
      </w:r>
      <w:r w:rsidR="00626273">
        <w:rPr>
          <w:rFonts w:hint="cs"/>
          <w:rtl/>
        </w:rPr>
        <w:t>ـ وبخاصّة</w:t>
      </w:r>
      <w:r w:rsidRPr="00822CE9">
        <w:rPr>
          <w:rFonts w:hint="cs"/>
          <w:rtl/>
        </w:rPr>
        <w:t xml:space="preserve"> الأو</w:t>
      </w:r>
      <w:r w:rsidR="00626273">
        <w:rPr>
          <w:rFonts w:hint="cs"/>
          <w:rtl/>
        </w:rPr>
        <w:t>ّ</w:t>
      </w:r>
      <w:r w:rsidRPr="00822CE9">
        <w:rPr>
          <w:rFonts w:hint="cs"/>
          <w:rtl/>
        </w:rPr>
        <w:t xml:space="preserve">ل </w:t>
      </w:r>
      <w:r w:rsidR="00626273">
        <w:rPr>
          <w:rFonts w:hint="cs"/>
          <w:rtl/>
        </w:rPr>
        <w:t xml:space="preserve">منهما ـ </w:t>
      </w:r>
      <w:r w:rsidRPr="00822CE9">
        <w:rPr>
          <w:rFonts w:hint="cs"/>
          <w:rtl/>
        </w:rPr>
        <w:t>ظاهران في التعميم أيضاً، وأم</w:t>
      </w:r>
      <w:r w:rsidR="00626273">
        <w:rPr>
          <w:rFonts w:hint="cs"/>
          <w:rtl/>
        </w:rPr>
        <w:t>ّ</w:t>
      </w:r>
      <w:r w:rsidRPr="00822CE9">
        <w:rPr>
          <w:rFonts w:hint="cs"/>
          <w:rtl/>
        </w:rPr>
        <w:t>ا قضي</w:t>
      </w:r>
      <w:r w:rsidR="00626273">
        <w:rPr>
          <w:rFonts w:hint="cs"/>
          <w:rtl/>
        </w:rPr>
        <w:t>ّ</w:t>
      </w:r>
      <w:r w:rsidRPr="00822CE9">
        <w:rPr>
          <w:rFonts w:hint="cs"/>
          <w:rtl/>
        </w:rPr>
        <w:t>ة أن</w:t>
      </w:r>
      <w:r w:rsidR="00626273">
        <w:rPr>
          <w:rFonts w:hint="cs"/>
          <w:rtl/>
        </w:rPr>
        <w:t>ّ</w:t>
      </w:r>
      <w:r w:rsidRPr="00822CE9">
        <w:rPr>
          <w:rFonts w:hint="cs"/>
          <w:rtl/>
        </w:rPr>
        <w:t>ه ليس هناك نهي في الثاني منهما</w:t>
      </w:r>
      <w:r w:rsidR="00626273">
        <w:rPr>
          <w:rFonts w:hint="cs"/>
          <w:rtl/>
        </w:rPr>
        <w:t>،</w:t>
      </w:r>
      <w:r w:rsidRPr="00822CE9">
        <w:rPr>
          <w:rFonts w:hint="cs"/>
          <w:rtl/>
        </w:rPr>
        <w:t xml:space="preserve"> وإن</w:t>
      </w:r>
      <w:r w:rsidR="00626273">
        <w:rPr>
          <w:rFonts w:hint="cs"/>
          <w:rtl/>
        </w:rPr>
        <w:t>ّ</w:t>
      </w:r>
      <w:r w:rsidRPr="00822CE9">
        <w:rPr>
          <w:rFonts w:hint="cs"/>
          <w:rtl/>
        </w:rPr>
        <w:t>ما إخبار عن الفشل فقط</w:t>
      </w:r>
      <w:r w:rsidR="00626273">
        <w:rPr>
          <w:rFonts w:hint="cs"/>
          <w:rtl/>
        </w:rPr>
        <w:t>،</w:t>
      </w:r>
      <w:r w:rsidRPr="00822CE9">
        <w:rPr>
          <w:rFonts w:hint="cs"/>
          <w:rtl/>
        </w:rPr>
        <w:t xml:space="preserve"> وهو لا يلازم النهي</w:t>
      </w:r>
      <w:r w:rsidRPr="000A4159">
        <w:rPr>
          <w:rFonts w:cs="Taher"/>
          <w:vertAlign w:val="superscript"/>
          <w:rtl/>
        </w:rPr>
        <w:t>(</w:t>
      </w:r>
      <w:r w:rsidRPr="000A4159">
        <w:rPr>
          <w:rStyle w:val="FootnoteReference"/>
          <w:rFonts w:cs="Taher"/>
          <w:rtl/>
        </w:rPr>
        <w:footnoteReference w:id="471"/>
      </w:r>
      <w:r w:rsidRPr="000A4159">
        <w:rPr>
          <w:rFonts w:cs="Taher"/>
          <w:vertAlign w:val="superscript"/>
          <w:rtl/>
        </w:rPr>
        <w:t>)</w:t>
      </w:r>
      <w:r w:rsidR="00626273">
        <w:rPr>
          <w:rFonts w:hint="cs"/>
          <w:rtl/>
        </w:rPr>
        <w:t xml:space="preserve">، </w:t>
      </w:r>
      <w:r w:rsidRPr="00822CE9">
        <w:rPr>
          <w:rFonts w:hint="cs"/>
          <w:rtl/>
        </w:rPr>
        <w:t>فهو صحيح</w:t>
      </w:r>
      <w:r w:rsidR="00626273">
        <w:rPr>
          <w:rFonts w:hint="cs"/>
          <w:rtl/>
        </w:rPr>
        <w:t>ٌ</w:t>
      </w:r>
      <w:r w:rsidRPr="00822CE9">
        <w:rPr>
          <w:rFonts w:hint="cs"/>
          <w:rtl/>
        </w:rPr>
        <w:t xml:space="preserve"> في نفسه، غير أن</w:t>
      </w:r>
      <w:r w:rsidR="00626273">
        <w:rPr>
          <w:rFonts w:hint="cs"/>
          <w:rtl/>
        </w:rPr>
        <w:t>ّ</w:t>
      </w:r>
      <w:r w:rsidRPr="00822CE9">
        <w:rPr>
          <w:rFonts w:hint="cs"/>
          <w:rtl/>
        </w:rPr>
        <w:t xml:space="preserve"> العرف يفهم منه عدم صح</w:t>
      </w:r>
      <w:r w:rsidR="00626273">
        <w:rPr>
          <w:rFonts w:hint="cs"/>
          <w:rtl/>
        </w:rPr>
        <w:t>ّ</w:t>
      </w:r>
      <w:r w:rsidRPr="00822CE9">
        <w:rPr>
          <w:rFonts w:hint="cs"/>
          <w:rtl/>
        </w:rPr>
        <w:t>ة الخروج، فه</w:t>
      </w:r>
      <w:r w:rsidR="00626273">
        <w:rPr>
          <w:rFonts w:hint="cs"/>
          <w:rtl/>
        </w:rPr>
        <w:t>ذا التدقيق قد يكون غير واضح إلا</w:t>
      </w:r>
      <w:r w:rsidRPr="00822CE9">
        <w:rPr>
          <w:rFonts w:hint="cs"/>
          <w:rtl/>
        </w:rPr>
        <w:t xml:space="preserve"> في الرو</w:t>
      </w:r>
      <w:r w:rsidR="00626273">
        <w:rPr>
          <w:rFonts w:hint="cs"/>
          <w:rtl/>
        </w:rPr>
        <w:t>ا</w:t>
      </w:r>
      <w:r w:rsidRPr="00822CE9">
        <w:rPr>
          <w:rFonts w:hint="cs"/>
          <w:rtl/>
        </w:rPr>
        <w:t>ية الثانية، وهكذا الحديث عن أن</w:t>
      </w:r>
      <w:r w:rsidR="00626273">
        <w:rPr>
          <w:rFonts w:hint="cs"/>
          <w:rtl/>
        </w:rPr>
        <w:t>ّ</w:t>
      </w:r>
      <w:r w:rsidRPr="00822CE9">
        <w:rPr>
          <w:rFonts w:hint="cs"/>
          <w:rtl/>
        </w:rPr>
        <w:t xml:space="preserve"> الرواية جاءت قبل خروج زيد وصاحب فخ</w:t>
      </w:r>
      <w:r w:rsidR="00626273">
        <w:rPr>
          <w:rFonts w:hint="cs"/>
          <w:rtl/>
        </w:rPr>
        <w:t>ّ</w:t>
      </w:r>
      <w:r w:rsidRPr="00822CE9">
        <w:rPr>
          <w:rFonts w:hint="cs"/>
          <w:rtl/>
        </w:rPr>
        <w:t>، فيجب حملها على محمل كما يقول الحائري</w:t>
      </w:r>
      <w:r w:rsidRPr="000A4159">
        <w:rPr>
          <w:rFonts w:cs="Taher"/>
          <w:vertAlign w:val="superscript"/>
          <w:rtl/>
        </w:rPr>
        <w:t>(</w:t>
      </w:r>
      <w:r w:rsidRPr="000A4159">
        <w:rPr>
          <w:rStyle w:val="FootnoteReference"/>
          <w:rFonts w:cs="Taher"/>
          <w:rtl/>
        </w:rPr>
        <w:footnoteReference w:id="472"/>
      </w:r>
      <w:r w:rsidRPr="000A4159">
        <w:rPr>
          <w:rFonts w:cs="Taher"/>
          <w:vertAlign w:val="superscript"/>
          <w:rtl/>
        </w:rPr>
        <w:t>)</w:t>
      </w:r>
      <w:r w:rsidRPr="00822CE9">
        <w:rPr>
          <w:rtl/>
        </w:rPr>
        <w:t xml:space="preserve">، </w:t>
      </w:r>
      <w:r w:rsidR="00626273">
        <w:rPr>
          <w:rFonts w:hint="cs"/>
          <w:rtl/>
        </w:rPr>
        <w:t xml:space="preserve">حيث </w:t>
      </w:r>
      <w:r w:rsidRPr="00822CE9">
        <w:rPr>
          <w:rFonts w:hint="cs"/>
          <w:rtl/>
        </w:rPr>
        <w:t>أجبنا عنه مراراً.</w:t>
      </w:r>
    </w:p>
    <w:p w14:paraId="7836A6FA" w14:textId="77777777" w:rsidR="000A4159" w:rsidRPr="00822CE9" w:rsidRDefault="000A4159" w:rsidP="00FD0BFF">
      <w:pPr>
        <w:spacing w:line="214" w:lineRule="auto"/>
        <w:rPr>
          <w:rtl/>
        </w:rPr>
      </w:pPr>
      <w:r w:rsidRPr="00822CE9">
        <w:rPr>
          <w:rFonts w:hint="cs"/>
          <w:rtl/>
        </w:rPr>
        <w:t>نعم، سياق الحديث الأو</w:t>
      </w:r>
      <w:r w:rsidR="00626273">
        <w:rPr>
          <w:rFonts w:hint="cs"/>
          <w:rtl/>
        </w:rPr>
        <w:t>ّ</w:t>
      </w:r>
      <w:r w:rsidRPr="00822CE9">
        <w:rPr>
          <w:rFonts w:hint="cs"/>
          <w:rtl/>
        </w:rPr>
        <w:t>ل وارد في بني أمي</w:t>
      </w:r>
      <w:r w:rsidR="00626273">
        <w:rPr>
          <w:rFonts w:hint="cs"/>
          <w:rtl/>
        </w:rPr>
        <w:t>ّ</w:t>
      </w:r>
      <w:r w:rsidRPr="00822CE9">
        <w:rPr>
          <w:rFonts w:hint="cs"/>
          <w:rtl/>
        </w:rPr>
        <w:t>ة</w:t>
      </w:r>
      <w:r w:rsidR="00626273">
        <w:rPr>
          <w:rFonts w:hint="cs"/>
          <w:rtl/>
        </w:rPr>
        <w:t>،</w:t>
      </w:r>
      <w:r w:rsidRPr="00822CE9">
        <w:rPr>
          <w:rFonts w:hint="cs"/>
          <w:rtl/>
        </w:rPr>
        <w:t xml:space="preserve"> مما قد يمنع عن انعقاد إطلاق على نحو القضي</w:t>
      </w:r>
      <w:r w:rsidR="00626273">
        <w:rPr>
          <w:rFonts w:hint="cs"/>
          <w:rtl/>
        </w:rPr>
        <w:t>ّ</w:t>
      </w:r>
      <w:r w:rsidRPr="00822CE9">
        <w:rPr>
          <w:rFonts w:hint="cs"/>
          <w:rtl/>
        </w:rPr>
        <w:t>ة الحقيقية العامة</w:t>
      </w:r>
      <w:r w:rsidR="00626273">
        <w:rPr>
          <w:rFonts w:hint="cs"/>
          <w:rtl/>
        </w:rPr>
        <w:t>،</w:t>
      </w:r>
      <w:r w:rsidRPr="00822CE9">
        <w:rPr>
          <w:rFonts w:hint="cs"/>
          <w:rtl/>
        </w:rPr>
        <w:t xml:space="preserve"> وال</w:t>
      </w:r>
      <w:r w:rsidR="00FD0BFF">
        <w:rPr>
          <w:rFonts w:hint="cs"/>
          <w:rtl/>
        </w:rPr>
        <w:t xml:space="preserve">راجح وحدة </w:t>
      </w:r>
      <w:r w:rsidRPr="00822CE9">
        <w:rPr>
          <w:rFonts w:hint="cs"/>
          <w:rtl/>
        </w:rPr>
        <w:t>الروايتين</w:t>
      </w:r>
      <w:r w:rsidR="00FD0BFF">
        <w:rPr>
          <w:rFonts w:hint="cs"/>
          <w:rtl/>
        </w:rPr>
        <w:t>،</w:t>
      </w:r>
      <w:r w:rsidRPr="00822CE9">
        <w:rPr>
          <w:rFonts w:hint="cs"/>
          <w:rtl/>
        </w:rPr>
        <w:t xml:space="preserve"> فهذا الحديث لا ي</w:t>
      </w:r>
      <w:r w:rsidR="00FD0BFF">
        <w:rPr>
          <w:rFonts w:hint="cs"/>
          <w:rtl/>
        </w:rPr>
        <w:t>ُ</w:t>
      </w:r>
      <w:r w:rsidRPr="00822CE9">
        <w:rPr>
          <w:rFonts w:hint="cs"/>
          <w:rtl/>
        </w:rPr>
        <w:t xml:space="preserve">ستند إليه </w:t>
      </w:r>
      <w:r w:rsidR="00FD0BFF">
        <w:rPr>
          <w:rFonts w:hint="cs"/>
          <w:rtl/>
        </w:rPr>
        <w:t>أيضاً.</w:t>
      </w:r>
    </w:p>
    <w:p w14:paraId="63B0D01C" w14:textId="77777777" w:rsidR="000A4159" w:rsidRPr="00822CE9" w:rsidRDefault="00FD0BFF" w:rsidP="00FD0BFF">
      <w:pPr>
        <w:spacing w:line="214" w:lineRule="auto"/>
        <w:rPr>
          <w:rtl/>
        </w:rPr>
      </w:pPr>
      <w:r w:rsidRPr="00FD0BFF">
        <w:rPr>
          <w:rFonts w:hint="cs"/>
          <w:b/>
          <w:bCs/>
          <w:rtl/>
        </w:rPr>
        <w:t xml:space="preserve">الرواية العشرون: </w:t>
      </w:r>
      <w:r w:rsidR="000A4159" w:rsidRPr="00FD0BFF">
        <w:rPr>
          <w:rFonts w:hint="cs"/>
          <w:b/>
          <w:bCs/>
          <w:rtl/>
        </w:rPr>
        <w:t>خبر الحسين بن خالد،</w:t>
      </w:r>
      <w:r w:rsidR="000A4159" w:rsidRPr="00822CE9">
        <w:rPr>
          <w:rFonts w:hint="cs"/>
          <w:rtl/>
        </w:rPr>
        <w:t xml:space="preserve"> عن الرضا</w:t>
      </w:r>
      <w:r w:rsidR="009A1626" w:rsidRPr="00822CE9">
        <w:rPr>
          <w:rFonts w:hint="cs"/>
          <w:rtl/>
        </w:rPr>
        <w:t>×</w:t>
      </w:r>
      <w:r>
        <w:rPr>
          <w:rFonts w:hint="cs"/>
          <w:rtl/>
        </w:rPr>
        <w:t>،</w:t>
      </w:r>
      <w:r w:rsidR="000A4159" w:rsidRPr="00822CE9">
        <w:rPr>
          <w:rFonts w:hint="cs"/>
          <w:rtl/>
        </w:rPr>
        <w:t xml:space="preserve"> أن</w:t>
      </w:r>
      <w:r>
        <w:rPr>
          <w:rFonts w:hint="cs"/>
          <w:rtl/>
        </w:rPr>
        <w:t>ّ</w:t>
      </w:r>
      <w:r w:rsidR="000A4159" w:rsidRPr="00822CE9">
        <w:rPr>
          <w:rFonts w:hint="cs"/>
          <w:rtl/>
        </w:rPr>
        <w:t>ه قال: «لا دين لمن لا ورع له، ولا إيمان لمن لا تقية له، إن</w:t>
      </w:r>
      <w:r>
        <w:rPr>
          <w:rFonts w:hint="cs"/>
          <w:rtl/>
        </w:rPr>
        <w:t>ّ</w:t>
      </w:r>
      <w:r w:rsidR="000A4159" w:rsidRPr="00822CE9">
        <w:rPr>
          <w:rFonts w:hint="cs"/>
          <w:rtl/>
        </w:rPr>
        <w:t xml:space="preserve"> أكرمكم عند الله أعملكم بالتقية</w:t>
      </w:r>
      <w:r>
        <w:rPr>
          <w:rFonts w:hint="eastAsia"/>
          <w:rtl/>
        </w:rPr>
        <w:t>»</w:t>
      </w:r>
      <w:r w:rsidR="000A4159" w:rsidRPr="00822CE9">
        <w:rPr>
          <w:rFonts w:hint="cs"/>
          <w:rtl/>
        </w:rPr>
        <w:t>، فقيل له: يا ابن رسول الله</w:t>
      </w:r>
      <w:r>
        <w:rPr>
          <w:rFonts w:hint="cs"/>
          <w:rtl/>
        </w:rPr>
        <w:t>،</w:t>
      </w:r>
      <w:r w:rsidR="000A4159" w:rsidRPr="00822CE9">
        <w:rPr>
          <w:rFonts w:hint="cs"/>
          <w:rtl/>
        </w:rPr>
        <w:t xml:space="preserve"> إلى متى؟ قال: </w:t>
      </w:r>
      <w:r>
        <w:rPr>
          <w:rFonts w:hint="eastAsia"/>
          <w:rtl/>
        </w:rPr>
        <w:t>«</w:t>
      </w:r>
      <w:r w:rsidR="000A4159" w:rsidRPr="00822CE9">
        <w:rPr>
          <w:rFonts w:hint="cs"/>
          <w:rtl/>
        </w:rPr>
        <w:t>إلى يوم الوقت المعلوم، وهو يوم خروج قائمنا أهل البيت، فمن ترك التقية قبل خروج قائمنا فليس منّا..»</w:t>
      </w:r>
      <w:r w:rsidR="000A4159" w:rsidRPr="000A4159">
        <w:rPr>
          <w:rFonts w:cs="Taher"/>
          <w:vertAlign w:val="superscript"/>
          <w:rtl/>
        </w:rPr>
        <w:t>(</w:t>
      </w:r>
      <w:r w:rsidR="000A4159" w:rsidRPr="000A4159">
        <w:rPr>
          <w:rStyle w:val="FootnoteReference"/>
          <w:rFonts w:cs="Taher"/>
          <w:rtl/>
        </w:rPr>
        <w:footnoteReference w:id="473"/>
      </w:r>
      <w:r w:rsidR="000A4159" w:rsidRPr="000A4159">
        <w:rPr>
          <w:rFonts w:cs="Taher"/>
          <w:vertAlign w:val="superscript"/>
          <w:rtl/>
        </w:rPr>
        <w:t>)</w:t>
      </w:r>
      <w:r w:rsidR="000A4159" w:rsidRPr="00822CE9">
        <w:rPr>
          <w:rtl/>
        </w:rPr>
        <w:t>.</w:t>
      </w:r>
    </w:p>
    <w:p w14:paraId="112CB5CA" w14:textId="77777777" w:rsidR="000A4159" w:rsidRPr="00822CE9" w:rsidRDefault="000A4159" w:rsidP="00CF1E7F">
      <w:pPr>
        <w:pStyle w:val="normal930"/>
        <w:rPr>
          <w:rtl/>
        </w:rPr>
      </w:pPr>
      <w:r w:rsidRPr="00822CE9">
        <w:rPr>
          <w:rFonts w:hint="cs"/>
          <w:rtl/>
        </w:rPr>
        <w:t>فهذه الرواية دالّة على لزوم ممارسة التقية حتى ظهور المهدي</w:t>
      </w:r>
      <w:r w:rsidR="00FD0BFF">
        <w:rPr>
          <w:rFonts w:hint="cs"/>
          <w:rtl/>
        </w:rPr>
        <w:t>ّ</w:t>
      </w:r>
      <w:r w:rsidRPr="00822CE9">
        <w:rPr>
          <w:rFonts w:hint="cs"/>
          <w:rtl/>
        </w:rPr>
        <w:t>، ومن الواضح أن</w:t>
      </w:r>
      <w:r w:rsidR="00FD0BFF">
        <w:rPr>
          <w:rFonts w:hint="cs"/>
          <w:rtl/>
        </w:rPr>
        <w:t>ّ</w:t>
      </w:r>
      <w:r w:rsidRPr="00822CE9">
        <w:rPr>
          <w:rFonts w:hint="cs"/>
          <w:rtl/>
        </w:rPr>
        <w:t xml:space="preserve"> الثورات المسل</w:t>
      </w:r>
      <w:r w:rsidR="00FD0BFF">
        <w:rPr>
          <w:rFonts w:hint="cs"/>
          <w:rtl/>
        </w:rPr>
        <w:t>ّ</w:t>
      </w:r>
      <w:r w:rsidRPr="00822CE9">
        <w:rPr>
          <w:rFonts w:hint="cs"/>
          <w:rtl/>
        </w:rPr>
        <w:t>حة أو الدموي</w:t>
      </w:r>
      <w:r w:rsidR="00FD0BFF">
        <w:rPr>
          <w:rFonts w:hint="cs"/>
          <w:rtl/>
        </w:rPr>
        <w:t>ّ</w:t>
      </w:r>
      <w:r w:rsidRPr="00822CE9">
        <w:rPr>
          <w:rFonts w:hint="cs"/>
          <w:rtl/>
        </w:rPr>
        <w:t>ة تخالف التقية بالتأكيد</w:t>
      </w:r>
      <w:r w:rsidR="00FD0BFF">
        <w:rPr>
          <w:rFonts w:hint="cs"/>
          <w:rtl/>
        </w:rPr>
        <w:t>،</w:t>
      </w:r>
      <w:r w:rsidRPr="00822CE9">
        <w:rPr>
          <w:rFonts w:hint="cs"/>
          <w:rtl/>
        </w:rPr>
        <w:t xml:space="preserve"> فتكون غير مرضي</w:t>
      </w:r>
      <w:r w:rsidR="00FD0BFF">
        <w:rPr>
          <w:rFonts w:hint="cs"/>
          <w:rtl/>
        </w:rPr>
        <w:t>ّ</w:t>
      </w:r>
      <w:r w:rsidRPr="00822CE9">
        <w:rPr>
          <w:rFonts w:hint="cs"/>
          <w:rtl/>
        </w:rPr>
        <w:t>ة.</w:t>
      </w:r>
    </w:p>
    <w:p w14:paraId="7B46C445" w14:textId="77777777" w:rsidR="000A4159" w:rsidRPr="00822CE9" w:rsidRDefault="00FD0BFF" w:rsidP="007075BB">
      <w:pPr>
        <w:spacing w:line="214" w:lineRule="auto"/>
        <w:rPr>
          <w:rtl/>
        </w:rPr>
      </w:pPr>
      <w:r>
        <w:rPr>
          <w:rFonts w:hint="cs"/>
          <w:b/>
          <w:bCs/>
          <w:rtl/>
        </w:rPr>
        <w:t>إلا</w:t>
      </w:r>
      <w:r w:rsidR="000A4159" w:rsidRPr="00FD0BFF">
        <w:rPr>
          <w:rFonts w:hint="cs"/>
          <w:b/>
          <w:bCs/>
          <w:rtl/>
        </w:rPr>
        <w:t xml:space="preserve"> أن</w:t>
      </w:r>
      <w:r>
        <w:rPr>
          <w:rFonts w:hint="cs"/>
          <w:b/>
          <w:bCs/>
          <w:rtl/>
        </w:rPr>
        <w:t>ّ</w:t>
      </w:r>
      <w:r w:rsidR="000A4159" w:rsidRPr="00FD0BFF">
        <w:rPr>
          <w:rFonts w:hint="cs"/>
          <w:b/>
          <w:bCs/>
          <w:rtl/>
        </w:rPr>
        <w:t>ه يمكن النقاش في سند هذه الرواية،</w:t>
      </w:r>
      <w:r w:rsidR="000A4159" w:rsidRPr="00822CE9">
        <w:rPr>
          <w:rFonts w:hint="cs"/>
          <w:rtl/>
        </w:rPr>
        <w:t xml:space="preserve"> ففي تمام المصادر التي جاءت فيها جاء </w:t>
      </w:r>
      <w:r>
        <w:rPr>
          <w:rFonts w:hint="cs"/>
          <w:rtl/>
        </w:rPr>
        <w:t>ا</w:t>
      </w:r>
      <w:r w:rsidR="000A4159" w:rsidRPr="00822CE9">
        <w:rPr>
          <w:rFonts w:hint="cs"/>
          <w:rtl/>
        </w:rPr>
        <w:t>سم علي بن معبد، وهو رجل مجهول</w:t>
      </w:r>
      <w:r w:rsidR="000A4159" w:rsidRPr="000A4159">
        <w:rPr>
          <w:rFonts w:cs="Taher"/>
          <w:vertAlign w:val="superscript"/>
          <w:rtl/>
        </w:rPr>
        <w:t>(</w:t>
      </w:r>
      <w:r w:rsidR="000A4159" w:rsidRPr="000A4159">
        <w:rPr>
          <w:rStyle w:val="FootnoteReference"/>
          <w:rFonts w:cs="Taher"/>
          <w:rtl/>
        </w:rPr>
        <w:footnoteReference w:id="474"/>
      </w:r>
      <w:r w:rsidR="000A4159" w:rsidRPr="000A4159">
        <w:rPr>
          <w:rFonts w:cs="Taher"/>
          <w:vertAlign w:val="superscript"/>
          <w:rtl/>
        </w:rPr>
        <w:t>)</w:t>
      </w:r>
      <w:r w:rsidR="000A4159" w:rsidRPr="00822CE9">
        <w:rPr>
          <w:rtl/>
        </w:rPr>
        <w:t xml:space="preserve">، </w:t>
      </w:r>
      <w:r w:rsidR="000A4159" w:rsidRPr="00822CE9">
        <w:rPr>
          <w:rFonts w:hint="cs"/>
          <w:rtl/>
        </w:rPr>
        <w:t>وحذف اسمه في إحدى نسخ إعلام الورى للطبرسي، لا يضرّ</w:t>
      </w:r>
      <w:r>
        <w:rPr>
          <w:rFonts w:hint="cs"/>
          <w:rtl/>
        </w:rPr>
        <w:t>؛</w:t>
      </w:r>
      <w:r w:rsidR="000A4159" w:rsidRPr="00822CE9">
        <w:rPr>
          <w:rFonts w:hint="cs"/>
          <w:rtl/>
        </w:rPr>
        <w:t xml:space="preserve"> </w:t>
      </w:r>
      <w:r w:rsidR="000A4159" w:rsidRPr="00822CE9">
        <w:rPr>
          <w:rFonts w:hint="cs"/>
          <w:rtl/>
        </w:rPr>
        <w:lastRenderedPageBreak/>
        <w:t>للتأك</w:t>
      </w:r>
      <w:r>
        <w:rPr>
          <w:rFonts w:hint="cs"/>
          <w:rtl/>
        </w:rPr>
        <w:t>ّ</w:t>
      </w:r>
      <w:r w:rsidR="000A4159" w:rsidRPr="00822CE9">
        <w:rPr>
          <w:rFonts w:hint="cs"/>
          <w:rtl/>
        </w:rPr>
        <w:t>د من وجود اسمه بعد أن كانت نسخة أخرى موجوداً فيها، فضلاً عن كتب الص</w:t>
      </w:r>
      <w:r w:rsidR="007075BB">
        <w:rPr>
          <w:rFonts w:hint="cs"/>
          <w:rtl/>
        </w:rPr>
        <w:t>دوق والخزاز القمي وتفصيل وسائل الشيعة</w:t>
      </w:r>
      <w:r w:rsidR="000A4159" w:rsidRPr="00822CE9">
        <w:rPr>
          <w:rFonts w:hint="cs"/>
          <w:rtl/>
        </w:rPr>
        <w:t>، فالرواية ضعيفة السند.</w:t>
      </w:r>
    </w:p>
    <w:p w14:paraId="64E48C9E" w14:textId="77777777" w:rsidR="000A4159" w:rsidRPr="00822CE9" w:rsidRDefault="000A4159" w:rsidP="00A079D6">
      <w:pPr>
        <w:spacing w:line="214" w:lineRule="auto"/>
        <w:rPr>
          <w:rtl/>
        </w:rPr>
      </w:pPr>
      <w:r w:rsidRPr="00822CE9">
        <w:rPr>
          <w:rFonts w:hint="cs"/>
          <w:rtl/>
        </w:rPr>
        <w:t>ولو صحّ سند هذه الرواية لكانت دالّةً على المطلوب هنا.</w:t>
      </w:r>
    </w:p>
    <w:p w14:paraId="2EF3657D" w14:textId="77777777" w:rsidR="000A4159" w:rsidRPr="00822CE9" w:rsidRDefault="00FD0BFF" w:rsidP="00FD0BFF">
      <w:pPr>
        <w:spacing w:line="214" w:lineRule="auto"/>
        <w:rPr>
          <w:rtl/>
        </w:rPr>
      </w:pPr>
      <w:r w:rsidRPr="00FD0BFF">
        <w:rPr>
          <w:rFonts w:hint="cs"/>
          <w:b/>
          <w:bCs/>
          <w:rtl/>
        </w:rPr>
        <w:t xml:space="preserve">الرواية الواحدة والعشرون: </w:t>
      </w:r>
      <w:r w:rsidR="000A4159" w:rsidRPr="00FD0BFF">
        <w:rPr>
          <w:rFonts w:hint="cs"/>
          <w:b/>
          <w:bCs/>
          <w:rtl/>
        </w:rPr>
        <w:t>خبر محم</w:t>
      </w:r>
      <w:r w:rsidRPr="00FD0BFF">
        <w:rPr>
          <w:rFonts w:hint="cs"/>
          <w:b/>
          <w:bCs/>
          <w:rtl/>
        </w:rPr>
        <w:t>ّ</w:t>
      </w:r>
      <w:r w:rsidR="000A4159" w:rsidRPr="00FD0BFF">
        <w:rPr>
          <w:rFonts w:hint="cs"/>
          <w:b/>
          <w:bCs/>
          <w:rtl/>
        </w:rPr>
        <w:t>د بن عمارة</w:t>
      </w:r>
      <w:r w:rsidRPr="00FD0BFF">
        <w:rPr>
          <w:rFonts w:hint="cs"/>
          <w:b/>
          <w:bCs/>
          <w:rtl/>
        </w:rPr>
        <w:t>،</w:t>
      </w:r>
      <w:r w:rsidR="000A4159" w:rsidRPr="00822CE9">
        <w:rPr>
          <w:rFonts w:hint="cs"/>
          <w:rtl/>
        </w:rPr>
        <w:t xml:space="preserve"> قال: سمعت الصادق جعفر بن محم</w:t>
      </w:r>
      <w:r>
        <w:rPr>
          <w:rFonts w:hint="cs"/>
          <w:rtl/>
        </w:rPr>
        <w:t>ّ</w:t>
      </w:r>
      <w:r w:rsidR="000A4159" w:rsidRPr="00822CE9">
        <w:rPr>
          <w:rFonts w:hint="cs"/>
          <w:rtl/>
        </w:rPr>
        <w:t>د</w:t>
      </w:r>
      <w:r w:rsidR="009A1626" w:rsidRPr="00822CE9">
        <w:rPr>
          <w:rFonts w:hint="cs"/>
          <w:rtl/>
        </w:rPr>
        <w:t>×</w:t>
      </w:r>
      <w:r w:rsidR="000A4159" w:rsidRPr="00822CE9">
        <w:rPr>
          <w:rFonts w:hint="cs"/>
          <w:rtl/>
        </w:rPr>
        <w:t xml:space="preserve"> يقول: «.. والمؤمن مجاهد؛ لأن</w:t>
      </w:r>
      <w:r>
        <w:rPr>
          <w:rFonts w:hint="cs"/>
          <w:rtl/>
        </w:rPr>
        <w:t>ّ</w:t>
      </w:r>
      <w:r w:rsidR="000A4159" w:rsidRPr="00822CE9">
        <w:rPr>
          <w:rFonts w:hint="cs"/>
          <w:rtl/>
        </w:rPr>
        <w:t>ه يجاهد أعداء الله تعالى في دولة الباطل بالتقية، وفي دولة الحق</w:t>
      </w:r>
      <w:r>
        <w:rPr>
          <w:rFonts w:hint="cs"/>
          <w:rtl/>
        </w:rPr>
        <w:t>ّ</w:t>
      </w:r>
      <w:r w:rsidR="000A4159" w:rsidRPr="00822CE9">
        <w:rPr>
          <w:rFonts w:hint="cs"/>
          <w:rtl/>
        </w:rPr>
        <w:t xml:space="preserve"> بالسيف»</w:t>
      </w:r>
      <w:r w:rsidR="000A4159" w:rsidRPr="000A4159">
        <w:rPr>
          <w:rFonts w:cs="Taher"/>
          <w:vertAlign w:val="superscript"/>
          <w:rtl/>
        </w:rPr>
        <w:t>(</w:t>
      </w:r>
      <w:r w:rsidR="000A4159" w:rsidRPr="000A4159">
        <w:rPr>
          <w:rStyle w:val="FootnoteReference"/>
          <w:rFonts w:cs="Taher"/>
          <w:rtl/>
        </w:rPr>
        <w:footnoteReference w:id="475"/>
      </w:r>
      <w:r w:rsidR="000A4159" w:rsidRPr="000A4159">
        <w:rPr>
          <w:rFonts w:cs="Taher"/>
          <w:vertAlign w:val="superscript"/>
          <w:rtl/>
        </w:rPr>
        <w:t>)</w:t>
      </w:r>
      <w:r w:rsidR="000A4159" w:rsidRPr="00822CE9">
        <w:rPr>
          <w:rtl/>
        </w:rPr>
        <w:t>.</w:t>
      </w:r>
    </w:p>
    <w:p w14:paraId="4A8928F4" w14:textId="77777777" w:rsidR="00FD0BFF" w:rsidRDefault="000A4159" w:rsidP="007075BB">
      <w:pPr>
        <w:spacing w:line="214" w:lineRule="auto"/>
        <w:rPr>
          <w:rtl/>
        </w:rPr>
      </w:pPr>
      <w:r w:rsidRPr="00822CE9">
        <w:rPr>
          <w:rFonts w:hint="cs"/>
          <w:rtl/>
        </w:rPr>
        <w:t>والرواية ظاهرة في أن</w:t>
      </w:r>
      <w:r w:rsidR="00FD0BFF">
        <w:rPr>
          <w:rFonts w:hint="cs"/>
          <w:rtl/>
        </w:rPr>
        <w:t>ّ</w:t>
      </w:r>
      <w:r w:rsidRPr="00822CE9">
        <w:rPr>
          <w:rFonts w:hint="cs"/>
          <w:rtl/>
        </w:rPr>
        <w:t>ه مع دولة الباطل يلزم التقي</w:t>
      </w:r>
      <w:r w:rsidR="00FD0BFF">
        <w:rPr>
          <w:rFonts w:hint="cs"/>
          <w:rtl/>
        </w:rPr>
        <w:t>ّ</w:t>
      </w:r>
      <w:r w:rsidRPr="00822CE9">
        <w:rPr>
          <w:rFonts w:hint="cs"/>
          <w:rtl/>
        </w:rPr>
        <w:t>ة لا الثورة ونحوها</w:t>
      </w:r>
      <w:r w:rsidR="007075BB">
        <w:rPr>
          <w:rFonts w:hint="cs"/>
          <w:rtl/>
        </w:rPr>
        <w:t>، وخاصّة بقرينة سياق المقابلة</w:t>
      </w:r>
      <w:r w:rsidRPr="00822CE9">
        <w:rPr>
          <w:rFonts w:hint="cs"/>
          <w:rtl/>
        </w:rPr>
        <w:t>.</w:t>
      </w:r>
    </w:p>
    <w:p w14:paraId="0AF4E97E" w14:textId="77777777" w:rsidR="000A4159" w:rsidRPr="00822CE9" w:rsidRDefault="000A4159" w:rsidP="00FD0BFF">
      <w:pPr>
        <w:spacing w:line="214" w:lineRule="auto"/>
        <w:rPr>
          <w:rtl/>
        </w:rPr>
      </w:pPr>
      <w:r w:rsidRPr="00FD0BFF">
        <w:rPr>
          <w:rFonts w:hint="cs"/>
          <w:b/>
          <w:bCs/>
          <w:rtl/>
        </w:rPr>
        <w:t>لكن</w:t>
      </w:r>
      <w:r w:rsidR="00FD0BFF" w:rsidRPr="00FD0BFF">
        <w:rPr>
          <w:rFonts w:hint="cs"/>
          <w:b/>
          <w:bCs/>
          <w:rtl/>
        </w:rPr>
        <w:t>ّ</w:t>
      </w:r>
      <w:r w:rsidRPr="00FD0BFF">
        <w:rPr>
          <w:rFonts w:hint="cs"/>
          <w:b/>
          <w:bCs/>
          <w:rtl/>
        </w:rPr>
        <w:t xml:space="preserve"> الرواية ضعيفة السند جداً؛</w:t>
      </w:r>
      <w:r w:rsidRPr="00822CE9">
        <w:rPr>
          <w:rFonts w:hint="cs"/>
          <w:rtl/>
        </w:rPr>
        <w:t xml:space="preserve"> فقد ورد فيها الحسن بن علي السكوني أو السكري</w:t>
      </w:r>
      <w:r w:rsidR="00FD0BFF">
        <w:rPr>
          <w:rFonts w:hint="cs"/>
          <w:rtl/>
        </w:rPr>
        <w:t>،</w:t>
      </w:r>
      <w:r w:rsidRPr="00822CE9">
        <w:rPr>
          <w:rFonts w:hint="cs"/>
          <w:rtl/>
        </w:rPr>
        <w:t xml:space="preserve"> وهو مجهول جداً</w:t>
      </w:r>
      <w:r w:rsidRPr="00822CE9">
        <w:rPr>
          <w:rtl/>
        </w:rPr>
        <w:t xml:space="preserve">، </w:t>
      </w:r>
      <w:r w:rsidRPr="00822CE9">
        <w:rPr>
          <w:rFonts w:hint="cs"/>
          <w:rtl/>
        </w:rPr>
        <w:t xml:space="preserve">وهي </w:t>
      </w:r>
      <w:r w:rsidR="00FD0BFF">
        <w:rPr>
          <w:rFonts w:hint="cs"/>
          <w:rtl/>
        </w:rPr>
        <w:t xml:space="preserve">مبتلاةٌ </w:t>
      </w:r>
      <w:r w:rsidRPr="00822CE9">
        <w:rPr>
          <w:rFonts w:hint="cs"/>
          <w:rtl/>
        </w:rPr>
        <w:t>بإهمال جعفربن محمد بن عمارة، وجهالة محمد بن عمارة</w:t>
      </w:r>
      <w:r w:rsidR="00FD0BFF" w:rsidRPr="000A4159">
        <w:rPr>
          <w:rFonts w:cs="Taher"/>
          <w:vertAlign w:val="superscript"/>
          <w:rtl/>
        </w:rPr>
        <w:t>(</w:t>
      </w:r>
      <w:r w:rsidR="00FD0BFF" w:rsidRPr="000A4159">
        <w:rPr>
          <w:rStyle w:val="FootnoteReference"/>
          <w:rFonts w:cs="Taher"/>
          <w:rtl/>
        </w:rPr>
        <w:footnoteReference w:id="476"/>
      </w:r>
      <w:r w:rsidR="00FD0BFF" w:rsidRPr="000A4159">
        <w:rPr>
          <w:rFonts w:cs="Taher"/>
          <w:vertAlign w:val="superscript"/>
          <w:rtl/>
        </w:rPr>
        <w:t>)</w:t>
      </w:r>
      <w:r w:rsidRPr="00822CE9">
        <w:rPr>
          <w:rtl/>
        </w:rPr>
        <w:t xml:space="preserve">، </w:t>
      </w:r>
      <w:r w:rsidRPr="00822CE9">
        <w:rPr>
          <w:rFonts w:hint="cs"/>
          <w:rtl/>
        </w:rPr>
        <w:t>مضافاً إلى أن</w:t>
      </w:r>
      <w:r w:rsidR="00FD0BFF">
        <w:rPr>
          <w:rFonts w:hint="cs"/>
          <w:rtl/>
        </w:rPr>
        <w:t>ّ</w:t>
      </w:r>
      <w:r w:rsidRPr="00822CE9">
        <w:rPr>
          <w:rFonts w:hint="cs"/>
          <w:rtl/>
        </w:rPr>
        <w:t xml:space="preserve">ها لا </w:t>
      </w:r>
      <w:r w:rsidR="00FD0BFF">
        <w:rPr>
          <w:rFonts w:hint="cs"/>
          <w:rtl/>
        </w:rPr>
        <w:t xml:space="preserve">تحصر </w:t>
      </w:r>
      <w:r w:rsidRPr="00822CE9">
        <w:rPr>
          <w:rFonts w:hint="cs"/>
          <w:rtl/>
        </w:rPr>
        <w:t xml:space="preserve">الجهاد </w:t>
      </w:r>
      <w:r w:rsidR="00FD0BFF">
        <w:rPr>
          <w:rFonts w:hint="cs"/>
          <w:rtl/>
        </w:rPr>
        <w:t>با</w:t>
      </w:r>
      <w:r w:rsidRPr="00822CE9">
        <w:rPr>
          <w:rFonts w:hint="cs"/>
          <w:rtl/>
        </w:rPr>
        <w:t>لتقي</w:t>
      </w:r>
      <w:r w:rsidR="00FD0BFF">
        <w:rPr>
          <w:rFonts w:hint="cs"/>
          <w:rtl/>
        </w:rPr>
        <w:t>ّ</w:t>
      </w:r>
      <w:r w:rsidRPr="00822CE9">
        <w:rPr>
          <w:rFonts w:hint="cs"/>
          <w:rtl/>
        </w:rPr>
        <w:t>ة</w:t>
      </w:r>
      <w:r w:rsidR="00FD0BFF">
        <w:rPr>
          <w:rFonts w:hint="cs"/>
          <w:rtl/>
        </w:rPr>
        <w:t>،</w:t>
      </w:r>
      <w:r w:rsidRPr="00822CE9">
        <w:rPr>
          <w:rFonts w:hint="cs"/>
          <w:rtl/>
        </w:rPr>
        <w:t xml:space="preserve"> بل تعد التقي</w:t>
      </w:r>
      <w:r w:rsidR="00FD0BFF">
        <w:rPr>
          <w:rFonts w:hint="cs"/>
          <w:rtl/>
        </w:rPr>
        <w:t>ّ</w:t>
      </w:r>
      <w:r w:rsidRPr="00822CE9">
        <w:rPr>
          <w:rFonts w:hint="cs"/>
          <w:rtl/>
        </w:rPr>
        <w:t>ة في دولة الظالم جهاداً</w:t>
      </w:r>
      <w:r w:rsidR="007075BB">
        <w:rPr>
          <w:rFonts w:hint="cs"/>
          <w:rtl/>
        </w:rPr>
        <w:t>، وقرينة المقابلة غير قاطعة</w:t>
      </w:r>
      <w:r w:rsidRPr="00822CE9">
        <w:rPr>
          <w:rFonts w:hint="cs"/>
          <w:rtl/>
        </w:rPr>
        <w:t>.</w:t>
      </w:r>
    </w:p>
    <w:p w14:paraId="70AE39DF" w14:textId="77777777" w:rsidR="000A4159" w:rsidRPr="00822CE9" w:rsidRDefault="00FD0BFF" w:rsidP="00FD0BFF">
      <w:pPr>
        <w:spacing w:line="214" w:lineRule="auto"/>
        <w:rPr>
          <w:rtl/>
        </w:rPr>
      </w:pPr>
      <w:r w:rsidRPr="00FD0BFF">
        <w:rPr>
          <w:rFonts w:hint="cs"/>
          <w:b/>
          <w:bCs/>
          <w:rtl/>
        </w:rPr>
        <w:t xml:space="preserve">الرواية الثانية والعشرون: </w:t>
      </w:r>
      <w:r w:rsidR="000A4159" w:rsidRPr="00FD0BFF">
        <w:rPr>
          <w:rFonts w:hint="cs"/>
          <w:b/>
          <w:bCs/>
          <w:rtl/>
        </w:rPr>
        <w:t>خبر جابر</w:t>
      </w:r>
      <w:r w:rsidRPr="00FD0BFF">
        <w:rPr>
          <w:rFonts w:hint="cs"/>
          <w:b/>
          <w:bCs/>
          <w:rtl/>
        </w:rPr>
        <w:t>،</w:t>
      </w:r>
      <w:r w:rsidR="000A4159" w:rsidRPr="00822CE9">
        <w:rPr>
          <w:rFonts w:hint="cs"/>
          <w:rtl/>
        </w:rPr>
        <w:t xml:space="preserve"> عن أبي جعفر</w:t>
      </w:r>
      <w:r w:rsidR="009A1626" w:rsidRPr="00822CE9">
        <w:rPr>
          <w:rFonts w:hint="cs"/>
          <w:rtl/>
        </w:rPr>
        <w:t>×</w:t>
      </w:r>
      <w:r>
        <w:rPr>
          <w:rFonts w:hint="cs"/>
          <w:rtl/>
        </w:rPr>
        <w:t>،</w:t>
      </w:r>
      <w:r w:rsidR="000A4159" w:rsidRPr="00822CE9">
        <w:rPr>
          <w:rFonts w:hint="cs"/>
          <w:rtl/>
        </w:rPr>
        <w:t xml:space="preserve"> أن</w:t>
      </w:r>
      <w:r>
        <w:rPr>
          <w:rFonts w:hint="cs"/>
          <w:rtl/>
        </w:rPr>
        <w:t>ّ</w:t>
      </w:r>
      <w:r w:rsidR="000A4159" w:rsidRPr="00822CE9">
        <w:rPr>
          <w:rFonts w:hint="cs"/>
          <w:rtl/>
        </w:rPr>
        <w:t>ه قال: «يأتي عل</w:t>
      </w:r>
      <w:r>
        <w:rPr>
          <w:rFonts w:hint="cs"/>
          <w:rtl/>
        </w:rPr>
        <w:t>ى</w:t>
      </w:r>
      <w:r w:rsidR="000A4159" w:rsidRPr="00822CE9">
        <w:rPr>
          <w:rFonts w:hint="cs"/>
          <w:rtl/>
        </w:rPr>
        <w:t xml:space="preserve"> الناس زمان</w:t>
      </w:r>
      <w:r>
        <w:rPr>
          <w:rFonts w:hint="cs"/>
          <w:rtl/>
        </w:rPr>
        <w:t>ٌ</w:t>
      </w:r>
      <w:r w:rsidR="000A4159" w:rsidRPr="00822CE9">
        <w:rPr>
          <w:rFonts w:hint="cs"/>
          <w:rtl/>
        </w:rPr>
        <w:t xml:space="preserve"> يغيب عنهم إمامهم، فيا</w:t>
      </w:r>
      <w:r>
        <w:rPr>
          <w:rFonts w:hint="cs"/>
          <w:rtl/>
        </w:rPr>
        <w:t xml:space="preserve"> </w:t>
      </w:r>
      <w:r w:rsidR="000A4159" w:rsidRPr="00822CE9">
        <w:rPr>
          <w:rFonts w:hint="cs"/>
          <w:rtl/>
        </w:rPr>
        <w:t>طوبى للثابتين على أمرنا في ذلك الزمان..</w:t>
      </w:r>
      <w:r>
        <w:rPr>
          <w:rFonts w:hint="eastAsia"/>
          <w:rtl/>
        </w:rPr>
        <w:t>»</w:t>
      </w:r>
      <w:r>
        <w:rPr>
          <w:rFonts w:hint="cs"/>
          <w:rtl/>
        </w:rPr>
        <w:t>،</w:t>
      </w:r>
      <w:r w:rsidR="000A4159" w:rsidRPr="00822CE9">
        <w:rPr>
          <w:rFonts w:hint="cs"/>
          <w:rtl/>
        </w:rPr>
        <w:t xml:space="preserve"> قال جابر: فقلت: يا ابن رسول الله</w:t>
      </w:r>
      <w:r>
        <w:rPr>
          <w:rFonts w:hint="cs"/>
          <w:rtl/>
        </w:rPr>
        <w:t>،</w:t>
      </w:r>
      <w:r w:rsidR="000A4159" w:rsidRPr="00822CE9">
        <w:rPr>
          <w:rFonts w:hint="cs"/>
          <w:rtl/>
        </w:rPr>
        <w:t xml:space="preserve"> فما أفضل ما يستعمله المؤمن في ذلك الزمان؟ قال: </w:t>
      </w:r>
      <w:r>
        <w:rPr>
          <w:rFonts w:hint="eastAsia"/>
          <w:rtl/>
        </w:rPr>
        <w:t>«</w:t>
      </w:r>
      <w:r w:rsidR="000A4159" w:rsidRPr="00822CE9">
        <w:rPr>
          <w:rFonts w:hint="cs"/>
          <w:rtl/>
        </w:rPr>
        <w:t>حفظ اللسان ولزوم البيت»</w:t>
      </w:r>
      <w:r w:rsidR="000A4159" w:rsidRPr="000A4159">
        <w:rPr>
          <w:rFonts w:cs="Taher"/>
          <w:vertAlign w:val="superscript"/>
          <w:rtl/>
        </w:rPr>
        <w:t>(</w:t>
      </w:r>
      <w:r w:rsidR="000A4159" w:rsidRPr="000A4159">
        <w:rPr>
          <w:rStyle w:val="FootnoteReference"/>
          <w:rFonts w:cs="Taher"/>
          <w:rtl/>
        </w:rPr>
        <w:footnoteReference w:id="477"/>
      </w:r>
      <w:r w:rsidR="000A4159" w:rsidRPr="000A4159">
        <w:rPr>
          <w:rFonts w:cs="Taher"/>
          <w:vertAlign w:val="superscript"/>
          <w:rtl/>
        </w:rPr>
        <w:t>)</w:t>
      </w:r>
      <w:r w:rsidR="000A4159" w:rsidRPr="00822CE9">
        <w:rPr>
          <w:rtl/>
        </w:rPr>
        <w:t>.</w:t>
      </w:r>
    </w:p>
    <w:p w14:paraId="66EF1B91" w14:textId="77777777" w:rsidR="000A4159" w:rsidRPr="00822CE9" w:rsidRDefault="000A4159" w:rsidP="00FD0BFF">
      <w:pPr>
        <w:spacing w:line="214" w:lineRule="auto"/>
        <w:rPr>
          <w:rtl/>
        </w:rPr>
      </w:pPr>
      <w:r w:rsidRPr="00822CE9">
        <w:rPr>
          <w:rFonts w:hint="cs"/>
          <w:rtl/>
        </w:rPr>
        <w:t>فهذه الرواية تجعل وظيفة المؤمن في عصر الغيبة لزوم البيت، وحفظ اللسان، ك</w:t>
      </w:r>
      <w:r w:rsidR="00FD0BFF">
        <w:rPr>
          <w:rFonts w:hint="cs"/>
          <w:rtl/>
        </w:rPr>
        <w:t>ن</w:t>
      </w:r>
      <w:r w:rsidRPr="00822CE9">
        <w:rPr>
          <w:rFonts w:hint="cs"/>
          <w:rtl/>
        </w:rPr>
        <w:t>ايةً عن عدم الحركة، الأمر الذي يقع على طرف نقيض مع الخروج المسلّح أو الدموي</w:t>
      </w:r>
      <w:r w:rsidR="00FD0BFF">
        <w:rPr>
          <w:rFonts w:hint="cs"/>
          <w:rtl/>
        </w:rPr>
        <w:t xml:space="preserve"> وأمثاله</w:t>
      </w:r>
      <w:r w:rsidRPr="00822CE9">
        <w:rPr>
          <w:rFonts w:hint="cs"/>
          <w:rtl/>
        </w:rPr>
        <w:t>.</w:t>
      </w:r>
    </w:p>
    <w:p w14:paraId="7E0177BE" w14:textId="77777777" w:rsidR="000A4159" w:rsidRPr="00822CE9" w:rsidRDefault="000A4159" w:rsidP="00FD0BFF">
      <w:pPr>
        <w:spacing w:line="214" w:lineRule="auto"/>
        <w:rPr>
          <w:rtl/>
        </w:rPr>
      </w:pPr>
      <w:r w:rsidRPr="00FD0BFF">
        <w:rPr>
          <w:rFonts w:hint="cs"/>
          <w:b/>
          <w:bCs/>
          <w:rtl/>
        </w:rPr>
        <w:t>إلا</w:t>
      </w:r>
      <w:r w:rsidR="00FD0BFF">
        <w:rPr>
          <w:rFonts w:hint="cs"/>
          <w:b/>
          <w:bCs/>
          <w:rtl/>
        </w:rPr>
        <w:t xml:space="preserve"> </w:t>
      </w:r>
      <w:r w:rsidRPr="00FD0BFF">
        <w:rPr>
          <w:rFonts w:hint="cs"/>
          <w:b/>
          <w:bCs/>
          <w:rtl/>
        </w:rPr>
        <w:t>أن</w:t>
      </w:r>
      <w:r w:rsidR="00FD0BFF">
        <w:rPr>
          <w:rFonts w:hint="cs"/>
          <w:b/>
          <w:bCs/>
          <w:rtl/>
        </w:rPr>
        <w:t>ّ</w:t>
      </w:r>
      <w:r w:rsidRPr="00FD0BFF">
        <w:rPr>
          <w:rFonts w:hint="cs"/>
          <w:b/>
          <w:bCs/>
          <w:rtl/>
        </w:rPr>
        <w:t xml:space="preserve"> هذه الرواية </w:t>
      </w:r>
      <w:r w:rsidRPr="00822CE9">
        <w:rPr>
          <w:rFonts w:hint="cs"/>
          <w:rtl/>
        </w:rPr>
        <w:t>ضعيفة السند بالمفض</w:t>
      </w:r>
      <w:r w:rsidR="00FD0BFF">
        <w:rPr>
          <w:rFonts w:hint="cs"/>
          <w:rtl/>
        </w:rPr>
        <w:t>ّ</w:t>
      </w:r>
      <w:r w:rsidRPr="00822CE9">
        <w:rPr>
          <w:rFonts w:hint="cs"/>
          <w:rtl/>
        </w:rPr>
        <w:t xml:space="preserve">ل بن صالح أبي جميلة، فهذا الرجل أشار النجاشي </w:t>
      </w:r>
      <w:r w:rsidR="00FD0BFF">
        <w:rPr>
          <w:rFonts w:hint="cs"/>
          <w:rtl/>
        </w:rPr>
        <w:t xml:space="preserve">إلى </w:t>
      </w:r>
      <w:r w:rsidRPr="00822CE9">
        <w:rPr>
          <w:rFonts w:hint="cs"/>
          <w:rtl/>
        </w:rPr>
        <w:t>أن</w:t>
      </w:r>
      <w:r w:rsidR="00FD0BFF">
        <w:rPr>
          <w:rFonts w:hint="cs"/>
          <w:rtl/>
        </w:rPr>
        <w:t>ّ</w:t>
      </w:r>
      <w:r w:rsidRPr="00822CE9">
        <w:rPr>
          <w:rFonts w:hint="cs"/>
          <w:rtl/>
        </w:rPr>
        <w:t>ه ممّن غمز فيهم وض</w:t>
      </w:r>
      <w:r w:rsidR="00FD0BFF">
        <w:rPr>
          <w:rFonts w:hint="cs"/>
          <w:rtl/>
        </w:rPr>
        <w:t>ع</w:t>
      </w:r>
      <w:r w:rsidRPr="00822CE9">
        <w:rPr>
          <w:rFonts w:hint="cs"/>
          <w:rtl/>
        </w:rPr>
        <w:t>فوا، وعدّ إلى جانبه عمرو بن شمر الضعيف</w:t>
      </w:r>
      <w:r w:rsidR="00FD0BFF">
        <w:rPr>
          <w:rFonts w:hint="cs"/>
          <w:rtl/>
        </w:rPr>
        <w:t>.</w:t>
      </w:r>
      <w:r w:rsidRPr="00822CE9">
        <w:rPr>
          <w:rFonts w:hint="cs"/>
          <w:rtl/>
        </w:rPr>
        <w:t xml:space="preserve"> نعم حاول الوحيد البهبهاني أن يوثقه رغم هذا الكلام من النجاشي ورغم تضعيف ابن الغضائري والعلامة الحلي له أيضاً، وأقص</w:t>
      </w:r>
      <w:r w:rsidR="00FD0BFF">
        <w:rPr>
          <w:rFonts w:hint="cs"/>
          <w:rtl/>
        </w:rPr>
        <w:t>ى</w:t>
      </w:r>
      <w:r w:rsidRPr="00822CE9">
        <w:rPr>
          <w:rFonts w:hint="cs"/>
          <w:rtl/>
        </w:rPr>
        <w:t xml:space="preserve"> ما ي</w:t>
      </w:r>
      <w:r w:rsidR="00FD0BFF">
        <w:rPr>
          <w:rFonts w:hint="cs"/>
          <w:rtl/>
        </w:rPr>
        <w:t>ُ</w:t>
      </w:r>
      <w:r w:rsidRPr="00822CE9">
        <w:rPr>
          <w:rFonts w:hint="cs"/>
          <w:rtl/>
        </w:rPr>
        <w:t>ستفاد لتوثيقه:</w:t>
      </w:r>
    </w:p>
    <w:p w14:paraId="195BADB6" w14:textId="77777777" w:rsidR="000A4159" w:rsidRPr="00822CE9" w:rsidRDefault="000A4159" w:rsidP="00557331">
      <w:pPr>
        <w:spacing w:line="214" w:lineRule="auto"/>
        <w:rPr>
          <w:rtl/>
        </w:rPr>
      </w:pPr>
      <w:r w:rsidRPr="00822CE9">
        <w:rPr>
          <w:rFonts w:hint="cs"/>
          <w:rtl/>
        </w:rPr>
        <w:t>1 ـ وقوعه في أسانيد كامل الزيار</w:t>
      </w:r>
      <w:r w:rsidR="00557331">
        <w:rPr>
          <w:rFonts w:hint="cs"/>
          <w:rtl/>
        </w:rPr>
        <w:t>ات</w:t>
      </w:r>
      <w:r w:rsidRPr="00822CE9">
        <w:rPr>
          <w:rFonts w:hint="cs"/>
          <w:rtl/>
        </w:rPr>
        <w:t xml:space="preserve"> و</w:t>
      </w:r>
      <w:r w:rsidR="00FD0BFF">
        <w:rPr>
          <w:rFonts w:hint="cs"/>
          <w:rtl/>
        </w:rPr>
        <w:t xml:space="preserve">تفسير </w:t>
      </w:r>
      <w:r w:rsidRPr="00822CE9">
        <w:rPr>
          <w:rFonts w:hint="cs"/>
          <w:rtl/>
        </w:rPr>
        <w:t>القمي.</w:t>
      </w:r>
    </w:p>
    <w:p w14:paraId="6D23D1FE" w14:textId="77777777" w:rsidR="000A4159" w:rsidRPr="00822CE9" w:rsidRDefault="000A4159" w:rsidP="00A079D6">
      <w:pPr>
        <w:spacing w:line="214" w:lineRule="auto"/>
        <w:rPr>
          <w:rtl/>
        </w:rPr>
      </w:pPr>
      <w:r w:rsidRPr="00822CE9">
        <w:rPr>
          <w:rFonts w:hint="cs"/>
          <w:rtl/>
        </w:rPr>
        <w:lastRenderedPageBreak/>
        <w:t>2 ـ رواية الأجلاء وأصحاب الإجماع عنه.</w:t>
      </w:r>
    </w:p>
    <w:p w14:paraId="123BE3EE" w14:textId="77777777" w:rsidR="000A4159" w:rsidRPr="00822CE9" w:rsidRDefault="000A4159" w:rsidP="00FD0BFF">
      <w:pPr>
        <w:spacing w:line="214" w:lineRule="auto"/>
        <w:rPr>
          <w:rtl/>
        </w:rPr>
      </w:pPr>
      <w:r w:rsidRPr="00822CE9">
        <w:rPr>
          <w:rFonts w:hint="cs"/>
          <w:rtl/>
        </w:rPr>
        <w:t>3 ـ كثرة روايته وكون مروي</w:t>
      </w:r>
      <w:r w:rsidR="00FD0BFF">
        <w:rPr>
          <w:rFonts w:hint="cs"/>
          <w:rtl/>
        </w:rPr>
        <w:t>ّ</w:t>
      </w:r>
      <w:r w:rsidRPr="00822CE9">
        <w:rPr>
          <w:rFonts w:hint="cs"/>
          <w:rtl/>
        </w:rPr>
        <w:t>اته سديدة</w:t>
      </w:r>
      <w:r w:rsidRPr="000A4159">
        <w:rPr>
          <w:rFonts w:cs="Taher"/>
          <w:vertAlign w:val="superscript"/>
          <w:rtl/>
        </w:rPr>
        <w:t>(</w:t>
      </w:r>
      <w:r w:rsidRPr="000A4159">
        <w:rPr>
          <w:rStyle w:val="FootnoteReference"/>
          <w:rFonts w:cs="Taher"/>
          <w:rtl/>
        </w:rPr>
        <w:footnoteReference w:id="478"/>
      </w:r>
      <w:r w:rsidRPr="000A4159">
        <w:rPr>
          <w:rFonts w:cs="Taher"/>
          <w:vertAlign w:val="superscript"/>
          <w:rtl/>
        </w:rPr>
        <w:t>)</w:t>
      </w:r>
      <w:r w:rsidRPr="00822CE9">
        <w:rPr>
          <w:rtl/>
        </w:rPr>
        <w:t>.</w:t>
      </w:r>
    </w:p>
    <w:p w14:paraId="1EA3CF3F" w14:textId="77777777" w:rsidR="000A4159" w:rsidRPr="00822CE9" w:rsidRDefault="000A4159" w:rsidP="00CF1E7F">
      <w:pPr>
        <w:pStyle w:val="normal84"/>
        <w:rPr>
          <w:rtl/>
        </w:rPr>
      </w:pPr>
      <w:r w:rsidRPr="00822CE9">
        <w:rPr>
          <w:rFonts w:hint="cs"/>
          <w:rtl/>
        </w:rPr>
        <w:t>لكن حتى لو كانت هذه طرقاً للتوثيق ـ وليست كذلك ـ إلا أن</w:t>
      </w:r>
      <w:r w:rsidR="00FD0BFF">
        <w:rPr>
          <w:rFonts w:hint="cs"/>
          <w:rtl/>
        </w:rPr>
        <w:t>ّ</w:t>
      </w:r>
      <w:r w:rsidRPr="00822CE9">
        <w:rPr>
          <w:rFonts w:hint="cs"/>
          <w:rtl/>
        </w:rPr>
        <w:t>ها تعارض كلام النجاشي الذي وضعه في سياق الكذابين في نظر بعض</w:t>
      </w:r>
      <w:r w:rsidR="00FD0BFF">
        <w:rPr>
          <w:rFonts w:hint="cs"/>
          <w:rtl/>
        </w:rPr>
        <w:t>ٍ</w:t>
      </w:r>
      <w:r w:rsidRPr="00822CE9">
        <w:rPr>
          <w:rFonts w:hint="cs"/>
          <w:rtl/>
        </w:rPr>
        <w:t>؛ فكيف يحصل وثوق بوث</w:t>
      </w:r>
      <w:r w:rsidR="00FD0BFF">
        <w:rPr>
          <w:rFonts w:hint="cs"/>
          <w:rtl/>
        </w:rPr>
        <w:t>ا</w:t>
      </w:r>
      <w:r w:rsidRPr="00822CE9">
        <w:rPr>
          <w:rFonts w:hint="cs"/>
          <w:rtl/>
        </w:rPr>
        <w:t>ق</w:t>
      </w:r>
      <w:r w:rsidR="00FD0BFF">
        <w:rPr>
          <w:rFonts w:hint="cs"/>
          <w:rtl/>
        </w:rPr>
        <w:t>ت</w:t>
      </w:r>
      <w:r w:rsidRPr="00822CE9">
        <w:rPr>
          <w:rFonts w:hint="cs"/>
          <w:rtl/>
        </w:rPr>
        <w:t>ه</w:t>
      </w:r>
      <w:r w:rsidR="00FD0BFF">
        <w:rPr>
          <w:rFonts w:hint="cs"/>
          <w:rtl/>
        </w:rPr>
        <w:t>؟!</w:t>
      </w:r>
      <w:r w:rsidRPr="00822CE9">
        <w:rPr>
          <w:rFonts w:hint="cs"/>
          <w:rtl/>
        </w:rPr>
        <w:t xml:space="preserve"> وأم</w:t>
      </w:r>
      <w:r w:rsidR="00FD0BFF">
        <w:rPr>
          <w:rFonts w:hint="cs"/>
          <w:rtl/>
        </w:rPr>
        <w:t>ّ</w:t>
      </w:r>
      <w:r w:rsidRPr="00822CE9">
        <w:rPr>
          <w:rFonts w:hint="cs"/>
          <w:rtl/>
        </w:rPr>
        <w:t>ا القول بأن التضعيف قد يكون منطلقاً من جانب اعتقاد الغلو</w:t>
      </w:r>
      <w:r w:rsidR="00FD0BFF">
        <w:rPr>
          <w:rFonts w:hint="cs"/>
          <w:rtl/>
        </w:rPr>
        <w:t>ّ</w:t>
      </w:r>
      <w:r w:rsidRPr="00822CE9">
        <w:rPr>
          <w:rFonts w:hint="cs"/>
          <w:rtl/>
        </w:rPr>
        <w:t xml:space="preserve"> فيه أو ما شابه ذلك.. لو تمّ النقد فيه ـ على مبانيهم ـ للزم سقوط اعتبار علم الرجال، إذ لعلّ التوثيقات كانت كذلك أيضاً عبر مراجعة روايات الراوي وتحديد مدى انسجامها مع الصواب، وهو م</w:t>
      </w:r>
      <w:r w:rsidR="00FD0BFF">
        <w:rPr>
          <w:rFonts w:hint="cs"/>
          <w:rtl/>
        </w:rPr>
        <w:t>ا</w:t>
      </w:r>
      <w:r w:rsidRPr="00822CE9">
        <w:rPr>
          <w:rFonts w:hint="cs"/>
          <w:rtl/>
        </w:rPr>
        <w:t xml:space="preserve"> </w:t>
      </w:r>
      <w:r w:rsidR="00FD0BFF">
        <w:rPr>
          <w:rFonts w:hint="cs"/>
          <w:rtl/>
        </w:rPr>
        <w:t xml:space="preserve">لا </w:t>
      </w:r>
      <w:r w:rsidRPr="00822CE9">
        <w:rPr>
          <w:rFonts w:hint="cs"/>
          <w:rtl/>
        </w:rPr>
        <w:t>يقبلون به عادةً</w:t>
      </w:r>
      <w:r w:rsidR="00FD0BFF">
        <w:rPr>
          <w:rFonts w:hint="cs"/>
          <w:rtl/>
        </w:rPr>
        <w:t>، وقد فصّلنا القول فيه في محلّه</w:t>
      </w:r>
      <w:r w:rsidRPr="00822CE9">
        <w:rPr>
          <w:rFonts w:hint="cs"/>
          <w:rtl/>
        </w:rPr>
        <w:t>.</w:t>
      </w:r>
    </w:p>
    <w:p w14:paraId="0D5256B1" w14:textId="77777777" w:rsidR="000A4159" w:rsidRDefault="000A4159" w:rsidP="00A079D6">
      <w:pPr>
        <w:spacing w:line="214" w:lineRule="auto"/>
        <w:rPr>
          <w:rtl/>
        </w:rPr>
      </w:pPr>
      <w:r w:rsidRPr="00822CE9">
        <w:rPr>
          <w:rFonts w:hint="cs"/>
          <w:rtl/>
        </w:rPr>
        <w:t xml:space="preserve">فالأصحّ القول بضعف الرجل، فتسقط الرواية عن الاعتبار من هذه الناحية. بل يمكن </w:t>
      </w:r>
      <w:r w:rsidR="00B70977">
        <w:rPr>
          <w:rFonts w:hint="cs"/>
          <w:rtl/>
        </w:rPr>
        <w:t>القول بأ</w:t>
      </w:r>
      <w:r w:rsidRPr="00822CE9">
        <w:rPr>
          <w:rFonts w:hint="cs"/>
          <w:rtl/>
        </w:rPr>
        <w:t>ن</w:t>
      </w:r>
      <w:r w:rsidR="00B70977">
        <w:rPr>
          <w:rFonts w:hint="cs"/>
          <w:rtl/>
        </w:rPr>
        <w:t>ّها تجعل الجلوس في البيت أفضل الأ</w:t>
      </w:r>
      <w:r w:rsidRPr="00822CE9">
        <w:rPr>
          <w:rFonts w:hint="cs"/>
          <w:rtl/>
        </w:rPr>
        <w:t>عمال لا الفاضل</w:t>
      </w:r>
      <w:r w:rsidR="00B70977">
        <w:rPr>
          <w:rFonts w:hint="cs"/>
          <w:rtl/>
        </w:rPr>
        <w:t xml:space="preserve"> مقابل المنبوذ والمنهيّ</w:t>
      </w:r>
      <w:r w:rsidRPr="00822CE9">
        <w:rPr>
          <w:rFonts w:hint="cs"/>
          <w:rtl/>
        </w:rPr>
        <w:t>.</w:t>
      </w:r>
    </w:p>
    <w:p w14:paraId="2AD47D9F" w14:textId="77777777" w:rsidR="00021A58" w:rsidRPr="00021A58" w:rsidRDefault="00021A58" w:rsidP="000153E6">
      <w:pPr>
        <w:pStyle w:val="Heading4"/>
        <w:rPr>
          <w:rtl/>
        </w:rPr>
      </w:pPr>
      <w:bookmarkStart w:id="241" w:name="_Toc143804200"/>
      <w:bookmarkStart w:id="242" w:name="_Toc238123325"/>
      <w:r w:rsidRPr="00021A58">
        <w:rPr>
          <w:rFonts w:hint="cs"/>
          <w:rtl/>
        </w:rPr>
        <w:t xml:space="preserve">وقفات </w:t>
      </w:r>
      <w:r>
        <w:rPr>
          <w:rFonts w:hint="cs"/>
          <w:rtl/>
        </w:rPr>
        <w:t xml:space="preserve">مختصرة </w:t>
      </w:r>
      <w:r w:rsidRPr="00021A58">
        <w:rPr>
          <w:rFonts w:hint="cs"/>
          <w:rtl/>
        </w:rPr>
        <w:t>دلاليّ</w:t>
      </w:r>
      <w:r>
        <w:rPr>
          <w:rFonts w:hint="cs"/>
          <w:rtl/>
        </w:rPr>
        <w:t>ة</w:t>
      </w:r>
      <w:r w:rsidRPr="00021A58">
        <w:rPr>
          <w:rFonts w:hint="cs"/>
          <w:rtl/>
        </w:rPr>
        <w:t xml:space="preserve"> وإسناديّ</w:t>
      </w:r>
      <w:r>
        <w:rPr>
          <w:rFonts w:hint="cs"/>
          <w:rtl/>
        </w:rPr>
        <w:t>ة</w:t>
      </w:r>
      <w:r w:rsidRPr="00021A58">
        <w:rPr>
          <w:rFonts w:hint="cs"/>
          <w:rtl/>
        </w:rPr>
        <w:t xml:space="preserve"> مع خبر الصحيفة السج</w:t>
      </w:r>
      <w:r>
        <w:rPr>
          <w:rFonts w:hint="cs"/>
          <w:rtl/>
        </w:rPr>
        <w:t>ّ</w:t>
      </w:r>
      <w:r w:rsidRPr="00021A58">
        <w:rPr>
          <w:rFonts w:hint="cs"/>
          <w:rtl/>
        </w:rPr>
        <w:t>ادية</w:t>
      </w:r>
      <w:bookmarkEnd w:id="241"/>
      <w:bookmarkEnd w:id="242"/>
    </w:p>
    <w:p w14:paraId="34E414E1" w14:textId="77777777" w:rsidR="000A4159" w:rsidRPr="00822CE9" w:rsidRDefault="00B70977" w:rsidP="00B70977">
      <w:pPr>
        <w:spacing w:line="214" w:lineRule="auto"/>
        <w:rPr>
          <w:rtl/>
        </w:rPr>
      </w:pPr>
      <w:r w:rsidRPr="00B70977">
        <w:rPr>
          <w:rFonts w:hint="cs"/>
          <w:b/>
          <w:bCs/>
          <w:rtl/>
        </w:rPr>
        <w:t xml:space="preserve">الرواية الثالثة والعشرون: </w:t>
      </w:r>
      <w:r w:rsidR="000A4159" w:rsidRPr="00B70977">
        <w:rPr>
          <w:rFonts w:hint="cs"/>
          <w:b/>
          <w:bCs/>
          <w:rtl/>
        </w:rPr>
        <w:t>خبر متوك</w:t>
      </w:r>
      <w:r>
        <w:rPr>
          <w:rFonts w:hint="cs"/>
          <w:b/>
          <w:bCs/>
          <w:rtl/>
        </w:rPr>
        <w:t>ّ</w:t>
      </w:r>
      <w:r w:rsidR="000A4159" w:rsidRPr="00B70977">
        <w:rPr>
          <w:rFonts w:hint="cs"/>
          <w:b/>
          <w:bCs/>
          <w:rtl/>
        </w:rPr>
        <w:t>ل بن هارون، المعروف بخبر الصحيفة السجادي</w:t>
      </w:r>
      <w:r>
        <w:rPr>
          <w:rFonts w:hint="cs"/>
          <w:b/>
          <w:bCs/>
          <w:rtl/>
        </w:rPr>
        <w:t>ّ</w:t>
      </w:r>
      <w:r w:rsidR="000A4159" w:rsidRPr="00B70977">
        <w:rPr>
          <w:rFonts w:hint="cs"/>
          <w:b/>
          <w:bCs/>
          <w:rtl/>
        </w:rPr>
        <w:t>ة،</w:t>
      </w:r>
      <w:r w:rsidR="000A4159" w:rsidRPr="00822CE9">
        <w:rPr>
          <w:rFonts w:hint="cs"/>
          <w:rtl/>
        </w:rPr>
        <w:t xml:space="preserve"> عن أبي عبد الله</w:t>
      </w:r>
      <w:r w:rsidR="009A1626" w:rsidRPr="00822CE9">
        <w:rPr>
          <w:rFonts w:hint="cs"/>
          <w:rtl/>
        </w:rPr>
        <w:t>×</w:t>
      </w:r>
      <w:r w:rsidR="000A4159" w:rsidRPr="00822CE9">
        <w:rPr>
          <w:rFonts w:hint="cs"/>
          <w:rtl/>
        </w:rPr>
        <w:t>: «ما خرج ولا يخرج منّا أهل البيت إلى قيام قائمنا أحد ليدفع ظلماً أو ينعش حقاً إلا اصطلمته البلي</w:t>
      </w:r>
      <w:r>
        <w:rPr>
          <w:rFonts w:hint="cs"/>
          <w:rtl/>
        </w:rPr>
        <w:t>ّ</w:t>
      </w:r>
      <w:r w:rsidR="000A4159" w:rsidRPr="00822CE9">
        <w:rPr>
          <w:rFonts w:hint="cs"/>
          <w:rtl/>
        </w:rPr>
        <w:t>ة، وكان قيامه زيادة في مكروهنا وشيعتنا»</w:t>
      </w:r>
      <w:r w:rsidR="000A4159" w:rsidRPr="000A4159">
        <w:rPr>
          <w:rFonts w:cs="Taher"/>
          <w:vertAlign w:val="superscript"/>
          <w:rtl/>
        </w:rPr>
        <w:t>(</w:t>
      </w:r>
      <w:r w:rsidR="000A4159" w:rsidRPr="000A4159">
        <w:rPr>
          <w:rStyle w:val="FootnoteReference"/>
          <w:rFonts w:cs="Taher"/>
          <w:rtl/>
        </w:rPr>
        <w:footnoteReference w:id="479"/>
      </w:r>
      <w:r w:rsidR="000A4159" w:rsidRPr="000A4159">
        <w:rPr>
          <w:rFonts w:cs="Taher"/>
          <w:vertAlign w:val="superscript"/>
          <w:rtl/>
        </w:rPr>
        <w:t>)</w:t>
      </w:r>
      <w:r w:rsidR="000A4159" w:rsidRPr="00822CE9">
        <w:rPr>
          <w:rtl/>
        </w:rPr>
        <w:t>.</w:t>
      </w:r>
    </w:p>
    <w:p w14:paraId="2D01C698" w14:textId="77777777" w:rsidR="000A4159" w:rsidRPr="00822CE9" w:rsidRDefault="000A4159" w:rsidP="00CF1E7F">
      <w:pPr>
        <w:pStyle w:val="normal84"/>
        <w:rPr>
          <w:rtl/>
        </w:rPr>
      </w:pPr>
      <w:r w:rsidRPr="00822CE9">
        <w:rPr>
          <w:rFonts w:hint="cs"/>
          <w:rtl/>
        </w:rPr>
        <w:t>فهذه الرواية واضحة الدلالة على أن</w:t>
      </w:r>
      <w:r w:rsidR="00B70977">
        <w:rPr>
          <w:rFonts w:hint="cs"/>
          <w:rtl/>
        </w:rPr>
        <w:t>ّ</w:t>
      </w:r>
      <w:r w:rsidRPr="00822CE9">
        <w:rPr>
          <w:rFonts w:hint="cs"/>
          <w:rtl/>
        </w:rPr>
        <w:t xml:space="preserve"> أيّ ثورة قبل قيام القائم ستفضي إلى </w:t>
      </w:r>
      <w:r w:rsidR="00B70977">
        <w:rPr>
          <w:rFonts w:hint="cs"/>
          <w:rtl/>
        </w:rPr>
        <w:t>ال</w:t>
      </w:r>
      <w:r w:rsidRPr="00822CE9">
        <w:rPr>
          <w:rFonts w:hint="cs"/>
          <w:rtl/>
        </w:rPr>
        <w:t>مزيد من مكروه الشيعة ومكروه أهل البيت، ولن تجر</w:t>
      </w:r>
      <w:r w:rsidR="00B70977">
        <w:rPr>
          <w:rFonts w:hint="cs"/>
          <w:rtl/>
        </w:rPr>
        <w:t>ّ</w:t>
      </w:r>
      <w:r w:rsidRPr="00822CE9">
        <w:rPr>
          <w:rFonts w:hint="cs"/>
          <w:rtl/>
        </w:rPr>
        <w:t xml:space="preserve"> سوى الهلاك والبلية والمحنة، وهذه ألسنة زجر وعدم شرعنة لمثل هذه الثورات.</w:t>
      </w:r>
    </w:p>
    <w:p w14:paraId="382C7A4E" w14:textId="77777777" w:rsidR="000A4159" w:rsidRPr="00B70977" w:rsidRDefault="000A4159" w:rsidP="00A079D6">
      <w:pPr>
        <w:spacing w:line="214" w:lineRule="auto"/>
        <w:rPr>
          <w:b/>
          <w:bCs/>
          <w:rtl/>
        </w:rPr>
      </w:pPr>
      <w:r w:rsidRPr="00B70977">
        <w:rPr>
          <w:rFonts w:hint="cs"/>
          <w:b/>
          <w:bCs/>
          <w:rtl/>
        </w:rPr>
        <w:t>وقد ي</w:t>
      </w:r>
      <w:r w:rsidR="00B70977">
        <w:rPr>
          <w:rFonts w:hint="cs"/>
          <w:b/>
          <w:bCs/>
          <w:rtl/>
        </w:rPr>
        <w:t>ُ</w:t>
      </w:r>
      <w:r w:rsidRPr="00B70977">
        <w:rPr>
          <w:rFonts w:hint="cs"/>
          <w:b/>
          <w:bCs/>
          <w:rtl/>
        </w:rPr>
        <w:t>ناقش الاستدلال</w:t>
      </w:r>
      <w:r w:rsidR="00B70977">
        <w:rPr>
          <w:rFonts w:hint="cs"/>
          <w:b/>
          <w:bCs/>
          <w:rtl/>
        </w:rPr>
        <w:t>ُ</w:t>
      </w:r>
      <w:r w:rsidRPr="00B70977">
        <w:rPr>
          <w:rFonts w:hint="cs"/>
          <w:b/>
          <w:bCs/>
          <w:rtl/>
        </w:rPr>
        <w:t xml:space="preserve"> بهذه الرواية من جوانب:</w:t>
      </w:r>
    </w:p>
    <w:p w14:paraId="1D5CC7F2" w14:textId="77777777" w:rsidR="000A4159" w:rsidRPr="00822CE9" w:rsidRDefault="000A4159" w:rsidP="00CF1E7F">
      <w:pPr>
        <w:pStyle w:val="normal84"/>
        <w:rPr>
          <w:rtl/>
        </w:rPr>
      </w:pPr>
      <w:r w:rsidRPr="00B70977">
        <w:rPr>
          <w:rFonts w:hint="cs"/>
          <w:b/>
          <w:bCs/>
          <w:rtl/>
        </w:rPr>
        <w:t>أو</w:t>
      </w:r>
      <w:r w:rsidR="00B70977">
        <w:rPr>
          <w:rFonts w:hint="cs"/>
          <w:b/>
          <w:bCs/>
          <w:rtl/>
        </w:rPr>
        <w:t>ّ</w:t>
      </w:r>
      <w:r w:rsidRPr="00B70977">
        <w:rPr>
          <w:rFonts w:hint="cs"/>
          <w:b/>
          <w:bCs/>
          <w:rtl/>
        </w:rPr>
        <w:t>لاً:</w:t>
      </w:r>
      <w:r w:rsidRPr="00822CE9">
        <w:rPr>
          <w:rFonts w:hint="cs"/>
          <w:rtl/>
        </w:rPr>
        <w:t xml:space="preserve"> الجانب السندي، فقد ورد في سند الحديث محم</w:t>
      </w:r>
      <w:r w:rsidR="000E5D3D">
        <w:rPr>
          <w:rFonts w:hint="cs"/>
          <w:rtl/>
        </w:rPr>
        <w:t>ّ</w:t>
      </w:r>
      <w:r w:rsidRPr="00822CE9">
        <w:rPr>
          <w:rFonts w:hint="cs"/>
          <w:rtl/>
        </w:rPr>
        <w:t>د بن عبد الله بن المطلب الشيباني، وقد نصّ النجاشي على أنّ جلّ أصحابنا كانوا يغمزونه ويضع</w:t>
      </w:r>
      <w:r w:rsidR="000E5D3D">
        <w:rPr>
          <w:rFonts w:hint="cs"/>
          <w:rtl/>
        </w:rPr>
        <w:t>ّ</w:t>
      </w:r>
      <w:r w:rsidRPr="00822CE9">
        <w:rPr>
          <w:rFonts w:hint="cs"/>
          <w:rtl/>
        </w:rPr>
        <w:t>فونه، وقد نصّ على تضعيف جماعة</w:t>
      </w:r>
      <w:r w:rsidR="00166389">
        <w:rPr>
          <w:rFonts w:hint="cs"/>
          <w:rtl/>
        </w:rPr>
        <w:t>ٍ</w:t>
      </w:r>
      <w:r w:rsidRPr="00822CE9">
        <w:rPr>
          <w:rFonts w:hint="cs"/>
          <w:rtl/>
        </w:rPr>
        <w:t xml:space="preserve"> له </w:t>
      </w:r>
      <w:r w:rsidRPr="00822CE9">
        <w:rPr>
          <w:rFonts w:hint="cs"/>
          <w:rtl/>
        </w:rPr>
        <w:lastRenderedPageBreak/>
        <w:t>الطوسي</w:t>
      </w:r>
      <w:r w:rsidR="00166389">
        <w:rPr>
          <w:rFonts w:hint="cs"/>
          <w:rtl/>
        </w:rPr>
        <w:t>ُّ</w:t>
      </w:r>
      <w:r w:rsidRPr="00822CE9">
        <w:rPr>
          <w:rFonts w:hint="cs"/>
          <w:rtl/>
        </w:rPr>
        <w:t xml:space="preserve"> في الفهرست أيضاً والرجال، نعم حاول بعضهم كالوحيد البهبهاني توثيقه برواية بعض الثقات عنه</w:t>
      </w:r>
      <w:r w:rsidRPr="000A4159">
        <w:rPr>
          <w:rFonts w:cs="Taher"/>
          <w:vertAlign w:val="superscript"/>
          <w:rtl/>
        </w:rPr>
        <w:t>(</w:t>
      </w:r>
      <w:r w:rsidRPr="000A4159">
        <w:rPr>
          <w:rStyle w:val="FootnoteReference"/>
          <w:rFonts w:cs="Taher"/>
          <w:rtl/>
        </w:rPr>
        <w:footnoteReference w:id="480"/>
      </w:r>
      <w:r w:rsidRPr="000A4159">
        <w:rPr>
          <w:rFonts w:cs="Taher"/>
          <w:vertAlign w:val="superscript"/>
          <w:rtl/>
        </w:rPr>
        <w:t>)</w:t>
      </w:r>
      <w:r w:rsidRPr="00822CE9">
        <w:rPr>
          <w:rtl/>
        </w:rPr>
        <w:t xml:space="preserve">، </w:t>
      </w:r>
      <w:r w:rsidRPr="00822CE9">
        <w:rPr>
          <w:rFonts w:hint="cs"/>
          <w:rtl/>
        </w:rPr>
        <w:t>لكن إذا كانت مثل هذه ال</w:t>
      </w:r>
      <w:r w:rsidR="00EC7F47">
        <w:rPr>
          <w:rFonts w:hint="cs"/>
          <w:rtl/>
        </w:rPr>
        <w:t>نصوص لا تضعف شخصاً فما الذي يضع</w:t>
      </w:r>
      <w:r w:rsidRPr="00822CE9">
        <w:rPr>
          <w:rFonts w:hint="cs"/>
          <w:rtl/>
        </w:rPr>
        <w:t xml:space="preserve">فه حينئذ؟! </w:t>
      </w:r>
      <w:r w:rsidR="000E5D3D">
        <w:rPr>
          <w:rFonts w:hint="cs"/>
          <w:rtl/>
        </w:rPr>
        <w:t xml:space="preserve">ولا </w:t>
      </w:r>
      <w:r w:rsidRPr="00822CE9">
        <w:rPr>
          <w:rFonts w:hint="cs"/>
          <w:rtl/>
        </w:rPr>
        <w:t>سيما أن</w:t>
      </w:r>
      <w:r w:rsidR="000E5D3D">
        <w:rPr>
          <w:rFonts w:hint="cs"/>
          <w:rtl/>
        </w:rPr>
        <w:t>ّ</w:t>
      </w:r>
      <w:r w:rsidRPr="00822CE9">
        <w:rPr>
          <w:rFonts w:hint="cs"/>
          <w:rtl/>
        </w:rPr>
        <w:t xml:space="preserve"> النجاشي عاصره</w:t>
      </w:r>
      <w:r w:rsidR="000E5D3D">
        <w:rPr>
          <w:rFonts w:hint="cs"/>
          <w:rtl/>
        </w:rPr>
        <w:t>،</w:t>
      </w:r>
      <w:r w:rsidRPr="00822CE9">
        <w:rPr>
          <w:rFonts w:hint="cs"/>
          <w:rtl/>
        </w:rPr>
        <w:t xml:space="preserve"> فمعلوماته عنه </w:t>
      </w:r>
      <w:r w:rsidR="00166389">
        <w:rPr>
          <w:rFonts w:hint="cs"/>
          <w:rtl/>
        </w:rPr>
        <w:t xml:space="preserve">مهمّة </w:t>
      </w:r>
      <w:r w:rsidRPr="00822CE9">
        <w:rPr>
          <w:rFonts w:hint="cs"/>
          <w:rtl/>
        </w:rPr>
        <w:t>جداً، حيث ينصّ على أن</w:t>
      </w:r>
      <w:r w:rsidR="000E5D3D">
        <w:rPr>
          <w:rFonts w:hint="cs"/>
          <w:rtl/>
        </w:rPr>
        <w:t>ّ</w:t>
      </w:r>
      <w:r w:rsidRPr="00822CE9">
        <w:rPr>
          <w:rFonts w:hint="cs"/>
          <w:rtl/>
        </w:rPr>
        <w:t>ه خلط آخر عمره.</w:t>
      </w:r>
    </w:p>
    <w:p w14:paraId="0B6F5EF1" w14:textId="77777777" w:rsidR="000A4159" w:rsidRDefault="000A4159" w:rsidP="00D15EBC">
      <w:pPr>
        <w:spacing w:line="214" w:lineRule="auto"/>
        <w:rPr>
          <w:rtl/>
        </w:rPr>
      </w:pPr>
      <w:r w:rsidRPr="00822CE9">
        <w:rPr>
          <w:rFonts w:hint="cs"/>
          <w:rtl/>
        </w:rPr>
        <w:t>وفي السند أيضاً عمير بن المتوك</w:t>
      </w:r>
      <w:r w:rsidR="00EC7F47">
        <w:rPr>
          <w:rFonts w:hint="cs"/>
          <w:rtl/>
        </w:rPr>
        <w:t>ّ</w:t>
      </w:r>
      <w:r w:rsidRPr="00822CE9">
        <w:rPr>
          <w:rFonts w:hint="cs"/>
          <w:rtl/>
        </w:rPr>
        <w:t>ل بن هارون، وهو رجل</w:t>
      </w:r>
      <w:r w:rsidR="00EC7F47">
        <w:rPr>
          <w:rFonts w:hint="cs"/>
          <w:rtl/>
        </w:rPr>
        <w:t>ٌ</w:t>
      </w:r>
      <w:r w:rsidRPr="00822CE9">
        <w:rPr>
          <w:rFonts w:hint="cs"/>
          <w:rtl/>
        </w:rPr>
        <w:t xml:space="preserve"> مهمل</w:t>
      </w:r>
      <w:r w:rsidRPr="00822CE9">
        <w:rPr>
          <w:rtl/>
        </w:rPr>
        <w:t xml:space="preserve">، </w:t>
      </w:r>
      <w:r w:rsidRPr="00822CE9">
        <w:rPr>
          <w:rFonts w:hint="cs"/>
          <w:rtl/>
        </w:rPr>
        <w:t>وكذلك متوك</w:t>
      </w:r>
      <w:r w:rsidR="00EC7F47">
        <w:rPr>
          <w:rFonts w:hint="cs"/>
          <w:rtl/>
        </w:rPr>
        <w:t>ّ</w:t>
      </w:r>
      <w:r w:rsidRPr="00822CE9">
        <w:rPr>
          <w:rFonts w:hint="cs"/>
          <w:rtl/>
        </w:rPr>
        <w:t>ل بن عمير أو متوك</w:t>
      </w:r>
      <w:r w:rsidR="00EC7F47">
        <w:rPr>
          <w:rFonts w:hint="cs"/>
          <w:rtl/>
        </w:rPr>
        <w:t>ّ</w:t>
      </w:r>
      <w:r w:rsidRPr="00822CE9">
        <w:rPr>
          <w:rFonts w:hint="cs"/>
          <w:rtl/>
        </w:rPr>
        <w:t>ل بن هارون</w:t>
      </w:r>
      <w:r w:rsidR="00D15EBC" w:rsidRPr="000A4159">
        <w:rPr>
          <w:rFonts w:cs="Taher"/>
          <w:vertAlign w:val="superscript"/>
          <w:rtl/>
        </w:rPr>
        <w:t>(</w:t>
      </w:r>
      <w:r w:rsidR="00D15EBC" w:rsidRPr="000A4159">
        <w:rPr>
          <w:rStyle w:val="FootnoteReference"/>
          <w:rFonts w:cs="Taher"/>
          <w:rtl/>
        </w:rPr>
        <w:footnoteReference w:id="481"/>
      </w:r>
      <w:r w:rsidR="00D15EBC" w:rsidRPr="000A4159">
        <w:rPr>
          <w:rFonts w:cs="Taher"/>
          <w:vertAlign w:val="superscript"/>
          <w:rtl/>
        </w:rPr>
        <w:t>)</w:t>
      </w:r>
      <w:r w:rsidRPr="00822CE9">
        <w:rPr>
          <w:rtl/>
        </w:rPr>
        <w:t xml:space="preserve">، </w:t>
      </w:r>
      <w:r w:rsidRPr="00822CE9">
        <w:rPr>
          <w:rFonts w:hint="cs"/>
          <w:rtl/>
        </w:rPr>
        <w:t>فالسند ضعيف من عدّة جهات، لهذا لم يكن واضحاً وصف السند من قبل العلامة</w:t>
      </w:r>
      <w:r w:rsidR="00470184">
        <w:rPr>
          <w:rFonts w:hint="cs"/>
          <w:rtl/>
        </w:rPr>
        <w:t xml:space="preserve"> محمد حسين</w:t>
      </w:r>
      <w:r w:rsidRPr="00822CE9">
        <w:rPr>
          <w:rFonts w:hint="cs"/>
          <w:rtl/>
        </w:rPr>
        <w:t xml:space="preserve"> الطهراني بالصحيح الذي لا شك</w:t>
      </w:r>
      <w:r w:rsidR="00EC7F47">
        <w:rPr>
          <w:rFonts w:hint="cs"/>
          <w:rtl/>
        </w:rPr>
        <w:t>ّ</w:t>
      </w:r>
      <w:r w:rsidRPr="00822CE9">
        <w:rPr>
          <w:rFonts w:hint="cs"/>
          <w:rtl/>
        </w:rPr>
        <w:t xml:space="preserve"> ولا تردّد فيه</w:t>
      </w:r>
      <w:r w:rsidRPr="000A4159">
        <w:rPr>
          <w:rFonts w:cs="Taher"/>
          <w:vertAlign w:val="superscript"/>
          <w:rtl/>
        </w:rPr>
        <w:t>(</w:t>
      </w:r>
      <w:r w:rsidRPr="000A4159">
        <w:rPr>
          <w:rStyle w:val="FootnoteReference"/>
          <w:rFonts w:cs="Taher"/>
          <w:rtl/>
        </w:rPr>
        <w:footnoteReference w:id="482"/>
      </w:r>
      <w:r w:rsidRPr="000A4159">
        <w:rPr>
          <w:rFonts w:cs="Taher"/>
          <w:vertAlign w:val="superscript"/>
          <w:rtl/>
        </w:rPr>
        <w:t>)</w:t>
      </w:r>
      <w:r w:rsidRPr="00822CE9">
        <w:rPr>
          <w:rtl/>
        </w:rPr>
        <w:t>.</w:t>
      </w:r>
    </w:p>
    <w:p w14:paraId="4A99F6BA" w14:textId="77777777" w:rsidR="004E189D" w:rsidRDefault="004E189D" w:rsidP="004E189D">
      <w:pPr>
        <w:spacing w:line="214" w:lineRule="auto"/>
        <w:rPr>
          <w:rtl/>
        </w:rPr>
      </w:pPr>
      <w:r>
        <w:rPr>
          <w:rFonts w:hint="cs"/>
          <w:rtl/>
        </w:rPr>
        <w:t xml:space="preserve">بل قد وقع بينهم كلامٌ طويل في مَن هو قائل </w:t>
      </w:r>
      <w:r>
        <w:rPr>
          <w:rFonts w:hint="eastAsia"/>
          <w:rtl/>
        </w:rPr>
        <w:t>«حدّثنا</w:t>
      </w:r>
      <w:r>
        <w:rPr>
          <w:rFonts w:hint="cs"/>
          <w:rtl/>
        </w:rPr>
        <w:t>» في بداية السند، وكُتبت في ذلك رسائل وتعليقات.</w:t>
      </w:r>
    </w:p>
    <w:p w14:paraId="0F9B19BC" w14:textId="77777777" w:rsidR="00166389" w:rsidRDefault="004E189D" w:rsidP="00166389">
      <w:pPr>
        <w:spacing w:line="214" w:lineRule="auto"/>
        <w:rPr>
          <w:rtl/>
        </w:rPr>
      </w:pPr>
      <w:r w:rsidRPr="00144C7A">
        <w:rPr>
          <w:rFonts w:hint="cs"/>
          <w:b/>
          <w:bCs/>
          <w:rtl/>
        </w:rPr>
        <w:t xml:space="preserve">وقد </w:t>
      </w:r>
      <w:r w:rsidR="00F67FBD" w:rsidRPr="00144C7A">
        <w:rPr>
          <w:rFonts w:hint="cs"/>
          <w:b/>
          <w:bCs/>
          <w:rtl/>
        </w:rPr>
        <w:t>أ</w:t>
      </w:r>
      <w:r w:rsidRPr="00144C7A">
        <w:rPr>
          <w:rFonts w:hint="cs"/>
          <w:b/>
          <w:bCs/>
          <w:rtl/>
        </w:rPr>
        <w:t xml:space="preserve">فاض كثيرون في ذكر ما أطلقوا عليه </w:t>
      </w:r>
      <w:r w:rsidRPr="00144C7A">
        <w:rPr>
          <w:rFonts w:hint="eastAsia"/>
          <w:b/>
          <w:bCs/>
          <w:rtl/>
        </w:rPr>
        <w:t>«سند الصحيفة السجادي</w:t>
      </w:r>
      <w:r w:rsidR="00F67FBD" w:rsidRPr="00144C7A">
        <w:rPr>
          <w:rFonts w:hint="cs"/>
          <w:b/>
          <w:bCs/>
          <w:rtl/>
        </w:rPr>
        <w:t>ّ</w:t>
      </w:r>
      <w:r w:rsidRPr="00144C7A">
        <w:rPr>
          <w:rFonts w:hint="eastAsia"/>
          <w:b/>
          <w:bCs/>
          <w:rtl/>
        </w:rPr>
        <w:t>ة</w:t>
      </w:r>
      <w:r w:rsidRPr="00144C7A">
        <w:rPr>
          <w:rFonts w:hint="cs"/>
          <w:b/>
          <w:bCs/>
          <w:rtl/>
        </w:rPr>
        <w:t>»</w:t>
      </w:r>
      <w:r w:rsidR="00F67FBD" w:rsidRPr="00144C7A">
        <w:rPr>
          <w:rFonts w:hint="cs"/>
          <w:b/>
          <w:bCs/>
          <w:rtl/>
        </w:rPr>
        <w:t>،</w:t>
      </w:r>
      <w:r>
        <w:rPr>
          <w:rFonts w:hint="cs"/>
          <w:rtl/>
        </w:rPr>
        <w:t xml:space="preserve"> فذكروا عشرات الطرق وقا</w:t>
      </w:r>
      <w:r w:rsidR="00F67FBD">
        <w:rPr>
          <w:rFonts w:hint="cs"/>
          <w:rtl/>
        </w:rPr>
        <w:t>لوا بأ</w:t>
      </w:r>
      <w:r>
        <w:rPr>
          <w:rFonts w:hint="cs"/>
          <w:rtl/>
        </w:rPr>
        <w:t>ن</w:t>
      </w:r>
      <w:r w:rsidR="00F67FBD">
        <w:rPr>
          <w:rFonts w:hint="cs"/>
          <w:rtl/>
        </w:rPr>
        <w:t>ّ</w:t>
      </w:r>
      <w:r>
        <w:rPr>
          <w:rFonts w:hint="cs"/>
          <w:rtl/>
        </w:rPr>
        <w:t xml:space="preserve"> لها مئات </w:t>
      </w:r>
      <w:r w:rsidR="00F67FBD">
        <w:rPr>
          <w:rFonts w:hint="cs"/>
          <w:rtl/>
        </w:rPr>
        <w:t xml:space="preserve">بل آلاف </w:t>
      </w:r>
      <w:r>
        <w:rPr>
          <w:rFonts w:hint="cs"/>
          <w:rtl/>
        </w:rPr>
        <w:t>الطرق، وبالتفتيش في كلماتهم فإنّ هذه الطرق هي ط</w:t>
      </w:r>
      <w:r w:rsidR="00F67FBD">
        <w:rPr>
          <w:rFonts w:hint="cs"/>
          <w:rtl/>
        </w:rPr>
        <w:t>رق إ</w:t>
      </w:r>
      <w:r>
        <w:rPr>
          <w:rFonts w:hint="cs"/>
          <w:rtl/>
        </w:rPr>
        <w:t xml:space="preserve">جازات </w:t>
      </w:r>
      <w:r w:rsidR="00470184">
        <w:rPr>
          <w:rFonts w:hint="cs"/>
          <w:rtl/>
        </w:rPr>
        <w:t xml:space="preserve">المتأخّرين </w:t>
      </w:r>
      <w:r w:rsidR="00F67FBD">
        <w:rPr>
          <w:rFonts w:hint="cs"/>
          <w:rtl/>
        </w:rPr>
        <w:t>تنت</w:t>
      </w:r>
      <w:r>
        <w:rPr>
          <w:rFonts w:hint="cs"/>
          <w:rtl/>
        </w:rPr>
        <w:t>هي في نهاية المطاف إلى الإسناد نفسه</w:t>
      </w:r>
      <w:r w:rsidR="00470184">
        <w:rPr>
          <w:rFonts w:hint="cs"/>
          <w:rtl/>
        </w:rPr>
        <w:t>، ولو كان هذا تواتراً فكلّ روايات الكافي وأمثاله متواترة!</w:t>
      </w:r>
      <w:r>
        <w:rPr>
          <w:rFonts w:hint="cs"/>
          <w:rtl/>
        </w:rPr>
        <w:t xml:space="preserve"> وأمّ</w:t>
      </w:r>
      <w:r w:rsidR="00F67FBD">
        <w:rPr>
          <w:rFonts w:hint="cs"/>
          <w:rtl/>
        </w:rPr>
        <w:t>ا</w:t>
      </w:r>
      <w:r>
        <w:rPr>
          <w:rFonts w:hint="cs"/>
          <w:rtl/>
        </w:rPr>
        <w:t xml:space="preserve"> </w:t>
      </w:r>
      <w:r w:rsidR="00F67FBD">
        <w:rPr>
          <w:rFonts w:hint="cs"/>
          <w:rtl/>
        </w:rPr>
        <w:t>دعوى من ا</w:t>
      </w:r>
      <w:r>
        <w:rPr>
          <w:rFonts w:hint="cs"/>
          <w:rtl/>
        </w:rPr>
        <w:t xml:space="preserve">دّعى أنّه حصل على الصحيفة في المنام من الإمام </w:t>
      </w:r>
      <w:r w:rsidR="00470184">
        <w:rPr>
          <w:rFonts w:hint="cs"/>
          <w:rtl/>
        </w:rPr>
        <w:t>المهديّ،</w:t>
      </w:r>
      <w:r>
        <w:rPr>
          <w:rFonts w:hint="cs"/>
          <w:rtl/>
        </w:rPr>
        <w:t xml:space="preserve"> فخارجة عن إطار البحث العلمي القائم على معايير موضوعيّ</w:t>
      </w:r>
      <w:r w:rsidR="00F67FBD">
        <w:rPr>
          <w:rFonts w:hint="cs"/>
          <w:rtl/>
        </w:rPr>
        <w:t>ة</w:t>
      </w:r>
      <w:r>
        <w:rPr>
          <w:rFonts w:hint="cs"/>
          <w:rtl/>
        </w:rPr>
        <w:t>.</w:t>
      </w:r>
      <w:r w:rsidR="00F67FBD">
        <w:rPr>
          <w:rFonts w:hint="cs"/>
          <w:rtl/>
        </w:rPr>
        <w:t xml:space="preserve"> فضلاً عن الحديث عن وجود ألف ألف سند لها، وهو ما نقله العلامة المجلسي عن والده المجلسيّ الأوّل حين قال: </w:t>
      </w:r>
      <w:r w:rsidR="00F67FBD">
        <w:rPr>
          <w:rFonts w:hint="eastAsia"/>
          <w:rtl/>
        </w:rPr>
        <w:t>«</w:t>
      </w:r>
      <w:r w:rsidR="00F67FBD" w:rsidRPr="00F67FBD">
        <w:rPr>
          <w:rtl/>
        </w:rPr>
        <w:t>أجزت للولد الأعز</w:t>
      </w:r>
      <w:r w:rsidR="00F67FBD">
        <w:rPr>
          <w:rFonts w:hint="cs"/>
          <w:rtl/>
        </w:rPr>
        <w:t>ّ</w:t>
      </w:r>
      <w:r w:rsidR="00F67FBD" w:rsidRPr="00F67FBD">
        <w:rPr>
          <w:rtl/>
        </w:rPr>
        <w:t xml:space="preserve"> أن يروي عن</w:t>
      </w:r>
      <w:r w:rsidR="00F67FBD">
        <w:rPr>
          <w:rFonts w:hint="cs"/>
          <w:rtl/>
        </w:rPr>
        <w:t>ّ</w:t>
      </w:r>
      <w:r w:rsidR="00F67FBD">
        <w:rPr>
          <w:rtl/>
        </w:rPr>
        <w:t>ي الصحيفة بهذه ال</w:t>
      </w:r>
      <w:r w:rsidR="00F67FBD">
        <w:rPr>
          <w:rFonts w:hint="cs"/>
          <w:rtl/>
        </w:rPr>
        <w:t>أ</w:t>
      </w:r>
      <w:r w:rsidR="00F67FBD" w:rsidRPr="00F67FBD">
        <w:rPr>
          <w:rtl/>
        </w:rPr>
        <w:t>سناد عن إمام الساجدين</w:t>
      </w:r>
      <w:r w:rsidR="00F67FBD">
        <w:rPr>
          <w:rFonts w:hint="cs"/>
          <w:rtl/>
        </w:rPr>
        <w:t xml:space="preserve"> </w:t>
      </w:r>
      <w:r w:rsidR="00F67FBD" w:rsidRPr="00F67FBD">
        <w:rPr>
          <w:rtl/>
        </w:rPr>
        <w:t xml:space="preserve">وزين العابدين والعارفين علي بن </w:t>
      </w:r>
      <w:r w:rsidR="00F67FBD">
        <w:rPr>
          <w:rtl/>
        </w:rPr>
        <w:t>الحسين بن علي بن أبي طالب مع ال</w:t>
      </w:r>
      <w:r w:rsidR="00F67FBD">
        <w:rPr>
          <w:rFonts w:hint="cs"/>
          <w:rtl/>
        </w:rPr>
        <w:t>إ</w:t>
      </w:r>
      <w:r w:rsidR="00F67FBD" w:rsidRPr="00F67FBD">
        <w:rPr>
          <w:rtl/>
        </w:rPr>
        <w:t>سناد الذي</w:t>
      </w:r>
      <w:r w:rsidR="00F67FBD">
        <w:rPr>
          <w:rFonts w:hint="cs"/>
          <w:rtl/>
        </w:rPr>
        <w:t xml:space="preserve"> </w:t>
      </w:r>
      <w:r w:rsidR="00F67FBD" w:rsidRPr="00F67FBD">
        <w:rPr>
          <w:rtl/>
        </w:rPr>
        <w:t>بلا واسطة عن صاحب الزمان وخليفة الرحمان صلوات الله وسلامه عليه الذي وقع في</w:t>
      </w:r>
      <w:r w:rsidR="00F67FBD">
        <w:rPr>
          <w:rFonts w:hint="cs"/>
          <w:rtl/>
        </w:rPr>
        <w:t xml:space="preserve"> </w:t>
      </w:r>
      <w:r w:rsidR="00F67FBD" w:rsidRPr="00F67FBD">
        <w:rPr>
          <w:rtl/>
        </w:rPr>
        <w:t>الرؤيا مع ساير الأسانيد التي تزيد على ألف ألف سند</w:t>
      </w:r>
      <w:r w:rsidR="00F67FBD">
        <w:rPr>
          <w:rFonts w:hint="cs"/>
          <w:rtl/>
        </w:rPr>
        <w:t>..</w:t>
      </w:r>
      <w:r w:rsidR="00AA1A5B">
        <w:rPr>
          <w:rFonts w:hint="cs"/>
          <w:rtl/>
        </w:rPr>
        <w:t xml:space="preserve"> </w:t>
      </w:r>
      <w:r w:rsidR="00AA1A5B" w:rsidRPr="00AA1A5B">
        <w:rPr>
          <w:rtl/>
        </w:rPr>
        <w:t>والذي رأيت من أسانيد الصحيفة بغير هذه الأسانيد</w:t>
      </w:r>
      <w:r w:rsidR="00AA1A5B" w:rsidRPr="000A4159">
        <w:rPr>
          <w:rFonts w:cs="Taher"/>
          <w:vertAlign w:val="superscript"/>
          <w:rtl/>
        </w:rPr>
        <w:t>(</w:t>
      </w:r>
      <w:r w:rsidR="00AA1A5B" w:rsidRPr="000A4159">
        <w:rPr>
          <w:rStyle w:val="FootnoteReference"/>
          <w:rFonts w:cs="Taher"/>
          <w:rtl/>
        </w:rPr>
        <w:footnoteReference w:id="483"/>
      </w:r>
      <w:r w:rsidR="00AA1A5B" w:rsidRPr="000A4159">
        <w:rPr>
          <w:rFonts w:cs="Taher"/>
          <w:vertAlign w:val="superscript"/>
          <w:rtl/>
        </w:rPr>
        <w:t>)</w:t>
      </w:r>
      <w:r w:rsidR="00AA1A5B" w:rsidRPr="00AA1A5B">
        <w:rPr>
          <w:rtl/>
        </w:rPr>
        <w:t xml:space="preserve"> فهي أكثر من أن تحصى،</w:t>
      </w:r>
      <w:r w:rsidR="00AA1A5B">
        <w:rPr>
          <w:rFonts w:hint="cs"/>
          <w:rtl/>
        </w:rPr>
        <w:t xml:space="preserve"> </w:t>
      </w:r>
      <w:r w:rsidR="00AA1A5B" w:rsidRPr="00AA1A5B">
        <w:rPr>
          <w:rtl/>
        </w:rPr>
        <w:t xml:space="preserve">ولا </w:t>
      </w:r>
      <w:r w:rsidR="00AA1A5B" w:rsidRPr="00AA1A5B">
        <w:rPr>
          <w:rtl/>
        </w:rPr>
        <w:lastRenderedPageBreak/>
        <w:t>شك</w:t>
      </w:r>
      <w:r w:rsidR="00AA1A5B">
        <w:rPr>
          <w:rFonts w:hint="cs"/>
          <w:rtl/>
        </w:rPr>
        <w:t>ّ</w:t>
      </w:r>
      <w:r w:rsidR="00AA1A5B" w:rsidRPr="00AA1A5B">
        <w:rPr>
          <w:rtl/>
        </w:rPr>
        <w:t xml:space="preserve"> لنا في أن</w:t>
      </w:r>
      <w:r w:rsidR="00AA1A5B">
        <w:rPr>
          <w:rFonts w:hint="cs"/>
          <w:rtl/>
        </w:rPr>
        <w:t>ّ</w:t>
      </w:r>
      <w:r w:rsidR="00AA1A5B" w:rsidRPr="00AA1A5B">
        <w:rPr>
          <w:rtl/>
        </w:rPr>
        <w:t>ها من سيد الساجدين، أم</w:t>
      </w:r>
      <w:r w:rsidR="00AA1A5B">
        <w:rPr>
          <w:rFonts w:hint="cs"/>
          <w:rtl/>
        </w:rPr>
        <w:t>ّ</w:t>
      </w:r>
      <w:r w:rsidR="00AA1A5B">
        <w:rPr>
          <w:rtl/>
        </w:rPr>
        <w:t>ا من جهة ال</w:t>
      </w:r>
      <w:r w:rsidR="00AA1A5B">
        <w:rPr>
          <w:rFonts w:hint="cs"/>
          <w:rtl/>
        </w:rPr>
        <w:t>إ</w:t>
      </w:r>
      <w:r w:rsidR="00AA1A5B" w:rsidRPr="00AA1A5B">
        <w:rPr>
          <w:rtl/>
        </w:rPr>
        <w:t>سناد فإن</w:t>
      </w:r>
      <w:r w:rsidR="00AA1A5B">
        <w:rPr>
          <w:rFonts w:hint="cs"/>
          <w:rtl/>
        </w:rPr>
        <w:t>ّ</w:t>
      </w:r>
      <w:r w:rsidR="00AA1A5B" w:rsidRPr="00AA1A5B">
        <w:rPr>
          <w:rtl/>
        </w:rPr>
        <w:t>ها كالقرآن المجيد</w:t>
      </w:r>
      <w:r w:rsidR="00AA1A5B">
        <w:rPr>
          <w:rFonts w:hint="cs"/>
          <w:rtl/>
        </w:rPr>
        <w:t xml:space="preserve">، </w:t>
      </w:r>
      <w:r w:rsidR="00AA1A5B" w:rsidRPr="00AA1A5B">
        <w:rPr>
          <w:rtl/>
        </w:rPr>
        <w:t>وهي متواترة من طرق الزيدي</w:t>
      </w:r>
      <w:r w:rsidR="00AA1A5B">
        <w:rPr>
          <w:rFonts w:hint="cs"/>
          <w:rtl/>
        </w:rPr>
        <w:t>ّ</w:t>
      </w:r>
      <w:r w:rsidR="00AA1A5B" w:rsidRPr="00AA1A5B">
        <w:rPr>
          <w:rtl/>
        </w:rPr>
        <w:t>ة أيضا</w:t>
      </w:r>
      <w:r w:rsidR="00AA1A5B">
        <w:rPr>
          <w:rFonts w:hint="cs"/>
          <w:rtl/>
        </w:rPr>
        <w:t>ً</w:t>
      </w:r>
      <w:r w:rsidR="007C3F27" w:rsidRPr="000A4159">
        <w:rPr>
          <w:rFonts w:cs="Taher"/>
          <w:vertAlign w:val="superscript"/>
          <w:rtl/>
        </w:rPr>
        <w:t>(</w:t>
      </w:r>
      <w:r w:rsidR="007C3F27" w:rsidRPr="000A4159">
        <w:rPr>
          <w:rStyle w:val="FootnoteReference"/>
          <w:rFonts w:cs="Taher"/>
          <w:rtl/>
        </w:rPr>
        <w:footnoteReference w:id="484"/>
      </w:r>
      <w:r w:rsidR="007C3F27" w:rsidRPr="000A4159">
        <w:rPr>
          <w:rFonts w:cs="Taher"/>
          <w:vertAlign w:val="superscript"/>
          <w:rtl/>
        </w:rPr>
        <w:t>)</w:t>
      </w:r>
      <w:r w:rsidR="00AA1A5B" w:rsidRPr="00AA1A5B">
        <w:rPr>
          <w:rtl/>
        </w:rPr>
        <w:t>، وأم</w:t>
      </w:r>
      <w:r w:rsidR="00AA1A5B">
        <w:rPr>
          <w:rFonts w:hint="cs"/>
          <w:rtl/>
        </w:rPr>
        <w:t>ّ</w:t>
      </w:r>
      <w:r w:rsidR="00AA1A5B" w:rsidRPr="00AA1A5B">
        <w:rPr>
          <w:rtl/>
        </w:rPr>
        <w:t>ا من حيث العبارة فهي أظهر من أن يذكر</w:t>
      </w:r>
      <w:r w:rsidR="00AA1A5B">
        <w:rPr>
          <w:rFonts w:hint="cs"/>
          <w:rtl/>
        </w:rPr>
        <w:t xml:space="preserve"> </w:t>
      </w:r>
      <w:r w:rsidR="00AA1A5B" w:rsidRPr="00AA1A5B">
        <w:rPr>
          <w:rtl/>
        </w:rPr>
        <w:t>فهو كالقرآن المجيد في نهاية الفصاحة، وأم</w:t>
      </w:r>
      <w:r w:rsidR="00AA1A5B">
        <w:rPr>
          <w:rFonts w:hint="cs"/>
          <w:rtl/>
        </w:rPr>
        <w:t>ّ</w:t>
      </w:r>
      <w:r w:rsidR="00AA1A5B" w:rsidRPr="00AA1A5B">
        <w:rPr>
          <w:rtl/>
        </w:rPr>
        <w:t>ا من جهة الإحاطة بالعلوم الإلهي</w:t>
      </w:r>
      <w:r w:rsidR="00AA1A5B">
        <w:rPr>
          <w:rFonts w:hint="cs"/>
          <w:rtl/>
        </w:rPr>
        <w:t>ّ</w:t>
      </w:r>
      <w:r w:rsidR="00AA1A5B" w:rsidRPr="00AA1A5B">
        <w:rPr>
          <w:rtl/>
        </w:rPr>
        <w:t>ة فهو أيضا</w:t>
      </w:r>
      <w:r w:rsidR="00AA1A5B">
        <w:rPr>
          <w:rFonts w:hint="cs"/>
          <w:rtl/>
        </w:rPr>
        <w:t xml:space="preserve">ً </w:t>
      </w:r>
      <w:r w:rsidR="00AA1A5B" w:rsidRPr="00AA1A5B">
        <w:rPr>
          <w:rtl/>
        </w:rPr>
        <w:t>ظاهر لمن كان أدنى معرفة بالعلوم</w:t>
      </w:r>
      <w:r w:rsidR="00AA1A5B">
        <w:rPr>
          <w:rFonts w:hint="cs"/>
          <w:rtl/>
        </w:rPr>
        <w:t>.</w:t>
      </w:r>
      <w:r w:rsidR="00AA1A5B" w:rsidRPr="00AA1A5B">
        <w:rPr>
          <w:rtl/>
        </w:rPr>
        <w:t>.</w:t>
      </w:r>
      <w:r w:rsidR="00F67FBD">
        <w:rPr>
          <w:rFonts w:hint="eastAsia"/>
          <w:rtl/>
        </w:rPr>
        <w:t>»</w:t>
      </w:r>
      <w:r w:rsidR="00F67FBD" w:rsidRPr="000A4159">
        <w:rPr>
          <w:rFonts w:cs="Taher"/>
          <w:vertAlign w:val="superscript"/>
          <w:rtl/>
        </w:rPr>
        <w:t>(</w:t>
      </w:r>
      <w:r w:rsidR="00F67FBD" w:rsidRPr="000A4159">
        <w:rPr>
          <w:rStyle w:val="FootnoteReference"/>
          <w:rFonts w:cs="Taher"/>
          <w:rtl/>
        </w:rPr>
        <w:footnoteReference w:id="485"/>
      </w:r>
      <w:r w:rsidR="00F67FBD" w:rsidRPr="000A4159">
        <w:rPr>
          <w:rFonts w:cs="Taher"/>
          <w:vertAlign w:val="superscript"/>
          <w:rtl/>
        </w:rPr>
        <w:t>)</w:t>
      </w:r>
      <w:r w:rsidR="00F67FBD">
        <w:rPr>
          <w:rFonts w:hint="eastAsia"/>
          <w:rtl/>
        </w:rPr>
        <w:t>.</w:t>
      </w:r>
    </w:p>
    <w:p w14:paraId="4C3704CF" w14:textId="77777777" w:rsidR="004E189D" w:rsidRPr="00822CE9" w:rsidRDefault="00AA1A5B" w:rsidP="00166389">
      <w:pPr>
        <w:spacing w:line="214" w:lineRule="auto"/>
        <w:rPr>
          <w:rtl/>
        </w:rPr>
      </w:pPr>
      <w:r>
        <w:rPr>
          <w:rFonts w:hint="cs"/>
          <w:rtl/>
        </w:rPr>
        <w:t>و</w:t>
      </w:r>
      <w:r w:rsidR="00F67FBD">
        <w:rPr>
          <w:rFonts w:hint="cs"/>
          <w:rtl/>
        </w:rPr>
        <w:t>الأفضل عدم التعليق على مثل هذه الدعاوى الكبيرة، فليدلّونا على ألف سندٍ فقط</w:t>
      </w:r>
      <w:r w:rsidR="00144C7A">
        <w:rPr>
          <w:rFonts w:hint="cs"/>
          <w:rtl/>
        </w:rPr>
        <w:t xml:space="preserve"> ـ بل مائة ـ</w:t>
      </w:r>
      <w:r w:rsidR="00794D42">
        <w:rPr>
          <w:rFonts w:hint="cs"/>
          <w:rtl/>
        </w:rPr>
        <w:t xml:space="preserve"> </w:t>
      </w:r>
      <w:r w:rsidR="00F67FBD">
        <w:rPr>
          <w:rFonts w:hint="cs"/>
          <w:rtl/>
        </w:rPr>
        <w:t>من أسانيد هذه الصحيفة</w:t>
      </w:r>
      <w:r w:rsidR="00B71184">
        <w:rPr>
          <w:rFonts w:hint="cs"/>
          <w:rtl/>
        </w:rPr>
        <w:t xml:space="preserve"> مدوّنةً واضحة بالأسماء</w:t>
      </w:r>
      <w:r w:rsidR="00F67FBD">
        <w:rPr>
          <w:rFonts w:hint="cs"/>
          <w:rtl/>
        </w:rPr>
        <w:t>.</w:t>
      </w:r>
    </w:p>
    <w:p w14:paraId="75C045EC" w14:textId="77777777" w:rsidR="00B71184" w:rsidRDefault="000A4159" w:rsidP="000D400B">
      <w:pPr>
        <w:spacing w:line="214" w:lineRule="auto"/>
        <w:rPr>
          <w:rtl/>
        </w:rPr>
      </w:pPr>
      <w:r w:rsidRPr="00144C7A">
        <w:rPr>
          <w:rFonts w:hint="cs"/>
          <w:b/>
          <w:bCs/>
          <w:rtl/>
        </w:rPr>
        <w:t>وأم</w:t>
      </w:r>
      <w:r w:rsidR="00D15EBC" w:rsidRPr="00144C7A">
        <w:rPr>
          <w:rFonts w:hint="cs"/>
          <w:b/>
          <w:bCs/>
          <w:rtl/>
        </w:rPr>
        <w:t>ّ</w:t>
      </w:r>
      <w:r w:rsidRPr="00144C7A">
        <w:rPr>
          <w:rFonts w:hint="cs"/>
          <w:b/>
          <w:bCs/>
          <w:rtl/>
        </w:rPr>
        <w:t>ا استناد الشيعة إلى الصحيفة السج</w:t>
      </w:r>
      <w:r w:rsidR="00D15EBC" w:rsidRPr="00144C7A">
        <w:rPr>
          <w:rFonts w:hint="cs"/>
          <w:b/>
          <w:bCs/>
          <w:rtl/>
        </w:rPr>
        <w:t>ّ</w:t>
      </w:r>
      <w:r w:rsidRPr="00144C7A">
        <w:rPr>
          <w:rFonts w:hint="cs"/>
          <w:b/>
          <w:bCs/>
          <w:rtl/>
        </w:rPr>
        <w:t>ادية</w:t>
      </w:r>
      <w:r w:rsidR="00AA1A5B" w:rsidRPr="00144C7A">
        <w:rPr>
          <w:rFonts w:hint="cs"/>
          <w:b/>
          <w:bCs/>
          <w:rtl/>
        </w:rPr>
        <w:t xml:space="preserve"> وكثرة شروحاتها وتعليقاتها</w:t>
      </w:r>
      <w:r w:rsidR="00D15EBC" w:rsidRPr="00144C7A">
        <w:rPr>
          <w:rFonts w:hint="cs"/>
          <w:b/>
          <w:bCs/>
          <w:rtl/>
        </w:rPr>
        <w:t>،</w:t>
      </w:r>
      <w:r w:rsidRPr="00822CE9">
        <w:rPr>
          <w:rFonts w:hint="cs"/>
          <w:rtl/>
        </w:rPr>
        <w:t xml:space="preserve"> مع أنّ هذا هو سندها</w:t>
      </w:r>
      <w:r w:rsidR="00D15EBC">
        <w:rPr>
          <w:rFonts w:hint="cs"/>
          <w:rtl/>
        </w:rPr>
        <w:t>،</w:t>
      </w:r>
      <w:r w:rsidRPr="00822CE9">
        <w:rPr>
          <w:rFonts w:hint="cs"/>
          <w:rtl/>
        </w:rPr>
        <w:t xml:space="preserve"> </w:t>
      </w:r>
      <w:r w:rsidR="004A3FD4">
        <w:rPr>
          <w:rFonts w:hint="cs"/>
          <w:rtl/>
        </w:rPr>
        <w:t xml:space="preserve">وكذلك وجود مخطوطات كثيرة لها في العالم أحصاها بعضهم فبلغت أزيد من ألف وخمسائة مخطوطة، يرجع بعضها حتى للقرن السادس أو الخامس الهجري، الأمر الذي يكشف عن اهتمام استثنائي بها عبر القرون.. فهذا كلّه </w:t>
      </w:r>
      <w:r w:rsidRPr="00822CE9">
        <w:rPr>
          <w:rFonts w:hint="cs"/>
          <w:rtl/>
        </w:rPr>
        <w:t xml:space="preserve">ليس بدليل؛ </w:t>
      </w:r>
      <w:r w:rsidR="00D15EBC">
        <w:rPr>
          <w:rFonts w:hint="cs"/>
          <w:rtl/>
        </w:rPr>
        <w:t>إذ ق</w:t>
      </w:r>
      <w:r w:rsidRPr="00822CE9">
        <w:rPr>
          <w:rFonts w:hint="cs"/>
          <w:rtl/>
        </w:rPr>
        <w:t>ل</w:t>
      </w:r>
      <w:r w:rsidR="00D15EBC">
        <w:rPr>
          <w:rFonts w:hint="cs"/>
          <w:rtl/>
        </w:rPr>
        <w:t>ّ</w:t>
      </w:r>
      <w:r w:rsidRPr="00822CE9">
        <w:rPr>
          <w:rFonts w:hint="cs"/>
          <w:rtl/>
        </w:rPr>
        <w:t>ما توق</w:t>
      </w:r>
      <w:r w:rsidR="00D15EBC">
        <w:rPr>
          <w:rFonts w:hint="cs"/>
          <w:rtl/>
        </w:rPr>
        <w:t>ّ</w:t>
      </w:r>
      <w:r w:rsidRPr="00822CE9">
        <w:rPr>
          <w:rFonts w:hint="cs"/>
          <w:rtl/>
        </w:rPr>
        <w:t xml:space="preserve">فوا </w:t>
      </w:r>
      <w:r w:rsidR="00D15EBC">
        <w:rPr>
          <w:rFonts w:hint="cs"/>
          <w:rtl/>
        </w:rPr>
        <w:t>في أ</w:t>
      </w:r>
      <w:r w:rsidRPr="00822CE9">
        <w:rPr>
          <w:rFonts w:hint="cs"/>
          <w:rtl/>
        </w:rPr>
        <w:t>سانيد أحاديث</w:t>
      </w:r>
      <w:r w:rsidR="00D15EBC">
        <w:rPr>
          <w:rFonts w:hint="cs"/>
          <w:rtl/>
        </w:rPr>
        <w:t xml:space="preserve"> الأدعية والمندوبات، كما أنّه </w:t>
      </w:r>
      <w:r w:rsidRPr="00822CE9">
        <w:rPr>
          <w:rFonts w:hint="cs"/>
          <w:rtl/>
        </w:rPr>
        <w:t xml:space="preserve">لعلّ متنها ومضمون أدعيتها جعل لهم وثوقاً بصدورها، </w:t>
      </w:r>
      <w:r w:rsidR="00F67FBD">
        <w:rPr>
          <w:rFonts w:hint="cs"/>
          <w:rtl/>
        </w:rPr>
        <w:t xml:space="preserve">بل هذا هو الظاهر من كثيرين منهم </w:t>
      </w:r>
      <w:r w:rsidR="00B71184">
        <w:rPr>
          <w:rFonts w:hint="cs"/>
          <w:rtl/>
        </w:rPr>
        <w:t>أ</w:t>
      </w:r>
      <w:r w:rsidR="00F67FBD">
        <w:rPr>
          <w:rFonts w:hint="cs"/>
          <w:rtl/>
        </w:rPr>
        <w:t>عجبوا للغاية بمتنها</w:t>
      </w:r>
      <w:r w:rsidR="00B71184">
        <w:rPr>
          <w:rFonts w:hint="cs"/>
          <w:rtl/>
        </w:rPr>
        <w:t xml:space="preserve"> ووصفوه بأ</w:t>
      </w:r>
      <w:r w:rsidR="00F67FBD">
        <w:rPr>
          <w:rFonts w:hint="cs"/>
          <w:rtl/>
        </w:rPr>
        <w:t>ن</w:t>
      </w:r>
      <w:r w:rsidR="00B71184">
        <w:rPr>
          <w:rFonts w:hint="cs"/>
          <w:rtl/>
        </w:rPr>
        <w:t>ّ فيه إعجازاً وأ</w:t>
      </w:r>
      <w:r w:rsidR="00F67FBD">
        <w:rPr>
          <w:rFonts w:hint="cs"/>
          <w:rtl/>
        </w:rPr>
        <w:t>ن</w:t>
      </w:r>
      <w:r w:rsidR="00B71184">
        <w:rPr>
          <w:rFonts w:hint="cs"/>
          <w:rtl/>
        </w:rPr>
        <w:t>ّ</w:t>
      </w:r>
      <w:r w:rsidR="00F67FBD">
        <w:rPr>
          <w:rFonts w:hint="cs"/>
          <w:rtl/>
        </w:rPr>
        <w:t>ه فوق كلام البشر</w:t>
      </w:r>
      <w:r w:rsidR="00B71184">
        <w:rPr>
          <w:rFonts w:hint="cs"/>
          <w:rtl/>
        </w:rPr>
        <w:t>،</w:t>
      </w:r>
      <w:r w:rsidR="00F67FBD">
        <w:rPr>
          <w:rFonts w:hint="cs"/>
          <w:rtl/>
        </w:rPr>
        <w:t xml:space="preserve"> وغير ذلك من الكلام الكثير الذي يمكن للمتابع مراجعته في التراث، حتى تمّ ت</w:t>
      </w:r>
      <w:r w:rsidR="00B71184">
        <w:rPr>
          <w:rFonts w:hint="cs"/>
          <w:rtl/>
        </w:rPr>
        <w:t>و</w:t>
      </w:r>
      <w:r w:rsidR="00F67FBD">
        <w:rPr>
          <w:rFonts w:hint="cs"/>
          <w:rtl/>
        </w:rPr>
        <w:t>ظيف كلام كث</w:t>
      </w:r>
      <w:r w:rsidR="00B71184">
        <w:rPr>
          <w:rFonts w:hint="cs"/>
          <w:rtl/>
        </w:rPr>
        <w:t>ي</w:t>
      </w:r>
      <w:r w:rsidR="00F67FBD">
        <w:rPr>
          <w:rFonts w:hint="cs"/>
          <w:rtl/>
        </w:rPr>
        <w:t>رين لهم نزعة صوفي</w:t>
      </w:r>
      <w:r w:rsidR="00B71184">
        <w:rPr>
          <w:rFonts w:hint="cs"/>
          <w:rtl/>
        </w:rPr>
        <w:t>ّ</w:t>
      </w:r>
      <w:r w:rsidR="00F67FBD">
        <w:rPr>
          <w:rFonts w:hint="cs"/>
          <w:rtl/>
        </w:rPr>
        <w:t xml:space="preserve">ة عرفانية </w:t>
      </w:r>
      <w:r w:rsidR="00B71184">
        <w:rPr>
          <w:rFonts w:hint="cs"/>
          <w:rtl/>
        </w:rPr>
        <w:t>ا</w:t>
      </w:r>
      <w:r w:rsidR="00F67FBD">
        <w:rPr>
          <w:rFonts w:hint="cs"/>
          <w:rtl/>
        </w:rPr>
        <w:t xml:space="preserve">عتبروها من </w:t>
      </w:r>
      <w:r w:rsidR="00B71184">
        <w:rPr>
          <w:rFonts w:hint="cs"/>
          <w:rtl/>
        </w:rPr>
        <w:t>التنزيلات ال</w:t>
      </w:r>
      <w:r w:rsidR="00F67FBD">
        <w:rPr>
          <w:rFonts w:hint="cs"/>
          <w:rtl/>
        </w:rPr>
        <w:t>سماوي</w:t>
      </w:r>
      <w:r w:rsidR="00B71184">
        <w:rPr>
          <w:rFonts w:hint="cs"/>
          <w:rtl/>
        </w:rPr>
        <w:t>ّ</w:t>
      </w:r>
      <w:r w:rsidR="00F67FBD">
        <w:rPr>
          <w:rFonts w:hint="cs"/>
          <w:rtl/>
        </w:rPr>
        <w:t>ة</w:t>
      </w:r>
      <w:r w:rsidR="00B71184">
        <w:rPr>
          <w:rFonts w:hint="cs"/>
          <w:rtl/>
        </w:rPr>
        <w:t>.</w:t>
      </w:r>
      <w:r w:rsidR="006B3B03">
        <w:rPr>
          <w:rFonts w:hint="cs"/>
          <w:rtl/>
        </w:rPr>
        <w:t xml:space="preserve"> وكذلك القول بأنّ مضمونها متناسب مع مفاهيم التشيّع في تلك الفترة غير ملوّث بمفاهيم لاحقة يفترض أنّ الرواة يضيفونها لو كانوا وضعوا الصحيفة وغير ذلك، وكذا علوّ المضامين قياساً بنوعي</w:t>
      </w:r>
      <w:r w:rsidR="000D400B">
        <w:rPr>
          <w:rFonts w:hint="cs"/>
          <w:rtl/>
        </w:rPr>
        <w:t>ّة النقلة حيث لا يحتمل أ</w:t>
      </w:r>
      <w:r w:rsidR="006B3B03">
        <w:rPr>
          <w:rFonts w:hint="cs"/>
          <w:rtl/>
        </w:rPr>
        <w:t>نّ من عليهم</w:t>
      </w:r>
      <w:r w:rsidR="000D400B">
        <w:rPr>
          <w:rFonts w:hint="cs"/>
          <w:rtl/>
        </w:rPr>
        <w:t xml:space="preserve"> </w:t>
      </w:r>
      <w:r w:rsidR="006B3B03">
        <w:rPr>
          <w:rFonts w:hint="cs"/>
          <w:rtl/>
        </w:rPr>
        <w:t>مدار الحديث كانوا قادرين على الوصول إلى مفاهيم وبيانات من هذا النوع</w:t>
      </w:r>
      <w:r w:rsidR="000D400B">
        <w:rPr>
          <w:rFonts w:hint="cs"/>
          <w:rtl/>
        </w:rPr>
        <w:t>، فهذا كلّه قد يعطي نوع وثوق إجمالي جعلهم يثقون بالصحيفة</w:t>
      </w:r>
      <w:r w:rsidR="006B3B03">
        <w:rPr>
          <w:rFonts w:hint="cs"/>
          <w:rtl/>
        </w:rPr>
        <w:t>.</w:t>
      </w:r>
    </w:p>
    <w:p w14:paraId="6C476EEF" w14:textId="77777777" w:rsidR="00F67FBD" w:rsidRDefault="00B71184" w:rsidP="00B71184">
      <w:pPr>
        <w:spacing w:line="214" w:lineRule="auto"/>
        <w:rPr>
          <w:rtl/>
        </w:rPr>
      </w:pPr>
      <w:r>
        <w:rPr>
          <w:rFonts w:hint="cs"/>
          <w:rtl/>
        </w:rPr>
        <w:t>كما أنّ</w:t>
      </w:r>
      <w:r w:rsidR="00F67FBD">
        <w:rPr>
          <w:rFonts w:hint="cs"/>
          <w:rtl/>
        </w:rPr>
        <w:t xml:space="preserve"> </w:t>
      </w:r>
      <w:r w:rsidR="000A4159" w:rsidRPr="00822CE9">
        <w:rPr>
          <w:rFonts w:hint="cs"/>
          <w:rtl/>
        </w:rPr>
        <w:t xml:space="preserve">المقدّمة المنقولة شفاهاً </w:t>
      </w:r>
      <w:r>
        <w:rPr>
          <w:rFonts w:hint="cs"/>
          <w:rtl/>
        </w:rPr>
        <w:t>والتي تشتمل على موضع الشاه</w:t>
      </w:r>
      <w:r w:rsidR="00F67FBD">
        <w:rPr>
          <w:rFonts w:hint="cs"/>
          <w:rtl/>
        </w:rPr>
        <w:t xml:space="preserve">د هنا، </w:t>
      </w:r>
      <w:r w:rsidR="000A4159" w:rsidRPr="00822CE9">
        <w:rPr>
          <w:rFonts w:hint="cs"/>
          <w:rtl/>
        </w:rPr>
        <w:t>قد لا يحرز أن</w:t>
      </w:r>
      <w:r w:rsidR="00D15EBC">
        <w:rPr>
          <w:rFonts w:hint="cs"/>
          <w:rtl/>
        </w:rPr>
        <w:t>ّ</w:t>
      </w:r>
      <w:r w:rsidR="000A4159" w:rsidRPr="00822CE9">
        <w:rPr>
          <w:rFonts w:hint="cs"/>
          <w:rtl/>
        </w:rPr>
        <w:t>ها صدرت فعلاً</w:t>
      </w:r>
      <w:r w:rsidR="00F67FBD">
        <w:rPr>
          <w:rFonts w:hint="cs"/>
          <w:rtl/>
        </w:rPr>
        <w:t>، بل قد ادّعي أنّ</w:t>
      </w:r>
      <w:r>
        <w:rPr>
          <w:rFonts w:hint="cs"/>
          <w:rtl/>
        </w:rPr>
        <w:t>ه</w:t>
      </w:r>
      <w:r w:rsidR="00F67FBD">
        <w:rPr>
          <w:rFonts w:hint="cs"/>
          <w:rtl/>
        </w:rPr>
        <w:t>ا غير موجودة في النسخ القديمة للصحيفة</w:t>
      </w:r>
      <w:r w:rsidR="000A4159" w:rsidRPr="00822CE9">
        <w:rPr>
          <w:rFonts w:hint="cs"/>
          <w:rtl/>
        </w:rPr>
        <w:t>.</w:t>
      </w:r>
    </w:p>
    <w:p w14:paraId="0B77BEF0" w14:textId="77777777" w:rsidR="00470184" w:rsidRDefault="00470184" w:rsidP="00470184">
      <w:pPr>
        <w:spacing w:line="214" w:lineRule="auto"/>
        <w:rPr>
          <w:rtl/>
        </w:rPr>
      </w:pPr>
      <w:r w:rsidRPr="00166389">
        <w:rPr>
          <w:rFonts w:hint="cs"/>
          <w:b/>
          <w:bCs/>
          <w:rtl/>
        </w:rPr>
        <w:t xml:space="preserve">وقد قال السيد روح الله الخميني في سياق حديثه عن كتاب </w:t>
      </w:r>
      <w:r w:rsidRPr="00166389">
        <w:rPr>
          <w:rFonts w:cs="Cambria" w:hint="cs"/>
          <w:b/>
          <w:bCs/>
          <w:rtl/>
        </w:rPr>
        <w:t>"</w:t>
      </w:r>
      <w:r w:rsidRPr="00166389">
        <w:rPr>
          <w:rFonts w:hint="cs"/>
          <w:b/>
          <w:bCs/>
          <w:rtl/>
        </w:rPr>
        <w:t>مصباح الشريعة":</w:t>
      </w:r>
      <w:r>
        <w:rPr>
          <w:rFonts w:hint="cs"/>
          <w:rtl/>
        </w:rPr>
        <w:t xml:space="preserve"> </w:t>
      </w:r>
      <w:r>
        <w:rPr>
          <w:rFonts w:hint="eastAsia"/>
          <w:rtl/>
        </w:rPr>
        <w:t>«</w:t>
      </w:r>
      <w:r>
        <w:rPr>
          <w:rFonts w:hint="cs"/>
          <w:rtl/>
        </w:rPr>
        <w:t>..</w:t>
      </w:r>
      <w:r w:rsidRPr="00470184">
        <w:rPr>
          <w:rtl/>
        </w:rPr>
        <w:t xml:space="preserve"> وإلا </w:t>
      </w:r>
      <w:r w:rsidRPr="00470184">
        <w:rPr>
          <w:rtl/>
        </w:rPr>
        <w:lastRenderedPageBreak/>
        <w:t>فأبواب المناقشة</w:t>
      </w:r>
      <w:r>
        <w:rPr>
          <w:rFonts w:hint="cs"/>
          <w:rtl/>
        </w:rPr>
        <w:t xml:space="preserve"> </w:t>
      </w:r>
      <w:r>
        <w:rPr>
          <w:rtl/>
        </w:rPr>
        <w:t>في ال</w:t>
      </w:r>
      <w:r>
        <w:rPr>
          <w:rFonts w:hint="cs"/>
          <w:rtl/>
        </w:rPr>
        <w:t>إ</w:t>
      </w:r>
      <w:r w:rsidRPr="00470184">
        <w:rPr>
          <w:rtl/>
        </w:rPr>
        <w:t>سناد والدلالة في كثير منها مفتوحة، حتى في الصحيفة المباركة السجادي</w:t>
      </w:r>
      <w:r>
        <w:rPr>
          <w:rFonts w:hint="cs"/>
          <w:rtl/>
        </w:rPr>
        <w:t>ّ</w:t>
      </w:r>
      <w:r w:rsidRPr="00470184">
        <w:rPr>
          <w:rtl/>
        </w:rPr>
        <w:t>ة</w:t>
      </w:r>
      <w:r>
        <w:rPr>
          <w:rFonts w:hint="cs"/>
          <w:rtl/>
        </w:rPr>
        <w:t xml:space="preserve">، </w:t>
      </w:r>
      <w:r w:rsidRPr="00470184">
        <w:rPr>
          <w:rtl/>
        </w:rPr>
        <w:t>فإن</w:t>
      </w:r>
      <w:r>
        <w:rPr>
          <w:rFonts w:hint="cs"/>
          <w:rtl/>
        </w:rPr>
        <w:t>ّ</w:t>
      </w:r>
      <w:r w:rsidRPr="00470184">
        <w:rPr>
          <w:rtl/>
        </w:rPr>
        <w:t xml:space="preserve"> سندها ضعيف، وعلو</w:t>
      </w:r>
      <w:r>
        <w:rPr>
          <w:rFonts w:hint="cs"/>
          <w:rtl/>
        </w:rPr>
        <w:t>ّ</w:t>
      </w:r>
      <w:r w:rsidRPr="00470184">
        <w:rPr>
          <w:rtl/>
        </w:rPr>
        <w:t xml:space="preserve"> مضمونها وفصاحتها وبلاغتها وإن توجب نحو وثوق على صدورها</w:t>
      </w:r>
      <w:r>
        <w:rPr>
          <w:rFonts w:hint="cs"/>
          <w:rtl/>
        </w:rPr>
        <w:t xml:space="preserve">، </w:t>
      </w:r>
      <w:r w:rsidRPr="00470184">
        <w:rPr>
          <w:rtl/>
        </w:rPr>
        <w:t>لكن لا توجبه في جميع فقراتها واحدة بعد واحدة حتى تكون حج</w:t>
      </w:r>
      <w:r>
        <w:rPr>
          <w:rFonts w:hint="cs"/>
          <w:rtl/>
        </w:rPr>
        <w:t>ّ</w:t>
      </w:r>
      <w:r w:rsidRPr="00470184">
        <w:rPr>
          <w:rtl/>
        </w:rPr>
        <w:t>ة يستدل</w:t>
      </w:r>
      <w:r>
        <w:rPr>
          <w:rFonts w:hint="cs"/>
          <w:rtl/>
        </w:rPr>
        <w:t>ّ</w:t>
      </w:r>
      <w:r w:rsidRPr="00470184">
        <w:rPr>
          <w:rtl/>
        </w:rPr>
        <w:t xml:space="preserve"> بها</w:t>
      </w:r>
      <w:r>
        <w:rPr>
          <w:rFonts w:hint="cs"/>
          <w:rtl/>
        </w:rPr>
        <w:t xml:space="preserve"> </w:t>
      </w:r>
      <w:r w:rsidRPr="00470184">
        <w:rPr>
          <w:rtl/>
        </w:rPr>
        <w:t>في الفقه</w:t>
      </w:r>
      <w:r>
        <w:rPr>
          <w:rFonts w:hint="cs"/>
          <w:rtl/>
        </w:rPr>
        <w:t>.</w:t>
      </w:r>
      <w:r w:rsidRPr="00470184">
        <w:rPr>
          <w:rtl/>
        </w:rPr>
        <w:t xml:space="preserve"> وتلق</w:t>
      </w:r>
      <w:r>
        <w:rPr>
          <w:rFonts w:hint="cs"/>
          <w:rtl/>
        </w:rPr>
        <w:t>ّي</w:t>
      </w:r>
      <w:r w:rsidRPr="00470184">
        <w:rPr>
          <w:rtl/>
        </w:rPr>
        <w:t xml:space="preserve"> أصحابنا إي</w:t>
      </w:r>
      <w:r>
        <w:rPr>
          <w:rFonts w:hint="cs"/>
          <w:rtl/>
        </w:rPr>
        <w:t>ّ</w:t>
      </w:r>
      <w:r w:rsidRPr="00470184">
        <w:rPr>
          <w:rtl/>
        </w:rPr>
        <w:t>اها بالقبول كتلق</w:t>
      </w:r>
      <w:r>
        <w:rPr>
          <w:rFonts w:hint="cs"/>
          <w:rtl/>
        </w:rPr>
        <w:t>ّ</w:t>
      </w:r>
      <w:r w:rsidRPr="00470184">
        <w:rPr>
          <w:rtl/>
        </w:rPr>
        <w:t>يهم نهج البلاغة به لو ثبت في الفقه أيضا</w:t>
      </w:r>
      <w:r>
        <w:rPr>
          <w:rFonts w:hint="cs"/>
          <w:rtl/>
        </w:rPr>
        <w:t xml:space="preserve">ً </w:t>
      </w:r>
      <w:r w:rsidRPr="00470184">
        <w:rPr>
          <w:rtl/>
        </w:rPr>
        <w:t>إن</w:t>
      </w:r>
      <w:r>
        <w:rPr>
          <w:rFonts w:hint="cs"/>
          <w:rtl/>
        </w:rPr>
        <w:t>ّ</w:t>
      </w:r>
      <w:r w:rsidRPr="00470184">
        <w:rPr>
          <w:rtl/>
        </w:rPr>
        <w:t>ما هو على نحو الاجمال</w:t>
      </w:r>
      <w:r>
        <w:rPr>
          <w:rFonts w:hint="cs"/>
          <w:rtl/>
        </w:rPr>
        <w:t>،</w:t>
      </w:r>
      <w:r w:rsidRPr="00470184">
        <w:rPr>
          <w:rtl/>
        </w:rPr>
        <w:t xml:space="preserve"> وهو غير ثابت في جميع الفقرات</w:t>
      </w:r>
      <w:r>
        <w:rPr>
          <w:rFonts w:hint="cs"/>
          <w:rtl/>
        </w:rPr>
        <w:t>..</w:t>
      </w:r>
      <w:r>
        <w:rPr>
          <w:rFonts w:hint="eastAsia"/>
          <w:rtl/>
        </w:rPr>
        <w:t>»</w:t>
      </w:r>
      <w:r w:rsidRPr="000A4159">
        <w:rPr>
          <w:rFonts w:cs="Taher"/>
          <w:vertAlign w:val="superscript"/>
          <w:rtl/>
        </w:rPr>
        <w:t>(</w:t>
      </w:r>
      <w:r w:rsidRPr="000A4159">
        <w:rPr>
          <w:rStyle w:val="FootnoteReference"/>
          <w:rFonts w:cs="Taher"/>
          <w:rtl/>
        </w:rPr>
        <w:footnoteReference w:id="486"/>
      </w:r>
      <w:r w:rsidRPr="000A4159">
        <w:rPr>
          <w:rFonts w:cs="Taher"/>
          <w:vertAlign w:val="superscript"/>
          <w:rtl/>
        </w:rPr>
        <w:t>)</w:t>
      </w:r>
      <w:r>
        <w:rPr>
          <w:rFonts w:hint="eastAsia"/>
          <w:rtl/>
        </w:rPr>
        <w:t>.</w:t>
      </w:r>
    </w:p>
    <w:p w14:paraId="0BE4B743" w14:textId="77777777" w:rsidR="00114E5A" w:rsidRPr="00822CE9" w:rsidRDefault="00114E5A" w:rsidP="007C3F27">
      <w:pPr>
        <w:spacing w:line="214" w:lineRule="auto"/>
        <w:rPr>
          <w:rtl/>
        </w:rPr>
      </w:pPr>
      <w:r w:rsidRPr="00114E5A">
        <w:rPr>
          <w:rFonts w:hint="cs"/>
          <w:b/>
          <w:bCs/>
          <w:rtl/>
        </w:rPr>
        <w:t>والنتيجة</w:t>
      </w:r>
      <w:r>
        <w:rPr>
          <w:rFonts w:hint="cs"/>
          <w:rtl/>
        </w:rPr>
        <w:t>: إنّ سند الصحيفة السجاديّة غير معتبر بطرق الإماميّة لها، لكنّ هذا لا يعني رفض الصحيفة مطلقاً، بل يتطلّب دراسةً شيعيّة عامّة؛ لأنّ المفروض أنّ هذه الصحيفة متداولة عند الزيدية والإسماعيليّة (على ما قيل) والإماميّة معاً، فالقول النهائيُّ فيها يحتاج لمتابعةٍ مذهبيّة شيعيّة شاملة</w:t>
      </w:r>
      <w:r w:rsidR="00144C7A">
        <w:rPr>
          <w:rFonts w:hint="cs"/>
          <w:rtl/>
        </w:rPr>
        <w:t>، فقد تتعاضد الأسانيد والطرق</w:t>
      </w:r>
      <w:r>
        <w:rPr>
          <w:rFonts w:hint="cs"/>
          <w:rtl/>
        </w:rPr>
        <w:t xml:space="preserve">. </w:t>
      </w:r>
      <w:r w:rsidR="007C3F27">
        <w:rPr>
          <w:rFonts w:hint="cs"/>
          <w:rtl/>
        </w:rPr>
        <w:t>وإن كان ـ وفقاً لما عثرت عليه ـ فإنّ الكل ينتهي لسندٍ واحد وهو السند الذي ذكرناه</w:t>
      </w:r>
      <w:r w:rsidR="002B6D56" w:rsidRPr="000A4159">
        <w:rPr>
          <w:rFonts w:cs="Taher"/>
          <w:vertAlign w:val="superscript"/>
          <w:rtl/>
        </w:rPr>
        <w:t>(</w:t>
      </w:r>
      <w:r w:rsidR="002B6D56" w:rsidRPr="000A4159">
        <w:rPr>
          <w:rStyle w:val="FootnoteReference"/>
          <w:rFonts w:cs="Taher"/>
          <w:rtl/>
        </w:rPr>
        <w:footnoteReference w:id="487"/>
      </w:r>
      <w:r w:rsidR="002B6D56" w:rsidRPr="000A4159">
        <w:rPr>
          <w:rFonts w:cs="Taher"/>
          <w:vertAlign w:val="superscript"/>
          <w:rtl/>
        </w:rPr>
        <w:t>)</w:t>
      </w:r>
      <w:r w:rsidR="007C3F27">
        <w:rPr>
          <w:rFonts w:hint="cs"/>
          <w:rtl/>
        </w:rPr>
        <w:t xml:space="preserve">. </w:t>
      </w:r>
      <w:r>
        <w:rPr>
          <w:rFonts w:hint="cs"/>
          <w:rtl/>
        </w:rPr>
        <w:t>نعم هذه الصحيفة لا إسناد لها عند أهل السنّة حسب الظاهر، ولكنّ هذا لا يضرّ لو حصلنا على طرق توجب الاعتماد عليها؛ لأنّ الإمام زين العابدين معروف في وسط شيعته، فيُكتفى بما يُنقل عنه من قبلهم، ما دام لا إشكاليّة فيه. وطبيعة الموضوع ليس مما يتطلّب ـ لو كان ـ أن تنقله كلّ المذاهب.</w:t>
      </w:r>
    </w:p>
    <w:p w14:paraId="6057300C" w14:textId="77777777" w:rsidR="000A4159" w:rsidRPr="00822CE9" w:rsidRDefault="000A4159" w:rsidP="00144C7A">
      <w:pPr>
        <w:spacing w:line="214" w:lineRule="auto"/>
        <w:rPr>
          <w:rtl/>
        </w:rPr>
      </w:pPr>
      <w:r w:rsidRPr="00D15EBC">
        <w:rPr>
          <w:rFonts w:hint="cs"/>
          <w:b/>
          <w:bCs/>
          <w:rtl/>
        </w:rPr>
        <w:t xml:space="preserve">ثانياً: </w:t>
      </w:r>
      <w:r w:rsidRPr="00822CE9">
        <w:rPr>
          <w:rFonts w:hint="cs"/>
          <w:rtl/>
        </w:rPr>
        <w:t>إنّ ظاهر الرواية الحديث عن خروج أحد أئم</w:t>
      </w:r>
      <w:r w:rsidR="00D15EBC">
        <w:rPr>
          <w:rFonts w:hint="cs"/>
          <w:rtl/>
        </w:rPr>
        <w:t>ّ</w:t>
      </w:r>
      <w:r w:rsidRPr="00822CE9">
        <w:rPr>
          <w:rFonts w:hint="cs"/>
          <w:rtl/>
        </w:rPr>
        <w:t xml:space="preserve">ة </w:t>
      </w:r>
      <w:r w:rsidR="009A1626" w:rsidRPr="00822CE9">
        <w:rPr>
          <w:rFonts w:hint="cs"/>
          <w:rtl/>
        </w:rPr>
        <w:t>أهل البيت</w:t>
      </w:r>
      <w:r w:rsidR="00D15EBC">
        <w:rPr>
          <w:rFonts w:hint="cs"/>
          <w:rtl/>
        </w:rPr>
        <w:t>،</w:t>
      </w:r>
      <w:r w:rsidRPr="00822CE9">
        <w:rPr>
          <w:rFonts w:hint="cs"/>
          <w:rtl/>
        </w:rPr>
        <w:t xml:space="preserve"> بقرينة «منّا أهل البيت»، فلا يكون لها علاقة ببحثنا، وإن</w:t>
      </w:r>
      <w:r w:rsidR="00D15EBC">
        <w:rPr>
          <w:rFonts w:hint="cs"/>
          <w:rtl/>
        </w:rPr>
        <w:t>ّ</w:t>
      </w:r>
      <w:r w:rsidRPr="00822CE9">
        <w:rPr>
          <w:rFonts w:hint="cs"/>
          <w:rtl/>
        </w:rPr>
        <w:t>ما تشير إلى خروجهم وتفسّر عدم ثورتهم حتى الإمام العسكري؛ فلا علاقة لها ببحثنا هنا</w:t>
      </w:r>
      <w:r w:rsidRPr="000A4159">
        <w:rPr>
          <w:rFonts w:cs="Taher"/>
          <w:vertAlign w:val="superscript"/>
          <w:rtl/>
        </w:rPr>
        <w:t>(</w:t>
      </w:r>
      <w:r w:rsidRPr="000A4159">
        <w:rPr>
          <w:rStyle w:val="FootnoteReference"/>
          <w:rFonts w:cs="Taher"/>
          <w:rtl/>
        </w:rPr>
        <w:footnoteReference w:id="488"/>
      </w:r>
      <w:r w:rsidRPr="000A4159">
        <w:rPr>
          <w:rFonts w:cs="Taher"/>
          <w:vertAlign w:val="superscript"/>
          <w:rtl/>
        </w:rPr>
        <w:t>)</w:t>
      </w:r>
      <w:r w:rsidRPr="00822CE9">
        <w:rPr>
          <w:rtl/>
        </w:rPr>
        <w:t>.</w:t>
      </w:r>
      <w:r w:rsidR="00144C7A">
        <w:rPr>
          <w:rFonts w:hint="cs"/>
          <w:rtl/>
        </w:rPr>
        <w:t xml:space="preserve"> إلا إذا فسّرنا كلمة </w:t>
      </w:r>
      <w:r w:rsidR="00144C7A">
        <w:rPr>
          <w:rFonts w:hint="eastAsia"/>
          <w:rtl/>
        </w:rPr>
        <w:t>«</w:t>
      </w:r>
      <w:r w:rsidR="00144C7A">
        <w:rPr>
          <w:rFonts w:hint="cs"/>
          <w:rtl/>
        </w:rPr>
        <w:t>منّا</w:t>
      </w:r>
      <w:r w:rsidR="00144C7A">
        <w:rPr>
          <w:rFonts w:hint="eastAsia"/>
          <w:rtl/>
        </w:rPr>
        <w:t>»</w:t>
      </w:r>
      <w:r w:rsidR="00144C7A">
        <w:rPr>
          <w:rFonts w:hint="cs"/>
          <w:rtl/>
        </w:rPr>
        <w:t xml:space="preserve"> بمطلق البيت العلوي أو الفاطمي.</w:t>
      </w:r>
    </w:p>
    <w:p w14:paraId="0BDB2ABB" w14:textId="77777777" w:rsidR="000A4159" w:rsidRPr="00822CE9" w:rsidRDefault="000A4159" w:rsidP="00297EF4">
      <w:pPr>
        <w:pStyle w:val="normal930"/>
        <w:rPr>
          <w:rtl/>
        </w:rPr>
      </w:pPr>
      <w:r w:rsidRPr="00D15EBC">
        <w:rPr>
          <w:rFonts w:hint="cs"/>
          <w:b/>
          <w:bCs/>
          <w:rtl/>
        </w:rPr>
        <w:t xml:space="preserve">ثالثاً: </w:t>
      </w:r>
      <w:r w:rsidRPr="00822CE9">
        <w:rPr>
          <w:rFonts w:hint="cs"/>
          <w:rtl/>
        </w:rPr>
        <w:t xml:space="preserve">إنّ هذه الرواية تشير إلى من خرج وسيخرج من </w:t>
      </w:r>
      <w:r w:rsidR="009A1626" w:rsidRPr="00822CE9">
        <w:rPr>
          <w:rFonts w:hint="cs"/>
          <w:rtl/>
        </w:rPr>
        <w:t>أهل البيت</w:t>
      </w:r>
      <w:r w:rsidRPr="00822CE9">
        <w:rPr>
          <w:rFonts w:hint="cs"/>
          <w:rtl/>
        </w:rPr>
        <w:t>، ولا شك</w:t>
      </w:r>
      <w:r w:rsidR="00D15EBC">
        <w:rPr>
          <w:rFonts w:hint="cs"/>
          <w:rtl/>
        </w:rPr>
        <w:t>ّ</w:t>
      </w:r>
      <w:r w:rsidRPr="00822CE9">
        <w:rPr>
          <w:rFonts w:hint="cs"/>
          <w:rtl/>
        </w:rPr>
        <w:t xml:space="preserve"> أن</w:t>
      </w:r>
      <w:r w:rsidR="00D15EBC">
        <w:rPr>
          <w:rFonts w:hint="cs"/>
          <w:rtl/>
        </w:rPr>
        <w:t>ّ</w:t>
      </w:r>
      <w:r w:rsidRPr="00822CE9">
        <w:rPr>
          <w:rFonts w:hint="cs"/>
          <w:rtl/>
        </w:rPr>
        <w:t>ها تشمل الإمام الحسين</w:t>
      </w:r>
      <w:r w:rsidR="00D15EBC">
        <w:rPr>
          <w:rFonts w:hint="cs"/>
          <w:rtl/>
        </w:rPr>
        <w:t>،</w:t>
      </w:r>
      <w:r w:rsidRPr="00822CE9">
        <w:rPr>
          <w:rFonts w:hint="cs"/>
          <w:rtl/>
        </w:rPr>
        <w:t xml:space="preserve"> فإذا كانت دالةً على تحريم الخروج وذمّه لزم أن تذم</w:t>
      </w:r>
      <w:r w:rsidR="00D15EBC">
        <w:rPr>
          <w:rFonts w:hint="cs"/>
          <w:rtl/>
        </w:rPr>
        <w:t>ّ</w:t>
      </w:r>
      <w:r w:rsidRPr="00822CE9">
        <w:rPr>
          <w:rFonts w:hint="cs"/>
          <w:rtl/>
        </w:rPr>
        <w:t xml:space="preserve"> الحسين</w:t>
      </w:r>
      <w:r w:rsidR="00D15EBC">
        <w:rPr>
          <w:rFonts w:hint="cs"/>
          <w:rtl/>
        </w:rPr>
        <w:t xml:space="preserve">، </w:t>
      </w:r>
      <w:r w:rsidRPr="00822CE9">
        <w:rPr>
          <w:rFonts w:hint="cs"/>
          <w:rtl/>
        </w:rPr>
        <w:t>فيكون ذلك دليل الوضع فيها، وإذا كانت بصدد محض الإخبار بلا ذم</w:t>
      </w:r>
      <w:r w:rsidR="00D15EBC">
        <w:rPr>
          <w:rFonts w:hint="cs"/>
          <w:rtl/>
        </w:rPr>
        <w:t>ٍّ</w:t>
      </w:r>
      <w:r w:rsidRPr="00822CE9">
        <w:rPr>
          <w:rFonts w:hint="cs"/>
          <w:rtl/>
        </w:rPr>
        <w:t xml:space="preserve"> ولا طعن، فلا تكون دالّةً على التحريم من رأس، فلا تنفع في بحثنا هذا.</w:t>
      </w:r>
    </w:p>
    <w:p w14:paraId="720310C3" w14:textId="77777777" w:rsidR="000A4159" w:rsidRPr="00822CE9" w:rsidRDefault="000A4159" w:rsidP="00A079D6">
      <w:pPr>
        <w:spacing w:line="214" w:lineRule="auto"/>
        <w:rPr>
          <w:rtl/>
        </w:rPr>
      </w:pPr>
      <w:r w:rsidRPr="00822CE9">
        <w:rPr>
          <w:rFonts w:hint="cs"/>
          <w:rtl/>
        </w:rPr>
        <w:lastRenderedPageBreak/>
        <w:t>وقد أشار الشيخ المنتظري إلى هذا الوجه</w:t>
      </w:r>
      <w:r w:rsidRPr="000A4159">
        <w:rPr>
          <w:rFonts w:cs="Taher"/>
          <w:vertAlign w:val="superscript"/>
          <w:rtl/>
        </w:rPr>
        <w:t>(</w:t>
      </w:r>
      <w:r w:rsidRPr="000A4159">
        <w:rPr>
          <w:rStyle w:val="FootnoteReference"/>
          <w:rFonts w:cs="Taher"/>
          <w:rtl/>
        </w:rPr>
        <w:footnoteReference w:id="489"/>
      </w:r>
      <w:r w:rsidRPr="000A4159">
        <w:rPr>
          <w:rFonts w:cs="Taher"/>
          <w:vertAlign w:val="superscript"/>
          <w:rtl/>
        </w:rPr>
        <w:t>)</w:t>
      </w:r>
      <w:r w:rsidR="00D15EBC">
        <w:rPr>
          <w:rFonts w:hint="cs"/>
          <w:rtl/>
        </w:rPr>
        <w:t xml:space="preserve">، </w:t>
      </w:r>
      <w:r w:rsidRPr="00822CE9">
        <w:rPr>
          <w:rFonts w:hint="cs"/>
          <w:rtl/>
        </w:rPr>
        <w:t>لكن</w:t>
      </w:r>
      <w:r w:rsidR="00D15EBC">
        <w:rPr>
          <w:rFonts w:hint="cs"/>
          <w:rtl/>
        </w:rPr>
        <w:t>ّ</w:t>
      </w:r>
      <w:r w:rsidRPr="00822CE9">
        <w:rPr>
          <w:rFonts w:hint="cs"/>
          <w:rtl/>
        </w:rPr>
        <w:t>نا طوّرناه بهذه الصيغة ليكون أكثر دق</w:t>
      </w:r>
      <w:r w:rsidR="00D15EBC">
        <w:rPr>
          <w:rFonts w:hint="cs"/>
          <w:rtl/>
        </w:rPr>
        <w:t>ّ</w:t>
      </w:r>
      <w:r w:rsidRPr="00822CE9">
        <w:rPr>
          <w:rFonts w:hint="cs"/>
          <w:rtl/>
        </w:rPr>
        <w:t>ةً.</w:t>
      </w:r>
    </w:p>
    <w:p w14:paraId="7AA6F7F5" w14:textId="77777777" w:rsidR="000A4159" w:rsidRPr="00822CE9" w:rsidRDefault="00BA3D3D" w:rsidP="00297EF4">
      <w:pPr>
        <w:pStyle w:val="normal84"/>
        <w:rPr>
          <w:rtl/>
        </w:rPr>
      </w:pPr>
      <w:r w:rsidRPr="00BA3D3D">
        <w:rPr>
          <w:rFonts w:hint="cs"/>
          <w:b/>
          <w:bCs/>
          <w:rtl/>
        </w:rPr>
        <w:t xml:space="preserve">الرواية الرابعة والعشرون: </w:t>
      </w:r>
      <w:r w:rsidR="000A4159" w:rsidRPr="00BA3D3D">
        <w:rPr>
          <w:rFonts w:hint="cs"/>
          <w:b/>
          <w:bCs/>
          <w:rtl/>
        </w:rPr>
        <w:t>خبر أبي بصير،</w:t>
      </w:r>
      <w:r w:rsidR="000A4159" w:rsidRPr="00822CE9">
        <w:rPr>
          <w:rFonts w:hint="cs"/>
          <w:rtl/>
        </w:rPr>
        <w:t xml:space="preserve"> عن أبي عبد الله</w:t>
      </w:r>
      <w:r w:rsidR="009A1626" w:rsidRPr="00822CE9">
        <w:rPr>
          <w:rFonts w:hint="cs"/>
          <w:rtl/>
        </w:rPr>
        <w:t>×</w:t>
      </w:r>
      <w:r w:rsidR="000A4159" w:rsidRPr="00822CE9">
        <w:rPr>
          <w:rFonts w:hint="cs"/>
          <w:rtl/>
        </w:rPr>
        <w:t>، قال: «لما دخل سلمان</w:t>
      </w:r>
      <w:r>
        <w:rPr>
          <w:rFonts w:hint="cs"/>
          <w:rtl/>
        </w:rPr>
        <w:t xml:space="preserve"> ـ رضي الله عنه ـ </w:t>
      </w:r>
      <w:r w:rsidR="000A4159" w:rsidRPr="00822CE9">
        <w:rPr>
          <w:rFonts w:hint="cs"/>
          <w:rtl/>
        </w:rPr>
        <w:t>الكوفة، ونظر إليها</w:t>
      </w:r>
      <w:r w:rsidR="002836FA">
        <w:rPr>
          <w:rFonts w:hint="cs"/>
          <w:rtl/>
        </w:rPr>
        <w:t>،</w:t>
      </w:r>
      <w:r w:rsidR="000A4159" w:rsidRPr="00822CE9">
        <w:rPr>
          <w:rFonts w:hint="cs"/>
          <w:rtl/>
        </w:rPr>
        <w:t xml:space="preserve"> ذكر ما يكون من بلائها، حتى ذكر ملك بني أمي</w:t>
      </w:r>
      <w:r w:rsidR="002836FA">
        <w:rPr>
          <w:rFonts w:hint="cs"/>
          <w:rtl/>
        </w:rPr>
        <w:t>ّ</w:t>
      </w:r>
      <w:r w:rsidR="000A4159" w:rsidRPr="00822CE9">
        <w:rPr>
          <w:rFonts w:hint="cs"/>
          <w:rtl/>
        </w:rPr>
        <w:t>ة والذين من بعدهم، ثم</w:t>
      </w:r>
      <w:r w:rsidR="002836FA">
        <w:rPr>
          <w:rFonts w:hint="cs"/>
          <w:rtl/>
        </w:rPr>
        <w:t>ّ</w:t>
      </w:r>
      <w:r w:rsidR="000A4159" w:rsidRPr="00822CE9">
        <w:rPr>
          <w:rFonts w:hint="cs"/>
          <w:rtl/>
        </w:rPr>
        <w:t xml:space="preserve"> قال: فإذا كان ذلك فالزموا أحلاس بيوتكم حتى يظهر الطاهر ابن الطاهر المطه</w:t>
      </w:r>
      <w:r w:rsidR="002836FA">
        <w:rPr>
          <w:rFonts w:hint="cs"/>
          <w:rtl/>
        </w:rPr>
        <w:t>ّ</w:t>
      </w:r>
      <w:r w:rsidR="000A4159" w:rsidRPr="00822CE9">
        <w:rPr>
          <w:rFonts w:hint="cs"/>
          <w:rtl/>
        </w:rPr>
        <w:t>ر، ذو الغيبة الشريد الطريد»</w:t>
      </w:r>
      <w:r w:rsidR="000A4159" w:rsidRPr="000A4159">
        <w:rPr>
          <w:rFonts w:cs="Taher"/>
          <w:vertAlign w:val="superscript"/>
          <w:rtl/>
        </w:rPr>
        <w:t>(</w:t>
      </w:r>
      <w:r w:rsidR="000A4159" w:rsidRPr="000A4159">
        <w:rPr>
          <w:rStyle w:val="FootnoteReference"/>
          <w:rFonts w:cs="Taher"/>
          <w:rtl/>
        </w:rPr>
        <w:footnoteReference w:id="490"/>
      </w:r>
      <w:r w:rsidR="000A4159" w:rsidRPr="000A4159">
        <w:rPr>
          <w:rFonts w:cs="Taher"/>
          <w:vertAlign w:val="superscript"/>
          <w:rtl/>
        </w:rPr>
        <w:t>)</w:t>
      </w:r>
      <w:r w:rsidR="000A4159" w:rsidRPr="00822CE9">
        <w:rPr>
          <w:rtl/>
        </w:rPr>
        <w:t>.</w:t>
      </w:r>
    </w:p>
    <w:p w14:paraId="72835A3A" w14:textId="77777777" w:rsidR="000A4159" w:rsidRPr="00822CE9" w:rsidRDefault="000A4159" w:rsidP="00297EF4">
      <w:pPr>
        <w:pStyle w:val="normal84"/>
        <w:rPr>
          <w:rtl/>
        </w:rPr>
      </w:pPr>
      <w:r w:rsidRPr="00822CE9">
        <w:rPr>
          <w:rFonts w:hint="cs"/>
          <w:rtl/>
        </w:rPr>
        <w:t>والراوية تطالب بالجلوس في البيوت إلى ظهور المهدي، وهو مفهوم يقع على خلاف مع مفهوم الثورة.</w:t>
      </w:r>
      <w:r w:rsidR="002836FA">
        <w:rPr>
          <w:rFonts w:hint="cs"/>
          <w:rtl/>
        </w:rPr>
        <w:t xml:space="preserve"> ونقل الإمام الصادق للقصّة، بلا تعقيبٍ أو</w:t>
      </w:r>
      <w:r w:rsidR="00194731">
        <w:rPr>
          <w:rFonts w:hint="cs"/>
          <w:rtl/>
        </w:rPr>
        <w:t xml:space="preserve"> </w:t>
      </w:r>
      <w:r w:rsidR="002836FA">
        <w:rPr>
          <w:rFonts w:hint="cs"/>
          <w:rtl/>
        </w:rPr>
        <w:t>تعليق، يُفهم منه موافقته على المضمون.</w:t>
      </w:r>
    </w:p>
    <w:p w14:paraId="34295663" w14:textId="77777777" w:rsidR="000A4159" w:rsidRPr="00822CE9" w:rsidRDefault="000A4159" w:rsidP="00297EF4">
      <w:pPr>
        <w:pStyle w:val="normal84"/>
        <w:rPr>
          <w:rtl/>
        </w:rPr>
      </w:pPr>
      <w:r w:rsidRPr="00822CE9">
        <w:rPr>
          <w:rFonts w:hint="cs"/>
          <w:rtl/>
        </w:rPr>
        <w:t>و</w:t>
      </w:r>
      <w:r w:rsidR="002836FA">
        <w:rPr>
          <w:rFonts w:hint="cs"/>
          <w:rtl/>
        </w:rPr>
        <w:t xml:space="preserve">المقدار من </w:t>
      </w:r>
      <w:r w:rsidRPr="00822CE9">
        <w:rPr>
          <w:rFonts w:hint="cs"/>
          <w:rtl/>
        </w:rPr>
        <w:t>سند هذه الرواية الوارد في غيبة الطوسي تام</w:t>
      </w:r>
      <w:r w:rsidR="002836FA">
        <w:rPr>
          <w:rFonts w:hint="cs"/>
          <w:rtl/>
        </w:rPr>
        <w:t>ّ</w:t>
      </w:r>
      <w:r w:rsidRPr="00822CE9">
        <w:rPr>
          <w:rFonts w:hint="cs"/>
          <w:rtl/>
        </w:rPr>
        <w:t xml:space="preserve">، وهو يبدأ بأحمد بن إدريس، ولم يحدّد طريق الشيخ الطوسي إلى ابن إدريس فيه، فيكون مرسلاً، </w:t>
      </w:r>
      <w:r w:rsidR="002836FA">
        <w:rPr>
          <w:rFonts w:hint="cs"/>
          <w:rtl/>
        </w:rPr>
        <w:t>لكن للطوسي طريقان إلى أ</w:t>
      </w:r>
      <w:r w:rsidRPr="00822CE9">
        <w:rPr>
          <w:rFonts w:hint="cs"/>
          <w:rtl/>
        </w:rPr>
        <w:t>حمد بن إدريس:</w:t>
      </w:r>
    </w:p>
    <w:p w14:paraId="30E3DC6C" w14:textId="77777777" w:rsidR="000A4159" w:rsidRPr="00822CE9" w:rsidRDefault="000A4159" w:rsidP="00A079D6">
      <w:pPr>
        <w:spacing w:line="214" w:lineRule="auto"/>
        <w:rPr>
          <w:rtl/>
        </w:rPr>
      </w:pPr>
      <w:r w:rsidRPr="00822CE9">
        <w:rPr>
          <w:rFonts w:hint="cs"/>
          <w:rtl/>
        </w:rPr>
        <w:t>الأو</w:t>
      </w:r>
      <w:r w:rsidR="002836FA">
        <w:rPr>
          <w:rFonts w:hint="cs"/>
          <w:rtl/>
        </w:rPr>
        <w:t>ّ</w:t>
      </w:r>
      <w:r w:rsidRPr="00822CE9">
        <w:rPr>
          <w:rFonts w:hint="cs"/>
          <w:rtl/>
        </w:rPr>
        <w:t>ل: في كتاب الفهرست، لكن</w:t>
      </w:r>
      <w:r w:rsidR="002836FA">
        <w:rPr>
          <w:rFonts w:hint="cs"/>
          <w:rtl/>
        </w:rPr>
        <w:t>ّ</w:t>
      </w:r>
      <w:r w:rsidRPr="00822CE9">
        <w:rPr>
          <w:rFonts w:hint="cs"/>
          <w:rtl/>
        </w:rPr>
        <w:t>ه ضعيف بأحمد بن محم</w:t>
      </w:r>
      <w:r w:rsidR="002836FA">
        <w:rPr>
          <w:rFonts w:hint="cs"/>
          <w:rtl/>
        </w:rPr>
        <w:t>ّ</w:t>
      </w:r>
      <w:r w:rsidRPr="00822CE9">
        <w:rPr>
          <w:rFonts w:hint="cs"/>
          <w:rtl/>
        </w:rPr>
        <w:t>د بن جعفر بن سفيان البزوفري</w:t>
      </w:r>
      <w:r w:rsidR="002836FA">
        <w:rPr>
          <w:rFonts w:hint="cs"/>
          <w:rtl/>
        </w:rPr>
        <w:t>،</w:t>
      </w:r>
      <w:r w:rsidRPr="00822CE9">
        <w:rPr>
          <w:rFonts w:hint="cs"/>
          <w:rtl/>
        </w:rPr>
        <w:t xml:space="preserve"> فهو مجهول.</w:t>
      </w:r>
    </w:p>
    <w:p w14:paraId="308BE783" w14:textId="77777777" w:rsidR="000A4159" w:rsidRPr="00822CE9" w:rsidRDefault="000A4159" w:rsidP="00A079D6">
      <w:pPr>
        <w:spacing w:line="214" w:lineRule="auto"/>
        <w:rPr>
          <w:rtl/>
        </w:rPr>
      </w:pPr>
      <w:r w:rsidRPr="00822CE9">
        <w:rPr>
          <w:rFonts w:hint="cs"/>
          <w:rtl/>
        </w:rPr>
        <w:t xml:space="preserve">الثاني: في مشيخة التهذيب والاستبصار، </w:t>
      </w:r>
      <w:r w:rsidR="002836FA">
        <w:rPr>
          <w:rFonts w:hint="cs"/>
          <w:rtl/>
        </w:rPr>
        <w:t>وهو صحيح، إلا</w:t>
      </w:r>
      <w:r w:rsidRPr="00822CE9">
        <w:rPr>
          <w:rFonts w:hint="cs"/>
          <w:rtl/>
        </w:rPr>
        <w:t xml:space="preserve"> أن</w:t>
      </w:r>
      <w:r w:rsidR="002836FA">
        <w:rPr>
          <w:rFonts w:hint="cs"/>
          <w:rtl/>
        </w:rPr>
        <w:t>ّ</w:t>
      </w:r>
      <w:r w:rsidRPr="00822CE9">
        <w:rPr>
          <w:rFonts w:hint="cs"/>
          <w:rtl/>
        </w:rPr>
        <w:t xml:space="preserve"> هذه الرواية لم ترد في التهذيب ولا في الاستبصار، وفي المشيخة قال: «وما ذكرته عن أحمد بن أدريس»</w:t>
      </w:r>
      <w:r w:rsidRPr="000A4159">
        <w:rPr>
          <w:rFonts w:cs="Taher"/>
          <w:vertAlign w:val="superscript"/>
          <w:rtl/>
        </w:rPr>
        <w:t>(</w:t>
      </w:r>
      <w:r w:rsidRPr="000A4159">
        <w:rPr>
          <w:rStyle w:val="FootnoteReference"/>
          <w:rFonts w:cs="Taher"/>
          <w:rtl/>
        </w:rPr>
        <w:footnoteReference w:id="491"/>
      </w:r>
      <w:r w:rsidRPr="000A4159">
        <w:rPr>
          <w:rFonts w:cs="Taher"/>
          <w:vertAlign w:val="superscript"/>
          <w:rtl/>
        </w:rPr>
        <w:t>)</w:t>
      </w:r>
      <w:r w:rsidRPr="00822CE9">
        <w:rPr>
          <w:rtl/>
        </w:rPr>
        <w:t xml:space="preserve">، </w:t>
      </w:r>
      <w:r w:rsidRPr="00822CE9">
        <w:rPr>
          <w:rFonts w:hint="cs"/>
          <w:rtl/>
        </w:rPr>
        <w:t>وظاهر ما ذكره في هذين الكتابين، فلا يحرز أن</w:t>
      </w:r>
      <w:r w:rsidR="002836FA">
        <w:rPr>
          <w:rFonts w:hint="cs"/>
          <w:rtl/>
        </w:rPr>
        <w:t>ّ</w:t>
      </w:r>
      <w:r w:rsidRPr="00822CE9">
        <w:rPr>
          <w:rFonts w:hint="cs"/>
          <w:rtl/>
        </w:rPr>
        <w:t>ه طريق لما ورد في سائر الكتب.</w:t>
      </w:r>
    </w:p>
    <w:p w14:paraId="023D62FC" w14:textId="77777777" w:rsidR="000A4159" w:rsidRDefault="000A4159" w:rsidP="00144C7A">
      <w:pPr>
        <w:spacing w:line="214" w:lineRule="auto"/>
        <w:rPr>
          <w:rtl/>
        </w:rPr>
      </w:pPr>
      <w:r w:rsidRPr="00822CE9">
        <w:rPr>
          <w:rFonts w:hint="cs"/>
          <w:rtl/>
        </w:rPr>
        <w:t>فالرواية ضعيفة السند</w:t>
      </w:r>
      <w:r w:rsidR="00144C7A">
        <w:rPr>
          <w:rFonts w:hint="cs"/>
          <w:rtl/>
        </w:rPr>
        <w:t>، بل في النفس شيءٌ من المتن وإمكاناته التاريخيّة ولغته وتركيبه اللفظي.</w:t>
      </w:r>
    </w:p>
    <w:p w14:paraId="080B2196" w14:textId="77777777" w:rsidR="00021A58" w:rsidRPr="00021A58" w:rsidRDefault="00021A58" w:rsidP="000153E6">
      <w:pPr>
        <w:pStyle w:val="Heading4"/>
        <w:rPr>
          <w:rtl/>
        </w:rPr>
      </w:pPr>
      <w:bookmarkStart w:id="243" w:name="_Toc143804201"/>
      <w:bookmarkStart w:id="244" w:name="_Toc238123326"/>
      <w:r w:rsidRPr="00021A58">
        <w:rPr>
          <w:rFonts w:hint="cs"/>
          <w:rtl/>
        </w:rPr>
        <w:t xml:space="preserve">مع رواية </w:t>
      </w:r>
      <w:r>
        <w:rPr>
          <w:rFonts w:hint="cs"/>
          <w:rtl/>
        </w:rPr>
        <w:t>"</w:t>
      </w:r>
      <w:r w:rsidRPr="00021A58">
        <w:rPr>
          <w:rFonts w:hint="cs"/>
          <w:rtl/>
        </w:rPr>
        <w:t>نار آذربيجان</w:t>
      </w:r>
      <w:r>
        <w:rPr>
          <w:rFonts w:hint="cs"/>
          <w:rtl/>
        </w:rPr>
        <w:t>"</w:t>
      </w:r>
      <w:r w:rsidRPr="00021A58">
        <w:rPr>
          <w:rFonts w:hint="cs"/>
          <w:rtl/>
        </w:rPr>
        <w:t xml:space="preserve"> في دلالاتها وتطبيقاتها التاريخي</w:t>
      </w:r>
      <w:r>
        <w:rPr>
          <w:rFonts w:hint="cs"/>
          <w:rtl/>
        </w:rPr>
        <w:t>ّ</w:t>
      </w:r>
      <w:r w:rsidRPr="00021A58">
        <w:rPr>
          <w:rFonts w:hint="cs"/>
          <w:rtl/>
        </w:rPr>
        <w:t>ة</w:t>
      </w:r>
      <w:bookmarkEnd w:id="243"/>
      <w:bookmarkEnd w:id="244"/>
    </w:p>
    <w:p w14:paraId="2E142846" w14:textId="77777777" w:rsidR="000A4159" w:rsidRPr="00822CE9" w:rsidRDefault="002836FA" w:rsidP="008D7937">
      <w:pPr>
        <w:spacing w:line="214" w:lineRule="auto"/>
        <w:rPr>
          <w:rtl/>
        </w:rPr>
      </w:pPr>
      <w:r w:rsidRPr="002836FA">
        <w:rPr>
          <w:rFonts w:hint="cs"/>
          <w:b/>
          <w:bCs/>
          <w:rtl/>
        </w:rPr>
        <w:t xml:space="preserve">الرواية الخامسة والعشرون: </w:t>
      </w:r>
      <w:r w:rsidR="000A4159" w:rsidRPr="002836FA">
        <w:rPr>
          <w:rFonts w:hint="cs"/>
          <w:b/>
          <w:bCs/>
          <w:rtl/>
        </w:rPr>
        <w:t>خبر أبي بصير الآخر</w:t>
      </w:r>
      <w:r w:rsidRPr="002836FA">
        <w:rPr>
          <w:rFonts w:hint="cs"/>
          <w:b/>
          <w:bCs/>
          <w:rtl/>
        </w:rPr>
        <w:t>،</w:t>
      </w:r>
      <w:r w:rsidR="000A4159" w:rsidRPr="00822CE9">
        <w:rPr>
          <w:rFonts w:hint="cs"/>
          <w:rtl/>
        </w:rPr>
        <w:t xml:space="preserve"> عن أبي عبد الله</w:t>
      </w:r>
      <w:r w:rsidR="009A1626" w:rsidRPr="00822CE9">
        <w:rPr>
          <w:rFonts w:hint="cs"/>
          <w:rtl/>
        </w:rPr>
        <w:t>×</w:t>
      </w:r>
      <w:r w:rsidR="000A4159" w:rsidRPr="00822CE9">
        <w:rPr>
          <w:rFonts w:hint="cs"/>
          <w:rtl/>
        </w:rPr>
        <w:t xml:space="preserve"> أن</w:t>
      </w:r>
      <w:r>
        <w:rPr>
          <w:rFonts w:hint="cs"/>
          <w:rtl/>
        </w:rPr>
        <w:t>ّ</w:t>
      </w:r>
      <w:r w:rsidR="000A4159" w:rsidRPr="00822CE9">
        <w:rPr>
          <w:rFonts w:hint="cs"/>
          <w:rtl/>
        </w:rPr>
        <w:t xml:space="preserve">ه قال أبي: «لا </w:t>
      </w:r>
      <w:r>
        <w:rPr>
          <w:rFonts w:hint="cs"/>
          <w:rtl/>
        </w:rPr>
        <w:t xml:space="preserve">بدّ </w:t>
      </w:r>
      <w:r w:rsidR="000A4159" w:rsidRPr="00822CE9">
        <w:rPr>
          <w:rFonts w:hint="cs"/>
          <w:rtl/>
        </w:rPr>
        <w:lastRenderedPageBreak/>
        <w:t>لنا</w:t>
      </w:r>
      <w:r>
        <w:rPr>
          <w:rFonts w:hint="cs"/>
          <w:rtl/>
        </w:rPr>
        <w:t>ر</w:t>
      </w:r>
      <w:r w:rsidR="000A4159" w:rsidRPr="00822CE9">
        <w:rPr>
          <w:rFonts w:hint="cs"/>
          <w:rtl/>
        </w:rPr>
        <w:t xml:space="preserve"> </w:t>
      </w:r>
      <w:r>
        <w:rPr>
          <w:rFonts w:hint="cs"/>
          <w:rtl/>
        </w:rPr>
        <w:t>(لنا)</w:t>
      </w:r>
      <w:r w:rsidR="008D7937" w:rsidRPr="000A4159">
        <w:rPr>
          <w:rFonts w:cs="Taher"/>
          <w:vertAlign w:val="superscript"/>
          <w:rtl/>
        </w:rPr>
        <w:t>(</w:t>
      </w:r>
      <w:r w:rsidR="008D7937" w:rsidRPr="000A4159">
        <w:rPr>
          <w:rStyle w:val="FootnoteReference"/>
          <w:rFonts w:cs="Taher"/>
          <w:rtl/>
        </w:rPr>
        <w:footnoteReference w:id="492"/>
      </w:r>
      <w:r w:rsidR="008D7937" w:rsidRPr="000A4159">
        <w:rPr>
          <w:rFonts w:cs="Taher"/>
          <w:vertAlign w:val="superscript"/>
          <w:rtl/>
        </w:rPr>
        <w:t>)</w:t>
      </w:r>
      <w:r>
        <w:rPr>
          <w:rFonts w:hint="cs"/>
          <w:rtl/>
        </w:rPr>
        <w:t xml:space="preserve"> </w:t>
      </w:r>
      <w:r w:rsidR="000A4159" w:rsidRPr="00822CE9">
        <w:rPr>
          <w:rFonts w:hint="cs"/>
          <w:rtl/>
        </w:rPr>
        <w:t>من آذربيجان لا يقوم لها شيء، وإذا كان ذلك فكونوا أحلاس بيوتكم، والبدوا ما ألبدنا، فإذا تحرّك متحرّك (</w:t>
      </w:r>
      <w:r>
        <w:rPr>
          <w:rFonts w:hint="cs"/>
          <w:rtl/>
        </w:rPr>
        <w:t>م</w:t>
      </w:r>
      <w:r w:rsidR="000A4159" w:rsidRPr="00822CE9">
        <w:rPr>
          <w:rFonts w:hint="cs"/>
          <w:rtl/>
        </w:rPr>
        <w:t>تحرّكنا) فاسعوا إليه ولو حبواً.. ويل</w:t>
      </w:r>
      <w:r>
        <w:rPr>
          <w:rFonts w:hint="cs"/>
          <w:rtl/>
        </w:rPr>
        <w:t>ٌ</w:t>
      </w:r>
      <w:r w:rsidR="000A4159" w:rsidRPr="00822CE9">
        <w:rPr>
          <w:rFonts w:hint="cs"/>
          <w:rtl/>
        </w:rPr>
        <w:t xml:space="preserve"> لطغاة العرب من شرّ</w:t>
      </w:r>
      <w:r>
        <w:rPr>
          <w:rFonts w:hint="cs"/>
          <w:rtl/>
        </w:rPr>
        <w:t>ٍ</w:t>
      </w:r>
      <w:r w:rsidR="000A4159" w:rsidRPr="00822CE9">
        <w:rPr>
          <w:rFonts w:hint="cs"/>
          <w:rtl/>
        </w:rPr>
        <w:t xml:space="preserve"> قد اقترب»</w:t>
      </w:r>
      <w:r w:rsidR="000A4159" w:rsidRPr="000A4159">
        <w:rPr>
          <w:rFonts w:cs="Taher"/>
          <w:vertAlign w:val="superscript"/>
          <w:rtl/>
        </w:rPr>
        <w:t>(</w:t>
      </w:r>
      <w:r w:rsidR="000A4159" w:rsidRPr="000A4159">
        <w:rPr>
          <w:rStyle w:val="FootnoteReference"/>
          <w:rFonts w:cs="Taher"/>
          <w:rtl/>
        </w:rPr>
        <w:footnoteReference w:id="493"/>
      </w:r>
      <w:r w:rsidR="000A4159" w:rsidRPr="000A4159">
        <w:rPr>
          <w:rFonts w:cs="Taher"/>
          <w:vertAlign w:val="superscript"/>
          <w:rtl/>
        </w:rPr>
        <w:t>)</w:t>
      </w:r>
      <w:r>
        <w:rPr>
          <w:rtl/>
        </w:rPr>
        <w:t>.</w:t>
      </w:r>
    </w:p>
    <w:p w14:paraId="5659D96A" w14:textId="77777777" w:rsidR="00730BDA" w:rsidRDefault="000A4159" w:rsidP="004022EF">
      <w:pPr>
        <w:spacing w:line="214" w:lineRule="auto"/>
        <w:rPr>
          <w:rtl/>
        </w:rPr>
      </w:pPr>
      <w:r w:rsidRPr="00822CE9">
        <w:rPr>
          <w:rFonts w:hint="cs"/>
          <w:rtl/>
        </w:rPr>
        <w:t>لكن</w:t>
      </w:r>
      <w:r w:rsidR="002836FA">
        <w:rPr>
          <w:rFonts w:hint="cs"/>
          <w:rtl/>
        </w:rPr>
        <w:t>ّ</w:t>
      </w:r>
      <w:r w:rsidRPr="00822CE9">
        <w:rPr>
          <w:rFonts w:hint="cs"/>
          <w:rtl/>
        </w:rPr>
        <w:t xml:space="preserve"> الرواية ضعيفة السند بالحسن بن عل</w:t>
      </w:r>
      <w:r w:rsidR="002836FA">
        <w:rPr>
          <w:rFonts w:hint="cs"/>
          <w:rtl/>
        </w:rPr>
        <w:t>ي</w:t>
      </w:r>
      <w:r w:rsidRPr="00822CE9">
        <w:rPr>
          <w:rFonts w:hint="cs"/>
          <w:rtl/>
        </w:rPr>
        <w:t xml:space="preserve"> بن أبي حمزة البطائني الضعيف الذي وصفه الكشي بالكذ</w:t>
      </w:r>
      <w:r w:rsidR="002836FA">
        <w:rPr>
          <w:rFonts w:hint="cs"/>
          <w:rtl/>
        </w:rPr>
        <w:t>ّ</w:t>
      </w:r>
      <w:r w:rsidRPr="00822CE9">
        <w:rPr>
          <w:rFonts w:hint="cs"/>
          <w:rtl/>
        </w:rPr>
        <w:t>اب</w:t>
      </w:r>
      <w:r w:rsidRPr="000A4159">
        <w:rPr>
          <w:rFonts w:cs="Taher"/>
          <w:vertAlign w:val="superscript"/>
          <w:rtl/>
        </w:rPr>
        <w:t>(</w:t>
      </w:r>
      <w:r w:rsidRPr="000A4159">
        <w:rPr>
          <w:rStyle w:val="FootnoteReference"/>
          <w:rFonts w:cs="Taher"/>
          <w:rtl/>
        </w:rPr>
        <w:footnoteReference w:id="494"/>
      </w:r>
      <w:r w:rsidRPr="000A4159">
        <w:rPr>
          <w:rFonts w:cs="Taher"/>
          <w:vertAlign w:val="superscript"/>
          <w:rtl/>
        </w:rPr>
        <w:t>)</w:t>
      </w:r>
      <w:r w:rsidR="004022EF">
        <w:rPr>
          <w:rFonts w:hint="cs"/>
          <w:rtl/>
        </w:rPr>
        <w:t>.</w:t>
      </w:r>
    </w:p>
    <w:p w14:paraId="4FF699DA" w14:textId="77777777" w:rsidR="00730BDA" w:rsidRDefault="007E1159" w:rsidP="00306F6C">
      <w:pPr>
        <w:spacing w:line="214" w:lineRule="auto"/>
        <w:rPr>
          <w:rtl/>
        </w:rPr>
      </w:pPr>
      <w:r w:rsidRPr="007E1159">
        <w:rPr>
          <w:rFonts w:hint="cs"/>
          <w:b/>
          <w:bCs/>
          <w:rtl/>
        </w:rPr>
        <w:t>ويحتمل في الرواية أن</w:t>
      </w:r>
      <w:r w:rsidR="008D7937" w:rsidRPr="007E1159">
        <w:rPr>
          <w:rFonts w:hint="cs"/>
          <w:b/>
          <w:bCs/>
          <w:rtl/>
        </w:rPr>
        <w:t xml:space="preserve"> يكون المقصود بالنار المعنى الحقيقي كما يحتمل أ</w:t>
      </w:r>
      <w:r w:rsidR="006A5E99" w:rsidRPr="007E1159">
        <w:rPr>
          <w:rFonts w:hint="cs"/>
          <w:b/>
          <w:bCs/>
          <w:rtl/>
        </w:rPr>
        <w:t>ن</w:t>
      </w:r>
      <w:r w:rsidR="008D7937" w:rsidRPr="007E1159">
        <w:rPr>
          <w:rFonts w:hint="cs"/>
          <w:b/>
          <w:bCs/>
          <w:rtl/>
        </w:rPr>
        <w:t xml:space="preserve"> يراد بها الحرب</w:t>
      </w:r>
      <w:r w:rsidR="006A5E99" w:rsidRPr="007E1159">
        <w:rPr>
          <w:rFonts w:hint="cs"/>
          <w:b/>
          <w:bCs/>
          <w:rtl/>
        </w:rPr>
        <w:t>،</w:t>
      </w:r>
      <w:r w:rsidR="008D7937">
        <w:rPr>
          <w:rFonts w:hint="cs"/>
          <w:rtl/>
        </w:rPr>
        <w:t xml:space="preserve"> فكأنّ نار</w:t>
      </w:r>
      <w:r w:rsidR="006A5E99">
        <w:rPr>
          <w:rFonts w:hint="cs"/>
          <w:rtl/>
        </w:rPr>
        <w:t>اً</w:t>
      </w:r>
      <w:r w:rsidR="008D7937">
        <w:rPr>
          <w:rFonts w:hint="cs"/>
          <w:rtl/>
        </w:rPr>
        <w:t xml:space="preserve"> تشتعل أو حرباً تندلع في آ</w:t>
      </w:r>
      <w:r w:rsidR="006A5E99">
        <w:rPr>
          <w:rFonts w:hint="cs"/>
          <w:rtl/>
        </w:rPr>
        <w:t>ذ</w:t>
      </w:r>
      <w:r w:rsidR="008D7937">
        <w:rPr>
          <w:rFonts w:hint="cs"/>
          <w:rtl/>
        </w:rPr>
        <w:t xml:space="preserve">ربيجان ـ والتي هي أوسع من </w:t>
      </w:r>
      <w:r w:rsidR="006A5E99">
        <w:rPr>
          <w:rFonts w:hint="cs"/>
          <w:rtl/>
        </w:rPr>
        <w:t xml:space="preserve">دولة </w:t>
      </w:r>
      <w:r w:rsidR="008D7937">
        <w:rPr>
          <w:rFonts w:hint="cs"/>
          <w:rtl/>
        </w:rPr>
        <w:t>آذربيجان اليوم</w:t>
      </w:r>
      <w:r w:rsidR="006A5E99">
        <w:rPr>
          <w:rFonts w:hint="cs"/>
          <w:rtl/>
        </w:rPr>
        <w:t>،</w:t>
      </w:r>
      <w:r w:rsidR="008D7937">
        <w:rPr>
          <w:rFonts w:hint="cs"/>
          <w:rtl/>
        </w:rPr>
        <w:t xml:space="preserve"> بل تمتد لأردبيل وتبريز</w:t>
      </w:r>
      <w:r w:rsidR="00572E33">
        <w:rPr>
          <w:rFonts w:hint="cs"/>
          <w:rtl/>
        </w:rPr>
        <w:t xml:space="preserve"> ونخج</w:t>
      </w:r>
      <w:r w:rsidR="006A5E99">
        <w:rPr>
          <w:rFonts w:hint="cs"/>
          <w:rtl/>
        </w:rPr>
        <w:t>وان وغيرها</w:t>
      </w:r>
      <w:r w:rsidR="00572E33">
        <w:rPr>
          <w:rFonts w:hint="cs"/>
          <w:rtl/>
        </w:rPr>
        <w:t>،</w:t>
      </w:r>
      <w:r w:rsidR="00E15F1C">
        <w:rPr>
          <w:rFonts w:hint="cs"/>
          <w:rtl/>
        </w:rPr>
        <w:t xml:space="preserve"> </w:t>
      </w:r>
      <w:r w:rsidR="00572E33">
        <w:rPr>
          <w:rFonts w:hint="cs"/>
          <w:rtl/>
        </w:rPr>
        <w:t>وربما قيل بأنّ آ</w:t>
      </w:r>
      <w:r w:rsidR="00E15F1C">
        <w:rPr>
          <w:rFonts w:hint="cs"/>
          <w:rtl/>
        </w:rPr>
        <w:t>ذ</w:t>
      </w:r>
      <w:r w:rsidR="00572E33">
        <w:rPr>
          <w:rFonts w:hint="cs"/>
          <w:rtl/>
        </w:rPr>
        <w:t xml:space="preserve">ربيجان الحالية هي </w:t>
      </w:r>
      <w:r w:rsidR="00E15F1C">
        <w:rPr>
          <w:rFonts w:hint="cs"/>
          <w:rtl/>
        </w:rPr>
        <w:t>أ</w:t>
      </w:r>
      <w:r w:rsidR="00572E33">
        <w:rPr>
          <w:rFonts w:hint="cs"/>
          <w:rtl/>
        </w:rPr>
        <w:t>رّان</w:t>
      </w:r>
      <w:r w:rsidR="00E15F1C">
        <w:rPr>
          <w:rFonts w:hint="cs"/>
          <w:rtl/>
        </w:rPr>
        <w:t>،</w:t>
      </w:r>
      <w:r w:rsidR="00572E33">
        <w:rPr>
          <w:rFonts w:hint="cs"/>
          <w:rtl/>
        </w:rPr>
        <w:t xml:space="preserve"> وليست آذربيجان بالتسمية الجغرافي</w:t>
      </w:r>
      <w:r w:rsidR="00E15F1C">
        <w:rPr>
          <w:rFonts w:hint="cs"/>
          <w:rtl/>
        </w:rPr>
        <w:t>ّ</w:t>
      </w:r>
      <w:r w:rsidR="00572E33">
        <w:rPr>
          <w:rFonts w:hint="cs"/>
          <w:rtl/>
        </w:rPr>
        <w:t>ة القديمة</w:t>
      </w:r>
      <w:r w:rsidR="00194731">
        <w:rPr>
          <w:rFonts w:hint="cs"/>
          <w:rtl/>
        </w:rPr>
        <w:t xml:space="preserve"> </w:t>
      </w:r>
      <w:r w:rsidR="006A5E99">
        <w:rPr>
          <w:rFonts w:hint="cs"/>
          <w:rtl/>
        </w:rPr>
        <w:t xml:space="preserve">ـ وربما </w:t>
      </w:r>
      <w:r w:rsidR="00730BDA">
        <w:rPr>
          <w:rFonts w:hint="cs"/>
          <w:rtl/>
        </w:rPr>
        <w:t>ت</w:t>
      </w:r>
      <w:r w:rsidR="006A5E99">
        <w:rPr>
          <w:rFonts w:hint="cs"/>
          <w:rtl/>
        </w:rPr>
        <w:t>كون هذ</w:t>
      </w:r>
      <w:r w:rsidR="00730BDA">
        <w:rPr>
          <w:rFonts w:hint="cs"/>
          <w:rtl/>
        </w:rPr>
        <w:t xml:space="preserve">ه الحرب أو النار </w:t>
      </w:r>
      <w:r w:rsidR="006A5E99">
        <w:rPr>
          <w:rFonts w:hint="cs"/>
          <w:rtl/>
        </w:rPr>
        <w:t>قد وقع</w:t>
      </w:r>
      <w:r w:rsidR="00730BDA">
        <w:rPr>
          <w:rFonts w:hint="cs"/>
          <w:rtl/>
        </w:rPr>
        <w:t>ت</w:t>
      </w:r>
      <w:r w:rsidR="006A5E99">
        <w:rPr>
          <w:rFonts w:hint="cs"/>
          <w:rtl/>
        </w:rPr>
        <w:t>، أو س</w:t>
      </w:r>
      <w:r w:rsidR="00730BDA">
        <w:rPr>
          <w:rFonts w:hint="cs"/>
          <w:rtl/>
        </w:rPr>
        <w:t>ت</w:t>
      </w:r>
      <w:r w:rsidR="006A5E99">
        <w:rPr>
          <w:rFonts w:hint="cs"/>
          <w:rtl/>
        </w:rPr>
        <w:t>قع</w:t>
      </w:r>
      <w:r w:rsidR="00730BDA">
        <w:rPr>
          <w:rFonts w:hint="cs"/>
          <w:rtl/>
        </w:rPr>
        <w:t>.</w:t>
      </w:r>
      <w:r w:rsidR="006A5E99">
        <w:rPr>
          <w:rFonts w:hint="cs"/>
          <w:rtl/>
        </w:rPr>
        <w:t xml:space="preserve"> وفي عصر المأمون ظهرت المحمّرة </w:t>
      </w:r>
      <w:r w:rsidR="00730BDA">
        <w:rPr>
          <w:rFonts w:hint="cs"/>
          <w:rtl/>
        </w:rPr>
        <w:t xml:space="preserve">(البابكيّة ـ الخرّميّة ـ الخرّمدينية) </w:t>
      </w:r>
      <w:r w:rsidR="006A5E99">
        <w:rPr>
          <w:rFonts w:hint="cs"/>
          <w:rtl/>
        </w:rPr>
        <w:t xml:space="preserve">من آذربيجان </w:t>
      </w:r>
      <w:r w:rsidR="00730BDA">
        <w:rPr>
          <w:rFonts w:hint="cs"/>
          <w:rtl/>
        </w:rPr>
        <w:t xml:space="preserve">الإيرانيّة </w:t>
      </w:r>
      <w:r w:rsidR="006A5E99">
        <w:rPr>
          <w:rFonts w:hint="cs"/>
          <w:rtl/>
        </w:rPr>
        <w:t>وقت</w:t>
      </w:r>
      <w:r w:rsidR="00730BDA">
        <w:rPr>
          <w:rFonts w:hint="cs"/>
          <w:rtl/>
        </w:rPr>
        <w:t xml:space="preserve">لوا </w:t>
      </w:r>
      <w:r w:rsidR="006A5E99">
        <w:rPr>
          <w:rFonts w:hint="cs"/>
          <w:rtl/>
        </w:rPr>
        <w:t>وسف</w:t>
      </w:r>
      <w:r w:rsidR="00730BDA">
        <w:rPr>
          <w:rFonts w:hint="cs"/>
          <w:rtl/>
        </w:rPr>
        <w:t>ك</w:t>
      </w:r>
      <w:r w:rsidR="006A5E99">
        <w:rPr>
          <w:rFonts w:hint="cs"/>
          <w:rtl/>
        </w:rPr>
        <w:t>وا كثيراً</w:t>
      </w:r>
      <w:r w:rsidR="00730BDA" w:rsidRPr="000A4159">
        <w:rPr>
          <w:rFonts w:cs="Taher"/>
          <w:vertAlign w:val="superscript"/>
          <w:rtl/>
        </w:rPr>
        <w:t>(</w:t>
      </w:r>
      <w:r w:rsidR="00730BDA" w:rsidRPr="000A4159">
        <w:rPr>
          <w:rStyle w:val="FootnoteReference"/>
          <w:rFonts w:cs="Taher"/>
          <w:rtl/>
        </w:rPr>
        <w:footnoteReference w:id="495"/>
      </w:r>
      <w:r w:rsidR="00730BDA" w:rsidRPr="000A4159">
        <w:rPr>
          <w:rFonts w:cs="Taher"/>
          <w:vertAlign w:val="superscript"/>
          <w:rtl/>
        </w:rPr>
        <w:t>)</w:t>
      </w:r>
      <w:r w:rsidR="00730BDA">
        <w:rPr>
          <w:rFonts w:hint="cs"/>
          <w:rtl/>
        </w:rPr>
        <w:t>، فلعلّ هذا إشارة لهم وبخاصّة في نقدهم للعرب أو تكون الرواية موضوعة في أيّام خروج البابكيّة لتشجيع الناس على عدم التصدّي لهم.</w:t>
      </w:r>
    </w:p>
    <w:p w14:paraId="4279165D" w14:textId="77777777" w:rsidR="000A4159" w:rsidRDefault="00730BDA" w:rsidP="00306F6C">
      <w:pPr>
        <w:spacing w:line="214" w:lineRule="auto"/>
        <w:rPr>
          <w:rtl/>
        </w:rPr>
      </w:pPr>
      <w:r>
        <w:rPr>
          <w:rFonts w:hint="cs"/>
          <w:rtl/>
        </w:rPr>
        <w:t>وعلى أيّة حال، ف</w:t>
      </w:r>
      <w:r w:rsidR="006A5E99">
        <w:rPr>
          <w:rFonts w:hint="cs"/>
          <w:rtl/>
        </w:rPr>
        <w:t>هذ</w:t>
      </w:r>
      <w:r>
        <w:rPr>
          <w:rFonts w:hint="cs"/>
          <w:rtl/>
        </w:rPr>
        <w:t>ه</w:t>
      </w:r>
      <w:r w:rsidR="006A5E99">
        <w:rPr>
          <w:rFonts w:hint="cs"/>
          <w:rtl/>
        </w:rPr>
        <w:t xml:space="preserve"> </w:t>
      </w:r>
      <w:r w:rsidR="000A4159" w:rsidRPr="00822CE9">
        <w:rPr>
          <w:rFonts w:hint="cs"/>
          <w:rtl/>
        </w:rPr>
        <w:t>الرواية تعلّق ال</w:t>
      </w:r>
      <w:r w:rsidR="008D7937">
        <w:rPr>
          <w:rFonts w:hint="cs"/>
          <w:rtl/>
        </w:rPr>
        <w:t>ل</w:t>
      </w:r>
      <w:r w:rsidR="000A4159" w:rsidRPr="00822CE9">
        <w:rPr>
          <w:rFonts w:hint="cs"/>
          <w:rtl/>
        </w:rPr>
        <w:t>بد على موضوع</w:t>
      </w:r>
      <w:r w:rsidR="006A5E99">
        <w:rPr>
          <w:rFonts w:hint="cs"/>
          <w:rtl/>
        </w:rPr>
        <w:t xml:space="preserve"> آذربيجان</w:t>
      </w:r>
      <w:r w:rsidR="000A4159" w:rsidRPr="00822CE9">
        <w:rPr>
          <w:rFonts w:hint="cs"/>
          <w:rtl/>
        </w:rPr>
        <w:t>، ولعلّها تأتي ولم تحصل بعد</w:t>
      </w:r>
      <w:r w:rsidR="008D7937">
        <w:rPr>
          <w:rFonts w:hint="cs"/>
          <w:rtl/>
        </w:rPr>
        <w:t>ُ</w:t>
      </w:r>
      <w:r w:rsidR="006A5E99">
        <w:rPr>
          <w:rFonts w:hint="cs"/>
          <w:rtl/>
        </w:rPr>
        <w:t xml:space="preserve"> أو حصلت وانقضت</w:t>
      </w:r>
      <w:r w:rsidR="00306F6C">
        <w:rPr>
          <w:rFonts w:hint="cs"/>
          <w:rtl/>
        </w:rPr>
        <w:t>،</w:t>
      </w:r>
      <w:r w:rsidR="006A5E99">
        <w:rPr>
          <w:rFonts w:hint="cs"/>
          <w:rtl/>
        </w:rPr>
        <w:t xml:space="preserve"> والحكم </w:t>
      </w:r>
      <w:r>
        <w:rPr>
          <w:rFonts w:hint="cs"/>
          <w:rtl/>
        </w:rPr>
        <w:t>مرتبط ب</w:t>
      </w:r>
      <w:r w:rsidR="006A5E99">
        <w:rPr>
          <w:rFonts w:hint="cs"/>
          <w:rtl/>
        </w:rPr>
        <w:t>تلك اللحظة</w:t>
      </w:r>
      <w:r w:rsidR="00306F6C">
        <w:rPr>
          <w:rFonts w:hint="cs"/>
          <w:rtl/>
        </w:rPr>
        <w:t xml:space="preserve">، فما لم نحرز تحقّقها لا معنى للقول بوجوب </w:t>
      </w:r>
      <w:r w:rsidR="00306F6C">
        <w:rPr>
          <w:rFonts w:hint="cs"/>
          <w:rtl/>
        </w:rPr>
        <w:lastRenderedPageBreak/>
        <w:t>اللبد</w:t>
      </w:r>
      <w:r w:rsidR="000A4159" w:rsidRPr="00822CE9">
        <w:rPr>
          <w:rFonts w:hint="cs"/>
          <w:rtl/>
        </w:rPr>
        <w:t>.</w:t>
      </w:r>
      <w:r w:rsidR="00572E33">
        <w:rPr>
          <w:rFonts w:hint="cs"/>
          <w:rtl/>
        </w:rPr>
        <w:t xml:space="preserve"> واحتمل بعض</w:t>
      </w:r>
      <w:r>
        <w:rPr>
          <w:rFonts w:hint="cs"/>
          <w:rtl/>
        </w:rPr>
        <w:t>ٌ</w:t>
      </w:r>
      <w:r w:rsidR="00572E33">
        <w:rPr>
          <w:rFonts w:hint="cs"/>
          <w:rtl/>
        </w:rPr>
        <w:t xml:space="preserve"> أنّ آذربيجان ليس إلا كلمة وردت في أحد نسخ النعماني</w:t>
      </w:r>
      <w:r>
        <w:rPr>
          <w:rFonts w:hint="cs"/>
          <w:rtl/>
        </w:rPr>
        <w:t>،</w:t>
      </w:r>
      <w:r w:rsidR="00572E33">
        <w:rPr>
          <w:rFonts w:hint="cs"/>
          <w:rtl/>
        </w:rPr>
        <w:t xml:space="preserve"> وربما يكون الأصل </w:t>
      </w:r>
      <w:r w:rsidR="00572E33">
        <w:rPr>
          <w:rFonts w:hint="eastAsia"/>
          <w:rtl/>
        </w:rPr>
        <w:t>«لنار امتحان</w:t>
      </w:r>
      <w:r w:rsidR="00572E33">
        <w:rPr>
          <w:rFonts w:hint="cs"/>
          <w:rtl/>
        </w:rPr>
        <w:t>»، والعلم عند الله.</w:t>
      </w:r>
    </w:p>
    <w:p w14:paraId="3A5BC347" w14:textId="77777777" w:rsidR="00B54FFE" w:rsidRDefault="008D7937" w:rsidP="00297EF4">
      <w:pPr>
        <w:pStyle w:val="normal84"/>
        <w:rPr>
          <w:rtl/>
        </w:rPr>
      </w:pPr>
      <w:r w:rsidRPr="00B54FFE">
        <w:rPr>
          <w:rFonts w:hint="cs"/>
          <w:b/>
          <w:bCs/>
          <w:rtl/>
        </w:rPr>
        <w:t>وقد علّق السيّد جعفر مرتضى على هذه الرواية</w:t>
      </w:r>
      <w:r w:rsidR="00B54FFE" w:rsidRPr="00B54FFE">
        <w:rPr>
          <w:rFonts w:hint="cs"/>
          <w:b/>
          <w:bCs/>
          <w:rtl/>
        </w:rPr>
        <w:t>،</w:t>
      </w:r>
      <w:r>
        <w:rPr>
          <w:rFonts w:hint="cs"/>
          <w:rtl/>
        </w:rPr>
        <w:t xml:space="preserve"> بقوله: </w:t>
      </w:r>
      <w:r>
        <w:rPr>
          <w:rFonts w:hint="eastAsia"/>
          <w:rtl/>
        </w:rPr>
        <w:t>«</w:t>
      </w:r>
      <w:r w:rsidRPr="008D7937">
        <w:rPr>
          <w:rtl/>
        </w:rPr>
        <w:t>إن</w:t>
      </w:r>
      <w:r>
        <w:rPr>
          <w:rFonts w:hint="cs"/>
          <w:rtl/>
        </w:rPr>
        <w:t>ّ</w:t>
      </w:r>
      <w:r w:rsidRPr="008D7937">
        <w:rPr>
          <w:rtl/>
        </w:rPr>
        <w:t xml:space="preserve"> من الواضح أن</w:t>
      </w:r>
      <w:r>
        <w:rPr>
          <w:rFonts w:hint="cs"/>
          <w:rtl/>
        </w:rPr>
        <w:t>ّ</w:t>
      </w:r>
      <w:r w:rsidRPr="008D7937">
        <w:rPr>
          <w:rtl/>
        </w:rPr>
        <w:t xml:space="preserve"> هذا الحديث ناظر</w:t>
      </w:r>
      <w:r>
        <w:rPr>
          <w:rFonts w:hint="cs"/>
          <w:rtl/>
        </w:rPr>
        <w:t>ٌ</w:t>
      </w:r>
      <w:r w:rsidRPr="008D7937">
        <w:rPr>
          <w:rtl/>
        </w:rPr>
        <w:t xml:space="preserve"> إلى تحصين الشيعة</w:t>
      </w:r>
      <w:r>
        <w:rPr>
          <w:rFonts w:hint="cs"/>
          <w:rtl/>
        </w:rPr>
        <w:t xml:space="preserve"> </w:t>
      </w:r>
      <w:r w:rsidRPr="008D7937">
        <w:rPr>
          <w:rtl/>
        </w:rPr>
        <w:t>من تصديق المدّعين لمقامات ومنازل الأئم</w:t>
      </w:r>
      <w:r>
        <w:rPr>
          <w:rFonts w:hint="cs"/>
          <w:rtl/>
        </w:rPr>
        <w:t>ّ</w:t>
      </w:r>
      <w:r w:rsidRPr="008D7937">
        <w:rPr>
          <w:rtl/>
        </w:rPr>
        <w:t xml:space="preserve">ة </w:t>
      </w:r>
      <w:r>
        <w:rPr>
          <w:rFonts w:hint="cs"/>
          <w:rtl/>
        </w:rPr>
        <w:t>ـ</w:t>
      </w:r>
      <w:r w:rsidRPr="008D7937">
        <w:rPr>
          <w:rtl/>
        </w:rPr>
        <w:t xml:space="preserve"> عليهم السلام </w:t>
      </w:r>
      <w:r>
        <w:rPr>
          <w:rFonts w:hint="cs"/>
          <w:rtl/>
        </w:rPr>
        <w:t>ـ</w:t>
      </w:r>
      <w:r w:rsidRPr="008D7937">
        <w:rPr>
          <w:rtl/>
        </w:rPr>
        <w:t xml:space="preserve"> ويدعون الناس إلى مؤازرتهم والخروج معهم، وتصديق دعواهم الإمامة والمهدي</w:t>
      </w:r>
      <w:r>
        <w:rPr>
          <w:rFonts w:hint="cs"/>
          <w:rtl/>
        </w:rPr>
        <w:t>ّ</w:t>
      </w:r>
      <w:r w:rsidRPr="008D7937">
        <w:rPr>
          <w:rtl/>
        </w:rPr>
        <w:t>ة</w:t>
      </w:r>
      <w:r>
        <w:rPr>
          <w:rFonts w:hint="cs"/>
          <w:rtl/>
        </w:rPr>
        <w:t>..</w:t>
      </w:r>
      <w:r w:rsidRPr="008D7937">
        <w:rPr>
          <w:rtl/>
        </w:rPr>
        <w:t xml:space="preserve"> ولذلك أشار الإمام</w:t>
      </w:r>
      <w:r>
        <w:rPr>
          <w:rFonts w:hint="cs"/>
          <w:rtl/>
        </w:rPr>
        <w:t>×</w:t>
      </w:r>
      <w:r w:rsidRPr="008D7937">
        <w:rPr>
          <w:rtl/>
        </w:rPr>
        <w:t>، إلى أن هناك علامة للمهدي</w:t>
      </w:r>
      <w:r>
        <w:rPr>
          <w:rFonts w:hint="cs"/>
          <w:rtl/>
        </w:rPr>
        <w:t>ّ</w:t>
      </w:r>
      <w:r w:rsidRPr="008D7937">
        <w:rPr>
          <w:rtl/>
        </w:rPr>
        <w:t xml:space="preserve"> الحقيقي، وهي نار</w:t>
      </w:r>
      <w:r>
        <w:rPr>
          <w:rFonts w:hint="cs"/>
          <w:rtl/>
        </w:rPr>
        <w:t>ٌ</w:t>
      </w:r>
      <w:r w:rsidRPr="008D7937">
        <w:rPr>
          <w:rtl/>
        </w:rPr>
        <w:t xml:space="preserve"> من آذربايجان لا يقوم لها ش</w:t>
      </w:r>
      <w:r>
        <w:rPr>
          <w:rFonts w:hint="cs"/>
          <w:rtl/>
        </w:rPr>
        <w:t xml:space="preserve">يء.. </w:t>
      </w:r>
      <w:r w:rsidRPr="008D7937">
        <w:rPr>
          <w:rtl/>
        </w:rPr>
        <w:t>كما أن</w:t>
      </w:r>
      <w:r>
        <w:rPr>
          <w:rFonts w:hint="cs"/>
          <w:rtl/>
        </w:rPr>
        <w:t>ّ</w:t>
      </w:r>
      <w:r w:rsidRPr="008D7937">
        <w:rPr>
          <w:rtl/>
        </w:rPr>
        <w:t xml:space="preserve"> هذا يفس</w:t>
      </w:r>
      <w:r>
        <w:rPr>
          <w:rFonts w:hint="cs"/>
          <w:rtl/>
        </w:rPr>
        <w:t>ّ</w:t>
      </w:r>
      <w:r w:rsidRPr="008D7937">
        <w:rPr>
          <w:rtl/>
        </w:rPr>
        <w:t>ر بأن</w:t>
      </w:r>
      <w:r>
        <w:rPr>
          <w:rFonts w:hint="cs"/>
          <w:rtl/>
        </w:rPr>
        <w:t>ّ</w:t>
      </w:r>
      <w:r w:rsidRPr="008D7937">
        <w:rPr>
          <w:rtl/>
        </w:rPr>
        <w:t>ه</w:t>
      </w:r>
      <w:r>
        <w:rPr>
          <w:rFonts w:hint="cs"/>
          <w:rtl/>
        </w:rPr>
        <w:t>×</w:t>
      </w:r>
      <w:r w:rsidRPr="008D7937">
        <w:rPr>
          <w:rtl/>
        </w:rPr>
        <w:t xml:space="preserve"> قد ربط الناس بخصوص الأئم</w:t>
      </w:r>
      <w:r>
        <w:rPr>
          <w:rFonts w:hint="cs"/>
          <w:rtl/>
        </w:rPr>
        <w:t>ّ</w:t>
      </w:r>
      <w:r w:rsidRPr="008D7937">
        <w:rPr>
          <w:rtl/>
        </w:rPr>
        <w:t>ة من أهل البيت</w:t>
      </w:r>
      <w:r>
        <w:rPr>
          <w:rFonts w:hint="cs"/>
          <w:rtl/>
        </w:rPr>
        <w:t>..</w:t>
      </w:r>
      <w:r>
        <w:rPr>
          <w:rFonts w:hint="eastAsia"/>
          <w:rtl/>
        </w:rPr>
        <w:t>»</w:t>
      </w:r>
      <w:r w:rsidRPr="000A4159">
        <w:rPr>
          <w:rFonts w:cs="Taher"/>
          <w:vertAlign w:val="superscript"/>
          <w:rtl/>
        </w:rPr>
        <w:t>(</w:t>
      </w:r>
      <w:r w:rsidRPr="000A4159">
        <w:rPr>
          <w:rStyle w:val="FootnoteReference"/>
          <w:rFonts w:cs="Taher"/>
          <w:rtl/>
        </w:rPr>
        <w:footnoteReference w:id="496"/>
      </w:r>
      <w:r w:rsidRPr="000A4159">
        <w:rPr>
          <w:rFonts w:cs="Taher"/>
          <w:vertAlign w:val="superscript"/>
          <w:rtl/>
        </w:rPr>
        <w:t>)</w:t>
      </w:r>
      <w:r>
        <w:rPr>
          <w:rFonts w:hint="cs"/>
          <w:rtl/>
        </w:rPr>
        <w:t>.</w:t>
      </w:r>
    </w:p>
    <w:p w14:paraId="6D5F5E4C" w14:textId="77777777" w:rsidR="00730BDA" w:rsidRPr="00B54FFE" w:rsidRDefault="00730BDA" w:rsidP="00B54FFE">
      <w:pPr>
        <w:spacing w:line="214" w:lineRule="auto"/>
        <w:rPr>
          <w:b/>
          <w:bCs/>
          <w:rtl/>
        </w:rPr>
      </w:pPr>
      <w:r w:rsidRPr="00B54FFE">
        <w:rPr>
          <w:rFonts w:hint="cs"/>
          <w:b/>
          <w:bCs/>
          <w:rtl/>
        </w:rPr>
        <w:t>لكن لم يتضح لي ربط</w:t>
      </w:r>
      <w:r w:rsidR="00B54FFE">
        <w:rPr>
          <w:rFonts w:hint="cs"/>
          <w:b/>
          <w:bCs/>
          <w:rtl/>
        </w:rPr>
        <w:t>ه</w:t>
      </w:r>
      <w:r w:rsidRPr="00B54FFE">
        <w:rPr>
          <w:rFonts w:hint="cs"/>
          <w:b/>
          <w:bCs/>
          <w:rtl/>
        </w:rPr>
        <w:t xml:space="preserve"> الرواية بمدّعي المهدويّة.</w:t>
      </w:r>
    </w:p>
    <w:p w14:paraId="7EB16BD6" w14:textId="77777777" w:rsidR="000A4159" w:rsidRPr="00822CE9" w:rsidRDefault="00730BDA" w:rsidP="00730BDA">
      <w:pPr>
        <w:spacing w:line="214" w:lineRule="auto"/>
        <w:rPr>
          <w:rtl/>
        </w:rPr>
      </w:pPr>
      <w:r w:rsidRPr="00730BDA">
        <w:rPr>
          <w:rFonts w:hint="cs"/>
          <w:b/>
          <w:bCs/>
          <w:rtl/>
        </w:rPr>
        <w:t xml:space="preserve">الرواية السادسة والعشرون: </w:t>
      </w:r>
      <w:r w:rsidR="000A4159" w:rsidRPr="00730BDA">
        <w:rPr>
          <w:rFonts w:hint="cs"/>
          <w:b/>
          <w:bCs/>
          <w:rtl/>
        </w:rPr>
        <w:t>خبر أبي بكر الحضرمي</w:t>
      </w:r>
      <w:r w:rsidRPr="00730BDA">
        <w:rPr>
          <w:rFonts w:hint="cs"/>
          <w:b/>
          <w:bCs/>
          <w:rtl/>
        </w:rPr>
        <w:t>،</w:t>
      </w:r>
      <w:r w:rsidR="000A4159" w:rsidRPr="00822CE9">
        <w:rPr>
          <w:rFonts w:hint="cs"/>
          <w:rtl/>
        </w:rPr>
        <w:t xml:space="preserve"> قال: دخلت أنا وأبان على أبي عبد الله</w:t>
      </w:r>
      <w:r w:rsidR="009A1626" w:rsidRPr="00822CE9">
        <w:rPr>
          <w:rFonts w:hint="cs"/>
          <w:rtl/>
        </w:rPr>
        <w:t>×</w:t>
      </w:r>
      <w:r w:rsidR="000A4159" w:rsidRPr="00822CE9">
        <w:rPr>
          <w:rFonts w:hint="cs"/>
          <w:rtl/>
        </w:rPr>
        <w:t>، وذلك حين ظهرت الرايات السود بخراسان، فقلنا: ما ترى؟ فقال: «اجلسوا في بيوتكم، فإذا رأيتم</w:t>
      </w:r>
      <w:r>
        <w:rPr>
          <w:rFonts w:hint="cs"/>
          <w:rtl/>
        </w:rPr>
        <w:t>ونا قد اجتمعنا على رجل فانهدوا إ</w:t>
      </w:r>
      <w:r w:rsidR="000A4159" w:rsidRPr="00822CE9">
        <w:rPr>
          <w:rFonts w:hint="cs"/>
          <w:rtl/>
        </w:rPr>
        <w:t>لينا بالسلاح»</w:t>
      </w:r>
      <w:r w:rsidR="000A4159" w:rsidRPr="000A4159">
        <w:rPr>
          <w:rFonts w:cs="Taher"/>
          <w:vertAlign w:val="superscript"/>
          <w:rtl/>
        </w:rPr>
        <w:t>(</w:t>
      </w:r>
      <w:r w:rsidR="000A4159" w:rsidRPr="000A4159">
        <w:rPr>
          <w:rStyle w:val="FootnoteReference"/>
          <w:rFonts w:cs="Taher"/>
          <w:rtl/>
        </w:rPr>
        <w:footnoteReference w:id="497"/>
      </w:r>
      <w:r w:rsidR="000A4159" w:rsidRPr="000A4159">
        <w:rPr>
          <w:rFonts w:cs="Taher"/>
          <w:vertAlign w:val="superscript"/>
          <w:rtl/>
        </w:rPr>
        <w:t>)</w:t>
      </w:r>
      <w:r w:rsidR="000A4159" w:rsidRPr="00822CE9">
        <w:rPr>
          <w:rtl/>
        </w:rPr>
        <w:t>.</w:t>
      </w:r>
    </w:p>
    <w:p w14:paraId="7782F609" w14:textId="77777777" w:rsidR="000A4159" w:rsidRPr="00822CE9" w:rsidRDefault="000A4159" w:rsidP="00297EF4">
      <w:pPr>
        <w:pStyle w:val="normal870"/>
        <w:rPr>
          <w:rtl/>
        </w:rPr>
      </w:pPr>
      <w:r w:rsidRPr="00822CE9">
        <w:rPr>
          <w:rFonts w:hint="cs"/>
          <w:rtl/>
        </w:rPr>
        <w:t>والسند ضعيف</w:t>
      </w:r>
      <w:r w:rsidR="00730BDA">
        <w:rPr>
          <w:rFonts w:hint="cs"/>
          <w:rtl/>
        </w:rPr>
        <w:t>ٌ</w:t>
      </w:r>
      <w:r w:rsidRPr="00822CE9">
        <w:rPr>
          <w:rFonts w:hint="cs"/>
          <w:rtl/>
        </w:rPr>
        <w:t xml:space="preserve"> بيوسف بن كليب المسعودي المجهول جداً</w:t>
      </w:r>
      <w:r w:rsidRPr="000A4159">
        <w:rPr>
          <w:rFonts w:cs="Taher"/>
          <w:vertAlign w:val="superscript"/>
          <w:rtl/>
        </w:rPr>
        <w:t>(</w:t>
      </w:r>
      <w:r w:rsidRPr="000A4159">
        <w:rPr>
          <w:rStyle w:val="FootnoteReference"/>
          <w:rFonts w:cs="Taher"/>
          <w:rtl/>
        </w:rPr>
        <w:footnoteReference w:id="498"/>
      </w:r>
      <w:r w:rsidRPr="000A4159">
        <w:rPr>
          <w:rFonts w:cs="Taher"/>
          <w:vertAlign w:val="superscript"/>
          <w:rtl/>
        </w:rPr>
        <w:t>)</w:t>
      </w:r>
      <w:r w:rsidRPr="00822CE9">
        <w:rPr>
          <w:rFonts w:hint="cs"/>
          <w:rtl/>
        </w:rPr>
        <w:t>، وجهالة الحكم بن سليمان</w:t>
      </w:r>
      <w:r w:rsidRPr="000A4159">
        <w:rPr>
          <w:rFonts w:cs="Taher"/>
          <w:vertAlign w:val="superscript"/>
          <w:rtl/>
        </w:rPr>
        <w:t>(</w:t>
      </w:r>
      <w:r w:rsidRPr="000A4159">
        <w:rPr>
          <w:rStyle w:val="FootnoteReference"/>
          <w:rFonts w:cs="Taher"/>
          <w:rtl/>
        </w:rPr>
        <w:footnoteReference w:id="499"/>
      </w:r>
      <w:r w:rsidRPr="000A4159">
        <w:rPr>
          <w:rFonts w:cs="Taher"/>
          <w:vertAlign w:val="superscript"/>
          <w:rtl/>
        </w:rPr>
        <w:t>)</w:t>
      </w:r>
      <w:r w:rsidRPr="00822CE9">
        <w:rPr>
          <w:rFonts w:hint="cs"/>
          <w:rtl/>
        </w:rPr>
        <w:t>، إضافةً إلى أن</w:t>
      </w:r>
      <w:r w:rsidR="00B737BF">
        <w:rPr>
          <w:rFonts w:hint="cs"/>
          <w:rtl/>
        </w:rPr>
        <w:t>ّ</w:t>
      </w:r>
      <w:r w:rsidRPr="00822CE9">
        <w:rPr>
          <w:rFonts w:hint="cs"/>
          <w:rtl/>
        </w:rPr>
        <w:t xml:space="preserve"> الرواية ظاهرة في تأط</w:t>
      </w:r>
      <w:r w:rsidR="00B737BF">
        <w:rPr>
          <w:rFonts w:hint="cs"/>
          <w:rtl/>
        </w:rPr>
        <w:t>ّ</w:t>
      </w:r>
      <w:r w:rsidRPr="00822CE9">
        <w:rPr>
          <w:rFonts w:hint="cs"/>
          <w:rtl/>
        </w:rPr>
        <w:t>رها الزماني، فهي تخاطبهم بالخروج إلى أهل البيت عندما يجتمعون على شخص</w:t>
      </w:r>
      <w:r w:rsidR="00B737BF">
        <w:rPr>
          <w:rFonts w:hint="cs"/>
          <w:rtl/>
        </w:rPr>
        <w:t>ٍ</w:t>
      </w:r>
      <w:r w:rsidRPr="00822CE9">
        <w:rPr>
          <w:rFonts w:hint="cs"/>
          <w:rtl/>
        </w:rPr>
        <w:t xml:space="preserve"> مقابل الخروج مع الرايات السود في خراسان، وهذا مؤش</w:t>
      </w:r>
      <w:r w:rsidR="00B737BF">
        <w:rPr>
          <w:rFonts w:hint="cs"/>
          <w:rtl/>
        </w:rPr>
        <w:t>ّ</w:t>
      </w:r>
      <w:r w:rsidRPr="00822CE9">
        <w:rPr>
          <w:rFonts w:hint="cs"/>
          <w:rtl/>
        </w:rPr>
        <w:t>ر على أمر</w:t>
      </w:r>
      <w:r w:rsidR="00B737BF">
        <w:rPr>
          <w:rFonts w:hint="cs"/>
          <w:rtl/>
        </w:rPr>
        <w:t>ٍ</w:t>
      </w:r>
      <w:r w:rsidRPr="00822CE9">
        <w:rPr>
          <w:rFonts w:hint="cs"/>
          <w:rtl/>
        </w:rPr>
        <w:t xml:space="preserve"> ظرفي آنذاك، ومنصرف عن مثل عصر الغيبة، لا أقل</w:t>
      </w:r>
      <w:r w:rsidR="00B737BF">
        <w:rPr>
          <w:rFonts w:hint="cs"/>
          <w:rtl/>
        </w:rPr>
        <w:t>ّ</w:t>
      </w:r>
      <w:r w:rsidRPr="00822CE9">
        <w:rPr>
          <w:rFonts w:hint="cs"/>
          <w:rtl/>
        </w:rPr>
        <w:t xml:space="preserve"> من عدم إحراز انعقاد إطلاق فيها.</w:t>
      </w:r>
    </w:p>
    <w:p w14:paraId="7625BCDD" w14:textId="77777777" w:rsidR="000A4159" w:rsidRPr="00822CE9" w:rsidRDefault="00B737BF" w:rsidP="00B737BF">
      <w:pPr>
        <w:spacing w:line="214" w:lineRule="auto"/>
        <w:rPr>
          <w:rtl/>
        </w:rPr>
      </w:pPr>
      <w:r w:rsidRPr="00B737BF">
        <w:rPr>
          <w:rFonts w:hint="cs"/>
          <w:b/>
          <w:bCs/>
          <w:rtl/>
        </w:rPr>
        <w:t>الرواية السابعة و</w:t>
      </w:r>
      <w:r w:rsidR="000A4159" w:rsidRPr="00B737BF">
        <w:rPr>
          <w:rFonts w:hint="cs"/>
          <w:b/>
          <w:bCs/>
          <w:rtl/>
        </w:rPr>
        <w:t>العشرون: خبر عثمان بن عيسى</w:t>
      </w:r>
      <w:r w:rsidRPr="00B737BF">
        <w:rPr>
          <w:rFonts w:hint="cs"/>
          <w:b/>
          <w:bCs/>
          <w:rtl/>
        </w:rPr>
        <w:t>،</w:t>
      </w:r>
      <w:r w:rsidR="000A4159" w:rsidRPr="00822CE9">
        <w:rPr>
          <w:rFonts w:hint="cs"/>
          <w:rtl/>
        </w:rPr>
        <w:t xml:space="preserve"> عم</w:t>
      </w:r>
      <w:r>
        <w:rPr>
          <w:rFonts w:hint="cs"/>
          <w:rtl/>
        </w:rPr>
        <w:t>ّ</w:t>
      </w:r>
      <w:r w:rsidR="000A4159" w:rsidRPr="00822CE9">
        <w:rPr>
          <w:rFonts w:hint="cs"/>
          <w:rtl/>
        </w:rPr>
        <w:t>ن أخبره</w:t>
      </w:r>
      <w:r>
        <w:rPr>
          <w:rFonts w:hint="cs"/>
          <w:rtl/>
        </w:rPr>
        <w:t>،</w:t>
      </w:r>
      <w:r w:rsidR="000A4159" w:rsidRPr="00822CE9">
        <w:rPr>
          <w:rFonts w:hint="cs"/>
          <w:rtl/>
        </w:rPr>
        <w:t xml:space="preserve"> قال: قال أبو عبد الله</w:t>
      </w:r>
      <w:r w:rsidR="009A1626" w:rsidRPr="00822CE9">
        <w:rPr>
          <w:rFonts w:hint="cs"/>
          <w:rtl/>
        </w:rPr>
        <w:t>×</w:t>
      </w:r>
      <w:r w:rsidR="000A4159" w:rsidRPr="00822CE9">
        <w:rPr>
          <w:rFonts w:hint="cs"/>
          <w:rtl/>
        </w:rPr>
        <w:t>: «كف</w:t>
      </w:r>
      <w:r>
        <w:rPr>
          <w:rFonts w:hint="cs"/>
          <w:rtl/>
        </w:rPr>
        <w:t>ّ</w:t>
      </w:r>
      <w:r w:rsidR="000A4159" w:rsidRPr="00822CE9">
        <w:rPr>
          <w:rFonts w:hint="cs"/>
          <w:rtl/>
        </w:rPr>
        <w:t>وا ألسنتكم والزموا بيوتكم، فإن</w:t>
      </w:r>
      <w:r>
        <w:rPr>
          <w:rFonts w:hint="cs"/>
          <w:rtl/>
        </w:rPr>
        <w:t>ّ</w:t>
      </w:r>
      <w:r w:rsidR="000A4159" w:rsidRPr="00822CE9">
        <w:rPr>
          <w:rFonts w:hint="cs"/>
          <w:rtl/>
        </w:rPr>
        <w:t>ه لا ي</w:t>
      </w:r>
      <w:r>
        <w:rPr>
          <w:rFonts w:hint="cs"/>
          <w:rtl/>
        </w:rPr>
        <w:t>ُ</w:t>
      </w:r>
      <w:r w:rsidR="000A4159" w:rsidRPr="00822CE9">
        <w:rPr>
          <w:rFonts w:hint="cs"/>
          <w:rtl/>
        </w:rPr>
        <w:t>صيبكم أمر</w:t>
      </w:r>
      <w:r>
        <w:rPr>
          <w:rFonts w:hint="cs"/>
          <w:rtl/>
        </w:rPr>
        <w:t>ٌ</w:t>
      </w:r>
      <w:r w:rsidR="000A4159" w:rsidRPr="00822CE9">
        <w:rPr>
          <w:rFonts w:hint="cs"/>
          <w:rtl/>
        </w:rPr>
        <w:t xml:space="preserve"> تخصّون به أبداً، ولا تزال الزيدي</w:t>
      </w:r>
      <w:r>
        <w:rPr>
          <w:rFonts w:hint="cs"/>
          <w:rtl/>
        </w:rPr>
        <w:t>ّ</w:t>
      </w:r>
      <w:r w:rsidR="000A4159" w:rsidRPr="00822CE9">
        <w:rPr>
          <w:rFonts w:hint="cs"/>
          <w:rtl/>
        </w:rPr>
        <w:t>ة لكم وقاءً أبداً»</w:t>
      </w:r>
      <w:r w:rsidR="000A4159" w:rsidRPr="000A4159">
        <w:rPr>
          <w:rFonts w:cs="Taher"/>
          <w:vertAlign w:val="superscript"/>
          <w:rtl/>
        </w:rPr>
        <w:t>(</w:t>
      </w:r>
      <w:r w:rsidR="000A4159" w:rsidRPr="000A4159">
        <w:rPr>
          <w:rStyle w:val="FootnoteReference"/>
          <w:rFonts w:cs="Taher"/>
          <w:rtl/>
        </w:rPr>
        <w:footnoteReference w:id="500"/>
      </w:r>
      <w:r w:rsidR="000A4159" w:rsidRPr="000A4159">
        <w:rPr>
          <w:rFonts w:cs="Taher"/>
          <w:vertAlign w:val="superscript"/>
          <w:rtl/>
        </w:rPr>
        <w:t>)</w:t>
      </w:r>
      <w:r w:rsidR="000A4159" w:rsidRPr="00822CE9">
        <w:rPr>
          <w:rtl/>
        </w:rPr>
        <w:t>.</w:t>
      </w:r>
    </w:p>
    <w:p w14:paraId="20CB6565" w14:textId="77777777" w:rsidR="000A4159" w:rsidRPr="00822CE9" w:rsidRDefault="000A4159" w:rsidP="00A631E2">
      <w:pPr>
        <w:spacing w:line="214" w:lineRule="auto"/>
        <w:rPr>
          <w:rtl/>
        </w:rPr>
      </w:pPr>
      <w:r w:rsidRPr="00822CE9">
        <w:rPr>
          <w:rFonts w:hint="cs"/>
          <w:rtl/>
        </w:rPr>
        <w:t>والرواية ضعيفة السند بالإرسال في مصدر</w:t>
      </w:r>
      <w:r w:rsidR="00B737BF">
        <w:rPr>
          <w:rFonts w:hint="cs"/>
          <w:rtl/>
        </w:rPr>
        <w:t>َ</w:t>
      </w:r>
      <w:r w:rsidRPr="00822CE9">
        <w:rPr>
          <w:rFonts w:hint="cs"/>
          <w:rtl/>
        </w:rPr>
        <w:t xml:space="preserve">يها: الكافي بعد عثمان بن عيس، وغيبة النعماني بعد </w:t>
      </w:r>
      <w:r w:rsidRPr="00822CE9">
        <w:rPr>
          <w:rFonts w:hint="cs"/>
          <w:rtl/>
        </w:rPr>
        <w:lastRenderedPageBreak/>
        <w:t>علي بن أس</w:t>
      </w:r>
      <w:r w:rsidR="00B737BF">
        <w:rPr>
          <w:rFonts w:hint="cs"/>
          <w:rtl/>
        </w:rPr>
        <w:t>ب</w:t>
      </w:r>
      <w:r w:rsidRPr="00822CE9">
        <w:rPr>
          <w:rFonts w:hint="cs"/>
          <w:rtl/>
        </w:rPr>
        <w:t xml:space="preserve">اط، </w:t>
      </w:r>
      <w:r w:rsidR="00A631E2">
        <w:rPr>
          <w:rFonts w:hint="cs"/>
          <w:rtl/>
        </w:rPr>
        <w:t xml:space="preserve">من دون وجود إمكانيّة للتعويض السندي بينهما، </w:t>
      </w:r>
      <w:r w:rsidRPr="00822CE9">
        <w:rPr>
          <w:rFonts w:hint="cs"/>
          <w:rtl/>
        </w:rPr>
        <w:t>فلا ي</w:t>
      </w:r>
      <w:r w:rsidR="00B737BF">
        <w:rPr>
          <w:rFonts w:hint="cs"/>
          <w:rtl/>
        </w:rPr>
        <w:t>ُ</w:t>
      </w:r>
      <w:r w:rsidRPr="00822CE9">
        <w:rPr>
          <w:rFonts w:hint="cs"/>
          <w:rtl/>
        </w:rPr>
        <w:t>عتمد عليها، مضافاً إلى أن</w:t>
      </w:r>
      <w:r w:rsidR="00B737BF">
        <w:rPr>
          <w:rFonts w:hint="cs"/>
          <w:rtl/>
        </w:rPr>
        <w:t>ّ</w:t>
      </w:r>
      <w:r w:rsidRPr="00822CE9">
        <w:rPr>
          <w:rFonts w:hint="cs"/>
          <w:rtl/>
        </w:rPr>
        <w:t>ه يلوح منها التأط</w:t>
      </w:r>
      <w:r w:rsidR="00B737BF">
        <w:rPr>
          <w:rFonts w:hint="cs"/>
          <w:rtl/>
        </w:rPr>
        <w:t>ّ</w:t>
      </w:r>
      <w:r w:rsidRPr="00822CE9">
        <w:rPr>
          <w:rFonts w:hint="cs"/>
          <w:rtl/>
        </w:rPr>
        <w:t>ر الزماني بمناسبة الحديث عن فرقة الزيدي</w:t>
      </w:r>
      <w:r w:rsidR="00B737BF">
        <w:rPr>
          <w:rFonts w:hint="cs"/>
          <w:rtl/>
        </w:rPr>
        <w:t>ّ</w:t>
      </w:r>
      <w:r w:rsidRPr="00822CE9">
        <w:rPr>
          <w:rFonts w:hint="cs"/>
          <w:rtl/>
        </w:rPr>
        <w:t>ة</w:t>
      </w:r>
      <w:r w:rsidR="00B737BF">
        <w:rPr>
          <w:rFonts w:hint="cs"/>
          <w:rtl/>
        </w:rPr>
        <w:t xml:space="preserve"> وحركاتها الثوريّة</w:t>
      </w:r>
      <w:r w:rsidRPr="00822CE9">
        <w:rPr>
          <w:rFonts w:hint="cs"/>
          <w:rtl/>
        </w:rPr>
        <w:t xml:space="preserve">، </w:t>
      </w:r>
      <w:r w:rsidR="00B737BF">
        <w:rPr>
          <w:rFonts w:hint="cs"/>
          <w:rtl/>
        </w:rPr>
        <w:t xml:space="preserve">وبخاصّة </w:t>
      </w:r>
      <w:r w:rsidRPr="00822CE9">
        <w:rPr>
          <w:rFonts w:hint="cs"/>
          <w:rtl/>
        </w:rPr>
        <w:t>أن</w:t>
      </w:r>
      <w:r w:rsidR="00B737BF">
        <w:rPr>
          <w:rFonts w:hint="cs"/>
          <w:rtl/>
        </w:rPr>
        <w:t>ّ</w:t>
      </w:r>
      <w:r w:rsidRPr="00822CE9">
        <w:rPr>
          <w:rFonts w:hint="cs"/>
          <w:rtl/>
        </w:rPr>
        <w:t xml:space="preserve"> الحديث عن كون الزيدية وقاءً للإمامي</w:t>
      </w:r>
      <w:r w:rsidR="00B737BF">
        <w:rPr>
          <w:rFonts w:hint="cs"/>
          <w:rtl/>
        </w:rPr>
        <w:t>ّ</w:t>
      </w:r>
      <w:r w:rsidRPr="00822CE9">
        <w:rPr>
          <w:rFonts w:hint="cs"/>
          <w:rtl/>
        </w:rPr>
        <w:t>ة أبداً حديث</w:t>
      </w:r>
      <w:r w:rsidR="00B737BF">
        <w:rPr>
          <w:rFonts w:hint="cs"/>
          <w:rtl/>
        </w:rPr>
        <w:t>ٌ</w:t>
      </w:r>
      <w:r w:rsidRPr="00822CE9">
        <w:rPr>
          <w:rFonts w:hint="cs"/>
          <w:rtl/>
        </w:rPr>
        <w:t xml:space="preserve"> مخالف للواقع، بل كان في فترة محدودة تلك الأيام، وإلا فالتاريخ يشهد بعدم دوامه ولا حتى كثرته، فيصعب جداً الاعتماد ـ سنداً ودلالةً ـ على مثل هذه الرواية.</w:t>
      </w:r>
    </w:p>
    <w:p w14:paraId="35FD97F4" w14:textId="77777777" w:rsidR="000A4159" w:rsidRPr="00822CE9" w:rsidRDefault="00B737BF" w:rsidP="00297EF4">
      <w:pPr>
        <w:pStyle w:val="normal84"/>
        <w:rPr>
          <w:rtl/>
        </w:rPr>
      </w:pPr>
      <w:r w:rsidRPr="00B737BF">
        <w:rPr>
          <w:rFonts w:hint="cs"/>
          <w:b/>
          <w:bCs/>
          <w:rtl/>
        </w:rPr>
        <w:t>الرواية الثامنة والعشرون</w:t>
      </w:r>
      <w:r w:rsidR="000A4159" w:rsidRPr="00B737BF">
        <w:rPr>
          <w:rFonts w:hint="cs"/>
          <w:b/>
          <w:bCs/>
          <w:rtl/>
        </w:rPr>
        <w:t>: خبر جابر بن يزيد،</w:t>
      </w:r>
      <w:r w:rsidR="000A4159" w:rsidRPr="00822CE9">
        <w:rPr>
          <w:rFonts w:hint="cs"/>
          <w:rtl/>
        </w:rPr>
        <w:t xml:space="preserve"> عن أبي جعفر الباقر</w:t>
      </w:r>
      <w:r w:rsidR="009A1626" w:rsidRPr="00822CE9">
        <w:rPr>
          <w:rFonts w:hint="cs"/>
          <w:rtl/>
        </w:rPr>
        <w:t>×</w:t>
      </w:r>
      <w:r w:rsidR="000A4159" w:rsidRPr="00822CE9">
        <w:rPr>
          <w:rFonts w:hint="cs"/>
          <w:rtl/>
        </w:rPr>
        <w:t xml:space="preserve"> أن</w:t>
      </w:r>
      <w:r>
        <w:rPr>
          <w:rFonts w:hint="cs"/>
          <w:rtl/>
        </w:rPr>
        <w:t>ّ</w:t>
      </w:r>
      <w:r w:rsidR="000A4159" w:rsidRPr="00822CE9">
        <w:rPr>
          <w:rFonts w:hint="cs"/>
          <w:rtl/>
        </w:rPr>
        <w:t>ه قال: «اسكنوا ما سكنت السماوات والأرض، أي لا تخرجوا على أحد؛ فإن</w:t>
      </w:r>
      <w:r>
        <w:rPr>
          <w:rFonts w:hint="cs"/>
          <w:rtl/>
        </w:rPr>
        <w:t>ّ</w:t>
      </w:r>
      <w:r w:rsidR="000A4159" w:rsidRPr="00822CE9">
        <w:rPr>
          <w:rFonts w:hint="cs"/>
          <w:rtl/>
        </w:rPr>
        <w:t xml:space="preserve"> أمركم ليس به خفاء»</w:t>
      </w:r>
      <w:r w:rsidR="000A4159" w:rsidRPr="000A4159">
        <w:rPr>
          <w:rFonts w:cs="Taher"/>
          <w:vertAlign w:val="superscript"/>
          <w:rtl/>
        </w:rPr>
        <w:t>(</w:t>
      </w:r>
      <w:r w:rsidR="000A4159" w:rsidRPr="000A4159">
        <w:rPr>
          <w:rStyle w:val="FootnoteReference"/>
          <w:rFonts w:cs="Taher"/>
          <w:rtl/>
        </w:rPr>
        <w:footnoteReference w:id="501"/>
      </w:r>
      <w:r w:rsidR="000A4159" w:rsidRPr="000A4159">
        <w:rPr>
          <w:rFonts w:cs="Taher"/>
          <w:vertAlign w:val="superscript"/>
          <w:rtl/>
        </w:rPr>
        <w:t>)</w:t>
      </w:r>
      <w:r w:rsidR="000A4159" w:rsidRPr="00822CE9">
        <w:rPr>
          <w:rtl/>
        </w:rPr>
        <w:t>.</w:t>
      </w:r>
    </w:p>
    <w:p w14:paraId="5CBB3153" w14:textId="77777777" w:rsidR="000A4159" w:rsidRPr="00822CE9" w:rsidRDefault="00B737BF" w:rsidP="00B737BF">
      <w:pPr>
        <w:spacing w:line="214" w:lineRule="auto"/>
        <w:rPr>
          <w:rtl/>
        </w:rPr>
      </w:pPr>
      <w:r>
        <w:rPr>
          <w:rFonts w:hint="cs"/>
          <w:rtl/>
        </w:rPr>
        <w:t xml:space="preserve">لكن </w:t>
      </w:r>
      <w:r w:rsidR="000A4159" w:rsidRPr="00822CE9">
        <w:rPr>
          <w:rFonts w:hint="cs"/>
          <w:rtl/>
        </w:rPr>
        <w:t xml:space="preserve">في الرواية رائحة الظرف التاريخي، </w:t>
      </w:r>
      <w:r>
        <w:rPr>
          <w:rFonts w:hint="cs"/>
          <w:rtl/>
        </w:rPr>
        <w:t xml:space="preserve">ولا </w:t>
      </w:r>
      <w:r w:rsidR="000A4159" w:rsidRPr="00822CE9">
        <w:rPr>
          <w:rFonts w:hint="cs"/>
          <w:rtl/>
        </w:rPr>
        <w:t>سيما إذا نظرنا إلى التعليل بأن</w:t>
      </w:r>
      <w:r>
        <w:rPr>
          <w:rFonts w:hint="cs"/>
          <w:rtl/>
        </w:rPr>
        <w:t>ّ</w:t>
      </w:r>
      <w:r w:rsidR="000A4159" w:rsidRPr="00822CE9">
        <w:rPr>
          <w:rFonts w:hint="cs"/>
          <w:rtl/>
        </w:rPr>
        <w:t xml:space="preserve"> أمركم ليس به خفاء</w:t>
      </w:r>
      <w:r>
        <w:rPr>
          <w:rFonts w:hint="cs"/>
          <w:rtl/>
        </w:rPr>
        <w:t>.</w:t>
      </w:r>
      <w:r w:rsidR="000A4159" w:rsidRPr="00822CE9">
        <w:rPr>
          <w:rFonts w:hint="cs"/>
          <w:rtl/>
        </w:rPr>
        <w:t xml:space="preserve"> </w:t>
      </w:r>
      <w:r>
        <w:rPr>
          <w:rFonts w:hint="cs"/>
          <w:rtl/>
        </w:rPr>
        <w:t xml:space="preserve">وإذا </w:t>
      </w:r>
      <w:r w:rsidR="000A4159" w:rsidRPr="00822CE9">
        <w:rPr>
          <w:rFonts w:hint="cs"/>
          <w:rtl/>
        </w:rPr>
        <w:t>لم نقل بظهورها في البعد التاريخي، فإن</w:t>
      </w:r>
      <w:r>
        <w:rPr>
          <w:rFonts w:hint="cs"/>
          <w:rtl/>
        </w:rPr>
        <w:t>ّ</w:t>
      </w:r>
      <w:r w:rsidR="000A4159" w:rsidRPr="00822CE9">
        <w:rPr>
          <w:rFonts w:hint="cs"/>
          <w:rtl/>
        </w:rPr>
        <w:t xml:space="preserve"> الرواية ضعيفة السند جداً؛ فقد ورد فيها منخل بن جميل الموصوف بالضعيف الفاسد الرواية المتهم بالغلو</w:t>
      </w:r>
      <w:r>
        <w:rPr>
          <w:rFonts w:hint="cs"/>
          <w:rtl/>
        </w:rPr>
        <w:t>ّ</w:t>
      </w:r>
      <w:r w:rsidR="000A4159" w:rsidRPr="00822CE9">
        <w:rPr>
          <w:rFonts w:hint="cs"/>
          <w:rtl/>
        </w:rPr>
        <w:t xml:space="preserve"> حتى لو ورد في أسانيد تفسير القمي</w:t>
      </w:r>
      <w:r w:rsidR="000A4159" w:rsidRPr="000A4159">
        <w:rPr>
          <w:rFonts w:cs="Taher"/>
          <w:vertAlign w:val="superscript"/>
          <w:rtl/>
        </w:rPr>
        <w:t>(</w:t>
      </w:r>
      <w:r w:rsidR="000A4159" w:rsidRPr="000A4159">
        <w:rPr>
          <w:rStyle w:val="FootnoteReference"/>
          <w:rFonts w:cs="Taher"/>
          <w:rtl/>
        </w:rPr>
        <w:footnoteReference w:id="502"/>
      </w:r>
      <w:r w:rsidR="000A4159" w:rsidRPr="000A4159">
        <w:rPr>
          <w:rFonts w:cs="Taher"/>
          <w:vertAlign w:val="superscript"/>
          <w:rtl/>
        </w:rPr>
        <w:t>)</w:t>
      </w:r>
      <w:r w:rsidR="000A4159" w:rsidRPr="00822CE9">
        <w:rPr>
          <w:rtl/>
        </w:rPr>
        <w:t>.</w:t>
      </w:r>
    </w:p>
    <w:p w14:paraId="14601426" w14:textId="77777777" w:rsidR="000A4159" w:rsidRPr="00822CE9" w:rsidRDefault="00B737BF" w:rsidP="00297EF4">
      <w:pPr>
        <w:pStyle w:val="normal84"/>
        <w:rPr>
          <w:rtl/>
        </w:rPr>
      </w:pPr>
      <w:r w:rsidRPr="00B737BF">
        <w:rPr>
          <w:rFonts w:hint="cs"/>
          <w:b/>
          <w:bCs/>
          <w:rtl/>
        </w:rPr>
        <w:t>الرواية التاسعة والعشرون</w:t>
      </w:r>
      <w:r w:rsidR="000A4159" w:rsidRPr="00B737BF">
        <w:rPr>
          <w:rFonts w:hint="cs"/>
          <w:b/>
          <w:bCs/>
          <w:rtl/>
        </w:rPr>
        <w:t xml:space="preserve">: خبر المفضل بن </w:t>
      </w:r>
      <w:r w:rsidRPr="00B737BF">
        <w:rPr>
          <w:rFonts w:hint="cs"/>
          <w:b/>
          <w:bCs/>
          <w:rtl/>
        </w:rPr>
        <w:t>ي</w:t>
      </w:r>
      <w:r w:rsidR="000A4159" w:rsidRPr="00B737BF">
        <w:rPr>
          <w:rFonts w:hint="cs"/>
          <w:b/>
          <w:bCs/>
          <w:rtl/>
        </w:rPr>
        <w:t>زيد</w:t>
      </w:r>
      <w:r w:rsidRPr="00B737BF">
        <w:rPr>
          <w:rFonts w:hint="cs"/>
          <w:b/>
          <w:bCs/>
          <w:rtl/>
        </w:rPr>
        <w:t>،</w:t>
      </w:r>
      <w:r w:rsidR="000A4159" w:rsidRPr="00822CE9">
        <w:rPr>
          <w:rFonts w:hint="cs"/>
          <w:rtl/>
        </w:rPr>
        <w:t xml:space="preserve"> عن أبي عبد الله</w:t>
      </w:r>
      <w:r w:rsidR="009A1626" w:rsidRPr="00822CE9">
        <w:rPr>
          <w:rFonts w:hint="cs"/>
          <w:rtl/>
        </w:rPr>
        <w:t>×</w:t>
      </w:r>
      <w:r w:rsidR="000A4159" w:rsidRPr="00822CE9">
        <w:rPr>
          <w:rFonts w:hint="cs"/>
          <w:rtl/>
        </w:rPr>
        <w:t xml:space="preserve"> قال: قال لي: «يا مفض</w:t>
      </w:r>
      <w:r>
        <w:rPr>
          <w:rFonts w:hint="cs"/>
          <w:rtl/>
        </w:rPr>
        <w:t>ّ</w:t>
      </w:r>
      <w:r w:rsidR="000A4159" w:rsidRPr="00822CE9">
        <w:rPr>
          <w:rFonts w:hint="cs"/>
          <w:rtl/>
        </w:rPr>
        <w:t>ل</w:t>
      </w:r>
      <w:r>
        <w:rPr>
          <w:rFonts w:hint="cs"/>
          <w:rtl/>
        </w:rPr>
        <w:t>،</w:t>
      </w:r>
      <w:r w:rsidR="000A4159" w:rsidRPr="00822CE9">
        <w:rPr>
          <w:rFonts w:hint="cs"/>
          <w:rtl/>
        </w:rPr>
        <w:t xml:space="preserve"> من تعرّض لسلطان</w:t>
      </w:r>
      <w:r>
        <w:rPr>
          <w:rFonts w:hint="cs"/>
          <w:rtl/>
        </w:rPr>
        <w:t>ٍ</w:t>
      </w:r>
      <w:r w:rsidR="000A4159" w:rsidRPr="00822CE9">
        <w:rPr>
          <w:rFonts w:hint="cs"/>
          <w:rtl/>
        </w:rPr>
        <w:t xml:space="preserve"> جائر فأصابته بلي</w:t>
      </w:r>
      <w:r>
        <w:rPr>
          <w:rFonts w:hint="cs"/>
          <w:rtl/>
        </w:rPr>
        <w:t>ّ</w:t>
      </w:r>
      <w:r w:rsidR="000A4159" w:rsidRPr="00822CE9">
        <w:rPr>
          <w:rFonts w:hint="cs"/>
          <w:rtl/>
        </w:rPr>
        <w:t>ة لم يؤجر عليها، ولم يرزق الصبر عليها»</w:t>
      </w:r>
      <w:r w:rsidR="000A4159" w:rsidRPr="000A4159">
        <w:rPr>
          <w:rFonts w:cs="Taher"/>
          <w:vertAlign w:val="superscript"/>
          <w:rtl/>
        </w:rPr>
        <w:t>(</w:t>
      </w:r>
      <w:r w:rsidR="000A4159" w:rsidRPr="000A4159">
        <w:rPr>
          <w:rStyle w:val="FootnoteReference"/>
          <w:rFonts w:cs="Taher"/>
          <w:rtl/>
        </w:rPr>
        <w:footnoteReference w:id="503"/>
      </w:r>
      <w:r w:rsidR="000A4159" w:rsidRPr="000A4159">
        <w:rPr>
          <w:rFonts w:cs="Taher"/>
          <w:vertAlign w:val="superscript"/>
          <w:rtl/>
        </w:rPr>
        <w:t>)</w:t>
      </w:r>
      <w:r w:rsidR="000A4159" w:rsidRPr="00822CE9">
        <w:rPr>
          <w:rtl/>
        </w:rPr>
        <w:t xml:space="preserve">، </w:t>
      </w:r>
      <w:r w:rsidR="000A4159" w:rsidRPr="00822CE9">
        <w:rPr>
          <w:rFonts w:hint="cs"/>
          <w:rtl/>
        </w:rPr>
        <w:t>وقد وردت الرواية عينها في كتاب ثواب الأعمال للصدوق مروي</w:t>
      </w:r>
      <w:r>
        <w:rPr>
          <w:rFonts w:hint="cs"/>
          <w:rtl/>
        </w:rPr>
        <w:t>ّ</w:t>
      </w:r>
      <w:r w:rsidR="000A4159" w:rsidRPr="00822CE9">
        <w:rPr>
          <w:rFonts w:hint="cs"/>
          <w:rtl/>
        </w:rPr>
        <w:t>ة عن المفض</w:t>
      </w:r>
      <w:r>
        <w:rPr>
          <w:rFonts w:hint="cs"/>
          <w:rtl/>
        </w:rPr>
        <w:t>ّ</w:t>
      </w:r>
      <w:r w:rsidR="000A4159" w:rsidRPr="00822CE9">
        <w:rPr>
          <w:rFonts w:hint="cs"/>
          <w:rtl/>
        </w:rPr>
        <w:t>ل بن عمر، لكن</w:t>
      </w:r>
      <w:r>
        <w:rPr>
          <w:rFonts w:hint="cs"/>
          <w:rtl/>
        </w:rPr>
        <w:t>ّ</w:t>
      </w:r>
      <w:r w:rsidR="000A4159" w:rsidRPr="00822CE9">
        <w:rPr>
          <w:rFonts w:hint="cs"/>
          <w:rtl/>
        </w:rPr>
        <w:t>ها في الكافي والتهذيب جاءت عن المفض</w:t>
      </w:r>
      <w:r>
        <w:rPr>
          <w:rFonts w:hint="cs"/>
          <w:rtl/>
        </w:rPr>
        <w:t>ّ</w:t>
      </w:r>
      <w:r w:rsidR="000A4159" w:rsidRPr="00822CE9">
        <w:rPr>
          <w:rFonts w:hint="cs"/>
          <w:rtl/>
        </w:rPr>
        <w:t>ل بن يزيد.</w:t>
      </w:r>
    </w:p>
    <w:p w14:paraId="44F1A4DC" w14:textId="77777777" w:rsidR="000A4159" w:rsidRPr="00822CE9" w:rsidRDefault="00E65D6B" w:rsidP="007D5F26">
      <w:pPr>
        <w:spacing w:line="214" w:lineRule="auto"/>
        <w:rPr>
          <w:rtl/>
        </w:rPr>
      </w:pPr>
      <w:r>
        <w:rPr>
          <w:rFonts w:hint="cs"/>
          <w:rtl/>
        </w:rPr>
        <w:t xml:space="preserve">ودلالتها بالإطلاق مقبولة، لكن </w:t>
      </w:r>
      <w:r w:rsidR="000A4159" w:rsidRPr="00822CE9">
        <w:rPr>
          <w:rFonts w:hint="cs"/>
          <w:rtl/>
        </w:rPr>
        <w:t>سند الصدوق ضعيف</w:t>
      </w:r>
      <w:r w:rsidR="00B737BF">
        <w:rPr>
          <w:rFonts w:hint="cs"/>
          <w:rtl/>
        </w:rPr>
        <w:t>ٌ</w:t>
      </w:r>
      <w:r w:rsidR="000A4159" w:rsidRPr="00822CE9">
        <w:rPr>
          <w:rFonts w:hint="cs"/>
          <w:rtl/>
        </w:rPr>
        <w:t xml:space="preserve"> بجهالة محم</w:t>
      </w:r>
      <w:r w:rsidR="00B737BF">
        <w:rPr>
          <w:rFonts w:hint="cs"/>
          <w:rtl/>
        </w:rPr>
        <w:t>ّ</w:t>
      </w:r>
      <w:r w:rsidR="000A4159" w:rsidRPr="00822CE9">
        <w:rPr>
          <w:rFonts w:hint="cs"/>
          <w:rtl/>
        </w:rPr>
        <w:t>د بن علي الكوفي</w:t>
      </w:r>
      <w:r w:rsidR="000A4159" w:rsidRPr="000A4159">
        <w:rPr>
          <w:rFonts w:cs="Taher"/>
          <w:vertAlign w:val="superscript"/>
          <w:rtl/>
        </w:rPr>
        <w:t>(</w:t>
      </w:r>
      <w:r w:rsidR="000A4159" w:rsidRPr="000A4159">
        <w:rPr>
          <w:rStyle w:val="FootnoteReference"/>
          <w:rFonts w:cs="Taher"/>
          <w:rtl/>
        </w:rPr>
        <w:footnoteReference w:id="504"/>
      </w:r>
      <w:r w:rsidR="000A4159" w:rsidRPr="000A4159">
        <w:rPr>
          <w:rFonts w:cs="Taher"/>
          <w:vertAlign w:val="superscript"/>
          <w:rtl/>
        </w:rPr>
        <w:t>)</w:t>
      </w:r>
      <w:r w:rsidR="000A4159" w:rsidRPr="00822CE9">
        <w:rPr>
          <w:rtl/>
        </w:rPr>
        <w:t xml:space="preserve">، </w:t>
      </w:r>
      <w:r w:rsidR="000A4159" w:rsidRPr="00822CE9">
        <w:rPr>
          <w:rFonts w:hint="cs"/>
          <w:rtl/>
        </w:rPr>
        <w:t>وأم</w:t>
      </w:r>
      <w:r w:rsidR="00B737BF">
        <w:rPr>
          <w:rFonts w:hint="cs"/>
          <w:rtl/>
        </w:rPr>
        <w:t>ّ</w:t>
      </w:r>
      <w:r w:rsidR="000A4159" w:rsidRPr="00822CE9">
        <w:rPr>
          <w:rFonts w:hint="cs"/>
          <w:rtl/>
        </w:rPr>
        <w:t>ا سند الكليني والطوسي ففيه المفض</w:t>
      </w:r>
      <w:r w:rsidR="00B737BF">
        <w:rPr>
          <w:rFonts w:hint="cs"/>
          <w:rtl/>
        </w:rPr>
        <w:t>ّ</w:t>
      </w:r>
      <w:r w:rsidR="000A4159" w:rsidRPr="00822CE9">
        <w:rPr>
          <w:rFonts w:hint="cs"/>
          <w:rtl/>
        </w:rPr>
        <w:t>ل بن يزيد، وسواء كان هو عينه المفضل بن مزيد كما احتمل</w:t>
      </w:r>
      <w:r w:rsidR="00B737BF">
        <w:rPr>
          <w:rFonts w:hint="cs"/>
          <w:rtl/>
        </w:rPr>
        <w:t>ه</w:t>
      </w:r>
      <w:r w:rsidR="000A4159" w:rsidRPr="00822CE9">
        <w:rPr>
          <w:rFonts w:hint="cs"/>
          <w:rtl/>
        </w:rPr>
        <w:t xml:space="preserve"> </w:t>
      </w:r>
      <w:r w:rsidR="000A4159" w:rsidRPr="00822CE9">
        <w:rPr>
          <w:rFonts w:hint="cs"/>
          <w:rtl/>
        </w:rPr>
        <w:lastRenderedPageBreak/>
        <w:t>السي</w:t>
      </w:r>
      <w:r w:rsidR="00B737BF">
        <w:rPr>
          <w:rFonts w:hint="cs"/>
          <w:rtl/>
        </w:rPr>
        <w:t>ّ</w:t>
      </w:r>
      <w:r w:rsidR="000A4159" w:rsidRPr="00822CE9">
        <w:rPr>
          <w:rFonts w:hint="cs"/>
          <w:rtl/>
        </w:rPr>
        <w:t>د الخوئي أ</w:t>
      </w:r>
      <w:r w:rsidR="007D5F26">
        <w:rPr>
          <w:rFonts w:hint="cs"/>
          <w:rtl/>
        </w:rPr>
        <w:t>م</w:t>
      </w:r>
      <w:r w:rsidR="000A4159" w:rsidRPr="00822CE9">
        <w:rPr>
          <w:rFonts w:hint="cs"/>
          <w:rtl/>
        </w:rPr>
        <w:t xml:space="preserve"> شخصاً آخر، فهو غير ثقة</w:t>
      </w:r>
      <w:r w:rsidR="00B737BF">
        <w:rPr>
          <w:rFonts w:hint="cs"/>
          <w:rtl/>
        </w:rPr>
        <w:t>. نعم ورد المفضل بن يزيد في أ</w:t>
      </w:r>
      <w:r w:rsidR="000A4159" w:rsidRPr="00822CE9">
        <w:rPr>
          <w:rFonts w:hint="cs"/>
          <w:rtl/>
        </w:rPr>
        <w:t>سانيد</w:t>
      </w:r>
      <w:r w:rsidR="00B737BF">
        <w:rPr>
          <w:rFonts w:hint="cs"/>
          <w:rtl/>
        </w:rPr>
        <w:t>َ</w:t>
      </w:r>
      <w:r w:rsidR="000A4159" w:rsidRPr="00822CE9">
        <w:rPr>
          <w:rFonts w:hint="cs"/>
          <w:rtl/>
        </w:rPr>
        <w:t xml:space="preserve"> جاء فيها ابن أبي عمير</w:t>
      </w:r>
      <w:r w:rsidR="00B737BF">
        <w:rPr>
          <w:rFonts w:hint="cs"/>
          <w:rtl/>
        </w:rPr>
        <w:t>،</w:t>
      </w:r>
      <w:r w:rsidR="000A4159" w:rsidRPr="00822CE9">
        <w:rPr>
          <w:rFonts w:hint="cs"/>
          <w:rtl/>
        </w:rPr>
        <w:t xml:space="preserve"> فعلى هذا المبنى </w:t>
      </w:r>
      <w:r w:rsidR="00B737BF">
        <w:rPr>
          <w:rFonts w:hint="cs"/>
          <w:rtl/>
        </w:rPr>
        <w:t xml:space="preserve">الرجالي </w:t>
      </w:r>
      <w:r w:rsidR="000A4159" w:rsidRPr="00822CE9">
        <w:rPr>
          <w:rFonts w:hint="cs"/>
          <w:rtl/>
        </w:rPr>
        <w:t>يصبح ثقة</w:t>
      </w:r>
      <w:r w:rsidR="000A4159" w:rsidRPr="000A4159">
        <w:rPr>
          <w:rFonts w:cs="Taher"/>
          <w:vertAlign w:val="superscript"/>
          <w:rtl/>
        </w:rPr>
        <w:t>(</w:t>
      </w:r>
      <w:r w:rsidR="000A4159" w:rsidRPr="000A4159">
        <w:rPr>
          <w:rStyle w:val="FootnoteReference"/>
          <w:rFonts w:cs="Taher"/>
          <w:rtl/>
        </w:rPr>
        <w:footnoteReference w:id="505"/>
      </w:r>
      <w:r w:rsidR="000A4159" w:rsidRPr="000A4159">
        <w:rPr>
          <w:rFonts w:cs="Taher"/>
          <w:vertAlign w:val="superscript"/>
          <w:rtl/>
        </w:rPr>
        <w:t>)</w:t>
      </w:r>
      <w:r w:rsidR="000A4159" w:rsidRPr="00822CE9">
        <w:rPr>
          <w:rtl/>
        </w:rPr>
        <w:t xml:space="preserve">. </w:t>
      </w:r>
      <w:r w:rsidR="000A4159" w:rsidRPr="00822CE9">
        <w:rPr>
          <w:rFonts w:hint="cs"/>
          <w:rtl/>
        </w:rPr>
        <w:t>وإلا فالرواية ضعيفة السند.</w:t>
      </w:r>
    </w:p>
    <w:p w14:paraId="054E6876" w14:textId="77777777" w:rsidR="000A4159" w:rsidRPr="00297EF4" w:rsidRDefault="000A4159" w:rsidP="00297EF4">
      <w:pPr>
        <w:pStyle w:val="normal930"/>
        <w:rPr>
          <w:b/>
          <w:bCs/>
          <w:rtl/>
        </w:rPr>
      </w:pPr>
      <w:r w:rsidRPr="00297EF4">
        <w:rPr>
          <w:rFonts w:hint="cs"/>
          <w:b/>
          <w:bCs/>
          <w:rtl/>
        </w:rPr>
        <w:t>هذا هو مهم</w:t>
      </w:r>
      <w:r w:rsidR="00B737BF" w:rsidRPr="00297EF4">
        <w:rPr>
          <w:rFonts w:hint="cs"/>
          <w:b/>
          <w:bCs/>
          <w:rtl/>
        </w:rPr>
        <w:t>ّ</w:t>
      </w:r>
      <w:r w:rsidRPr="00297EF4">
        <w:rPr>
          <w:rFonts w:hint="cs"/>
          <w:b/>
          <w:bCs/>
          <w:rtl/>
        </w:rPr>
        <w:t xml:space="preserve"> الروايات التي يمكن حشدها للانتصار لنظري</w:t>
      </w:r>
      <w:r w:rsidR="00B737BF" w:rsidRPr="00297EF4">
        <w:rPr>
          <w:rFonts w:hint="cs"/>
          <w:b/>
          <w:bCs/>
          <w:rtl/>
        </w:rPr>
        <w:t>ّ</w:t>
      </w:r>
      <w:r w:rsidRPr="00297EF4">
        <w:rPr>
          <w:rFonts w:hint="cs"/>
          <w:b/>
          <w:bCs/>
          <w:rtl/>
        </w:rPr>
        <w:t>ة تحريم الخروج في عصر الغيبة بلا إذن خاص</w:t>
      </w:r>
      <w:r w:rsidR="00B737BF" w:rsidRPr="00297EF4">
        <w:rPr>
          <w:rFonts w:hint="cs"/>
          <w:b/>
          <w:bCs/>
          <w:rtl/>
        </w:rPr>
        <w:t>ّ</w:t>
      </w:r>
      <w:r w:rsidRPr="00297EF4">
        <w:rPr>
          <w:rFonts w:hint="cs"/>
          <w:b/>
          <w:bCs/>
          <w:rtl/>
        </w:rPr>
        <w:t xml:space="preserve"> من </w:t>
      </w:r>
      <w:r w:rsidR="00B737BF" w:rsidRPr="00297EF4">
        <w:rPr>
          <w:rFonts w:hint="cs"/>
          <w:b/>
          <w:bCs/>
          <w:rtl/>
        </w:rPr>
        <w:t>الإمام المنصوص،</w:t>
      </w:r>
      <w:r w:rsidRPr="00297EF4">
        <w:rPr>
          <w:rFonts w:hint="cs"/>
          <w:b/>
          <w:bCs/>
          <w:rtl/>
        </w:rPr>
        <w:t xml:space="preserve"> وقد أوصلناها إلى </w:t>
      </w:r>
      <w:r w:rsidR="00B737BF" w:rsidRPr="00297EF4">
        <w:rPr>
          <w:rFonts w:hint="cs"/>
          <w:b/>
          <w:bCs/>
          <w:rtl/>
        </w:rPr>
        <w:t>تسعة و</w:t>
      </w:r>
      <w:r w:rsidRPr="00297EF4">
        <w:rPr>
          <w:rFonts w:hint="cs"/>
          <w:b/>
          <w:bCs/>
          <w:rtl/>
        </w:rPr>
        <w:t>عشرين حديثاً.</w:t>
      </w:r>
      <w:r w:rsidR="007D5F26" w:rsidRPr="00297EF4">
        <w:rPr>
          <w:rFonts w:hint="cs"/>
          <w:b/>
          <w:bCs/>
          <w:rtl/>
        </w:rPr>
        <w:t xml:space="preserve"> وهناك أحاديث قليلة أخرى قد يحشدها بعضهم هنا لكنّها في غاية الضعف دلالةً، فلا نطيل بعرض شيءٍ منها</w:t>
      </w:r>
    </w:p>
    <w:p w14:paraId="2C0A36DC" w14:textId="77777777" w:rsidR="000A4159" w:rsidRPr="00E65D6B" w:rsidRDefault="00E65D6B" w:rsidP="000153E6">
      <w:pPr>
        <w:pStyle w:val="Heading4"/>
        <w:rPr>
          <w:rtl/>
        </w:rPr>
      </w:pPr>
      <w:bookmarkStart w:id="245" w:name="_Toc143804202"/>
      <w:bookmarkStart w:id="246" w:name="_Toc238123327"/>
      <w:r>
        <w:rPr>
          <w:rFonts w:hint="cs"/>
          <w:rtl/>
        </w:rPr>
        <w:t xml:space="preserve">2 ـ 1 ـ 2 ـ </w:t>
      </w:r>
      <w:r w:rsidRPr="00E65D6B">
        <w:rPr>
          <w:rFonts w:hint="cs"/>
          <w:rtl/>
        </w:rPr>
        <w:t xml:space="preserve">التقويم الإجمالي </w:t>
      </w:r>
      <w:r w:rsidR="000A4159" w:rsidRPr="00E65D6B">
        <w:rPr>
          <w:rFonts w:hint="cs"/>
          <w:rtl/>
        </w:rPr>
        <w:t>لنصوص التحريم</w:t>
      </w:r>
      <w:r w:rsidR="004C7103">
        <w:rPr>
          <w:rFonts w:hint="cs"/>
          <w:rtl/>
        </w:rPr>
        <w:t>، و</w:t>
      </w:r>
      <w:r w:rsidR="004F083D">
        <w:rPr>
          <w:rFonts w:hint="cs"/>
          <w:rtl/>
        </w:rPr>
        <w:t xml:space="preserve">حلول مشكلة </w:t>
      </w:r>
      <w:r w:rsidR="004C7103">
        <w:rPr>
          <w:rFonts w:hint="cs"/>
          <w:rtl/>
        </w:rPr>
        <w:t>التعارض</w:t>
      </w:r>
      <w:bookmarkEnd w:id="245"/>
      <w:bookmarkEnd w:id="246"/>
    </w:p>
    <w:p w14:paraId="1EE74E0C" w14:textId="77777777" w:rsidR="000A4159" w:rsidRPr="00E65D6B" w:rsidRDefault="000A4159" w:rsidP="00297EF4">
      <w:pPr>
        <w:pStyle w:val="normal930"/>
        <w:rPr>
          <w:b/>
          <w:bCs/>
          <w:rtl/>
        </w:rPr>
      </w:pPr>
      <w:r w:rsidRPr="00822CE9">
        <w:rPr>
          <w:rFonts w:hint="cs"/>
          <w:rtl/>
        </w:rPr>
        <w:t xml:space="preserve">لا بدّ لنا هنا من جمع خلاصات البحث التجزيئي في هذه النصوص التي </w:t>
      </w:r>
      <w:r w:rsidR="00E65D6B">
        <w:rPr>
          <w:rFonts w:hint="cs"/>
          <w:rtl/>
        </w:rPr>
        <w:t xml:space="preserve">هي عمدة </w:t>
      </w:r>
      <w:r w:rsidRPr="00822CE9">
        <w:rPr>
          <w:rFonts w:hint="cs"/>
          <w:rtl/>
        </w:rPr>
        <w:t>أدلّة أصحاب هذه النظري</w:t>
      </w:r>
      <w:r w:rsidR="00E65D6B">
        <w:rPr>
          <w:rFonts w:hint="cs"/>
          <w:rtl/>
        </w:rPr>
        <w:t>ّ</w:t>
      </w:r>
      <w:r w:rsidRPr="00822CE9">
        <w:rPr>
          <w:rFonts w:hint="cs"/>
          <w:rtl/>
        </w:rPr>
        <w:t>ة؛</w:t>
      </w:r>
      <w:r w:rsidR="008A1643">
        <w:rPr>
          <w:rFonts w:hint="cs"/>
          <w:rtl/>
        </w:rPr>
        <w:t xml:space="preserve"> و</w:t>
      </w:r>
      <w:r w:rsidRPr="00E65D6B">
        <w:rPr>
          <w:rFonts w:hint="cs"/>
          <w:b/>
          <w:bCs/>
          <w:rtl/>
        </w:rPr>
        <w:t>حصيلة ما توصّلنا إليه ممّا تقدّم ه</w:t>
      </w:r>
      <w:r w:rsidR="00E65D6B">
        <w:rPr>
          <w:rFonts w:hint="cs"/>
          <w:b/>
          <w:bCs/>
          <w:rtl/>
        </w:rPr>
        <w:t>و</w:t>
      </w:r>
      <w:r w:rsidRPr="00E65D6B">
        <w:rPr>
          <w:rFonts w:hint="cs"/>
          <w:b/>
          <w:bCs/>
          <w:rtl/>
        </w:rPr>
        <w:t>:</w:t>
      </w:r>
    </w:p>
    <w:p w14:paraId="2AA9D7B6" w14:textId="77777777" w:rsidR="000A4159" w:rsidRPr="00822CE9" w:rsidRDefault="000A4159" w:rsidP="00297EF4">
      <w:pPr>
        <w:pStyle w:val="normal930"/>
        <w:rPr>
          <w:rtl/>
        </w:rPr>
      </w:pPr>
      <w:r w:rsidRPr="00E65D6B">
        <w:rPr>
          <w:rFonts w:hint="cs"/>
          <w:b/>
          <w:bCs/>
          <w:rtl/>
        </w:rPr>
        <w:t xml:space="preserve">1 ـ </w:t>
      </w:r>
      <w:r w:rsidRPr="00822CE9">
        <w:rPr>
          <w:rFonts w:hint="cs"/>
          <w:rtl/>
        </w:rPr>
        <w:t>إن</w:t>
      </w:r>
      <w:r w:rsidR="00E65D6B">
        <w:rPr>
          <w:rFonts w:hint="cs"/>
          <w:rtl/>
        </w:rPr>
        <w:t>ّ</w:t>
      </w:r>
      <w:r w:rsidRPr="00822CE9">
        <w:rPr>
          <w:rFonts w:hint="cs"/>
          <w:rtl/>
        </w:rPr>
        <w:t>ه لم نعثر سوى على رواية واحدة تام</w:t>
      </w:r>
      <w:r w:rsidR="00E65D6B">
        <w:rPr>
          <w:rFonts w:hint="cs"/>
          <w:rtl/>
        </w:rPr>
        <w:t>ّ</w:t>
      </w:r>
      <w:r w:rsidRPr="00822CE9">
        <w:rPr>
          <w:rFonts w:hint="cs"/>
          <w:rtl/>
        </w:rPr>
        <w:t>ة سنداً ودلالةً تفيد حرمة الخروج في عصر الغيبة، وهي صحيحة أبي بصير (الرواية السا</w:t>
      </w:r>
      <w:r w:rsidR="00E65D6B">
        <w:rPr>
          <w:rFonts w:hint="cs"/>
          <w:rtl/>
        </w:rPr>
        <w:t>بعة</w:t>
      </w:r>
      <w:r w:rsidRPr="00822CE9">
        <w:rPr>
          <w:rFonts w:hint="cs"/>
          <w:rtl/>
        </w:rPr>
        <w:t>)</w:t>
      </w:r>
      <w:r w:rsidR="00E65D6B">
        <w:rPr>
          <w:rFonts w:hint="cs"/>
          <w:rtl/>
        </w:rPr>
        <w:t xml:space="preserve"> والدالّة على أنّ كلّ راية قبل المهديّ فهي راية ضلال</w:t>
      </w:r>
      <w:r w:rsidRPr="00822CE9">
        <w:rPr>
          <w:rFonts w:hint="cs"/>
          <w:rtl/>
        </w:rPr>
        <w:t>.</w:t>
      </w:r>
    </w:p>
    <w:p w14:paraId="50C5212E" w14:textId="77777777" w:rsidR="000A4159" w:rsidRDefault="000A4159" w:rsidP="00297EF4">
      <w:pPr>
        <w:pStyle w:val="normal930"/>
        <w:rPr>
          <w:rtl/>
        </w:rPr>
      </w:pPr>
      <w:r w:rsidRPr="00E65D6B">
        <w:rPr>
          <w:rFonts w:hint="cs"/>
          <w:b/>
          <w:bCs/>
          <w:rtl/>
        </w:rPr>
        <w:t>2 ـ</w:t>
      </w:r>
      <w:r w:rsidRPr="00822CE9">
        <w:rPr>
          <w:rFonts w:hint="cs"/>
          <w:rtl/>
        </w:rPr>
        <w:t xml:space="preserve"> قد تبيّن أن</w:t>
      </w:r>
      <w:r w:rsidR="00E65D6B">
        <w:rPr>
          <w:rFonts w:hint="cs"/>
          <w:rtl/>
        </w:rPr>
        <w:t>ّ</w:t>
      </w:r>
      <w:r w:rsidRPr="00822CE9">
        <w:rPr>
          <w:rFonts w:hint="cs"/>
          <w:rtl/>
        </w:rPr>
        <w:t xml:space="preserve"> التام دلالة </w:t>
      </w:r>
      <w:r w:rsidR="00E65D6B">
        <w:rPr>
          <w:rFonts w:hint="cs"/>
          <w:rtl/>
        </w:rPr>
        <w:t xml:space="preserve">ـ </w:t>
      </w:r>
      <w:r w:rsidRPr="00822CE9">
        <w:rPr>
          <w:rFonts w:hint="cs"/>
          <w:rtl/>
        </w:rPr>
        <w:t>إذا صرفنا النظر عن الصدور</w:t>
      </w:r>
      <w:r w:rsidR="00E65D6B">
        <w:rPr>
          <w:rFonts w:hint="cs"/>
          <w:rtl/>
        </w:rPr>
        <w:t xml:space="preserve"> ـ</w:t>
      </w:r>
      <w:r w:rsidRPr="00822CE9">
        <w:rPr>
          <w:rFonts w:hint="cs"/>
          <w:rtl/>
        </w:rPr>
        <w:t xml:space="preserve"> هو كل</w:t>
      </w:r>
      <w:r w:rsidR="00E65D6B">
        <w:rPr>
          <w:rFonts w:hint="cs"/>
          <w:rtl/>
        </w:rPr>
        <w:t>ّ</w:t>
      </w:r>
      <w:r w:rsidRPr="00822CE9">
        <w:rPr>
          <w:rFonts w:hint="cs"/>
          <w:rtl/>
        </w:rPr>
        <w:t xml:space="preserve"> من الروايات: 2،</w:t>
      </w:r>
      <w:r w:rsidR="00E65D6B">
        <w:rPr>
          <w:rFonts w:hint="cs"/>
          <w:rtl/>
        </w:rPr>
        <w:t xml:space="preserve"> 6، 7، 9، 16، 20، 24، 29.</w:t>
      </w:r>
      <w:r w:rsidRPr="00822CE9">
        <w:rPr>
          <w:rFonts w:hint="cs"/>
          <w:rtl/>
        </w:rPr>
        <w:t xml:space="preserve"> وعلى احتمال كل</w:t>
      </w:r>
      <w:r w:rsidR="00E65D6B">
        <w:rPr>
          <w:rFonts w:hint="cs"/>
          <w:rtl/>
        </w:rPr>
        <w:t>ّ</w:t>
      </w:r>
      <w:r w:rsidRPr="00822CE9">
        <w:rPr>
          <w:rFonts w:hint="cs"/>
          <w:rtl/>
        </w:rPr>
        <w:t xml:space="preserve"> من</w:t>
      </w:r>
      <w:r w:rsidR="00E65D6B">
        <w:rPr>
          <w:rFonts w:hint="cs"/>
          <w:rtl/>
        </w:rPr>
        <w:t xml:space="preserve"> 17، 19، 21، 28</w:t>
      </w:r>
      <w:r w:rsidRPr="00822CE9">
        <w:rPr>
          <w:rFonts w:hint="cs"/>
          <w:rtl/>
        </w:rPr>
        <w:t>، أي هناك ثماني روايات دالّة بينها واحدة صحيحة السند، وأربع روايات محتملة الدلالة كلّها ضعيفة السند</w:t>
      </w:r>
      <w:r w:rsidR="00E65D6B">
        <w:rPr>
          <w:rFonts w:hint="cs"/>
          <w:rtl/>
        </w:rPr>
        <w:t>.</w:t>
      </w:r>
      <w:r w:rsidRPr="00822CE9">
        <w:rPr>
          <w:rFonts w:hint="cs"/>
          <w:rtl/>
        </w:rPr>
        <w:t xml:space="preserve"> ومن الواضح ـ </w:t>
      </w:r>
      <w:r w:rsidR="00E65D6B">
        <w:rPr>
          <w:rFonts w:hint="cs"/>
          <w:rtl/>
        </w:rPr>
        <w:t xml:space="preserve">لا </w:t>
      </w:r>
      <w:r w:rsidRPr="00822CE9">
        <w:rPr>
          <w:rFonts w:hint="cs"/>
          <w:rtl/>
        </w:rPr>
        <w:t>سيما مع الاحتمالات اللاحقة ـ أن</w:t>
      </w:r>
      <w:r w:rsidR="00E65D6B">
        <w:rPr>
          <w:rFonts w:hint="cs"/>
          <w:rtl/>
        </w:rPr>
        <w:t>ّ</w:t>
      </w:r>
      <w:r w:rsidRPr="00822CE9">
        <w:rPr>
          <w:rFonts w:hint="cs"/>
          <w:rtl/>
        </w:rPr>
        <w:t>ه لا يحصل تواتر من هذه الروايات وقطع</w:t>
      </w:r>
      <w:r w:rsidR="00E65D6B">
        <w:rPr>
          <w:rFonts w:hint="cs"/>
          <w:rtl/>
        </w:rPr>
        <w:t>ٌ</w:t>
      </w:r>
      <w:r w:rsidRPr="00822CE9">
        <w:rPr>
          <w:rFonts w:hint="cs"/>
          <w:rtl/>
        </w:rPr>
        <w:t xml:space="preserve"> بالصدور؛ لأن</w:t>
      </w:r>
      <w:r w:rsidR="00E65D6B">
        <w:rPr>
          <w:rFonts w:hint="cs"/>
          <w:rtl/>
        </w:rPr>
        <w:t>ّ</w:t>
      </w:r>
      <w:r w:rsidRPr="00822CE9">
        <w:rPr>
          <w:rFonts w:hint="cs"/>
          <w:rtl/>
        </w:rPr>
        <w:t xml:space="preserve"> احتمال الكذب فيها ل</w:t>
      </w:r>
      <w:r w:rsidR="008A1643">
        <w:rPr>
          <w:rFonts w:hint="cs"/>
          <w:rtl/>
        </w:rPr>
        <w:t xml:space="preserve">مصلحة </w:t>
      </w:r>
      <w:r w:rsidRPr="00822CE9">
        <w:rPr>
          <w:rFonts w:hint="cs"/>
          <w:rtl/>
        </w:rPr>
        <w:t>السلطة وارد</w:t>
      </w:r>
      <w:r w:rsidR="00E65D6B">
        <w:rPr>
          <w:rFonts w:hint="cs"/>
          <w:rtl/>
        </w:rPr>
        <w:t>ٌ</w:t>
      </w:r>
      <w:r w:rsidRPr="00822CE9">
        <w:rPr>
          <w:rFonts w:hint="cs"/>
          <w:rtl/>
        </w:rPr>
        <w:t xml:space="preserve"> جداً، </w:t>
      </w:r>
      <w:r w:rsidR="00607AFE">
        <w:rPr>
          <w:rFonts w:hint="cs"/>
          <w:rtl/>
        </w:rPr>
        <w:t xml:space="preserve">ومقصودنا من احتمال الكذب هنا ليس الاحتمال المنطقي، بل المعقوليّة التاريخية الوقوعيّة، </w:t>
      </w:r>
      <w:r w:rsidRPr="00822CE9">
        <w:rPr>
          <w:rFonts w:hint="cs"/>
          <w:rtl/>
        </w:rPr>
        <w:t>بحيث أراد الكذ</w:t>
      </w:r>
      <w:r w:rsidR="00E65D6B">
        <w:rPr>
          <w:rFonts w:hint="cs"/>
          <w:rtl/>
        </w:rPr>
        <w:t>ّ</w:t>
      </w:r>
      <w:r w:rsidRPr="00822CE9">
        <w:rPr>
          <w:rFonts w:hint="cs"/>
          <w:rtl/>
        </w:rPr>
        <w:t>ابون على الأئم</w:t>
      </w:r>
      <w:r w:rsidR="00E65D6B">
        <w:rPr>
          <w:rFonts w:hint="cs"/>
          <w:rtl/>
        </w:rPr>
        <w:t>ّ</w:t>
      </w:r>
      <w:r w:rsidRPr="00822CE9">
        <w:rPr>
          <w:rFonts w:hint="cs"/>
          <w:rtl/>
        </w:rPr>
        <w:t>ة</w:t>
      </w:r>
      <w:r w:rsidR="00E65D6B">
        <w:rPr>
          <w:rFonts w:hint="cs"/>
          <w:rtl/>
        </w:rPr>
        <w:t xml:space="preserve"> الإيح</w:t>
      </w:r>
      <w:r w:rsidRPr="00822CE9">
        <w:rPr>
          <w:rFonts w:hint="cs"/>
          <w:rtl/>
        </w:rPr>
        <w:t>اء لبني أمي</w:t>
      </w:r>
      <w:r w:rsidR="00E65D6B">
        <w:rPr>
          <w:rFonts w:hint="cs"/>
          <w:rtl/>
        </w:rPr>
        <w:t>ّ</w:t>
      </w:r>
      <w:r w:rsidRPr="00822CE9">
        <w:rPr>
          <w:rFonts w:hint="cs"/>
          <w:rtl/>
        </w:rPr>
        <w:t>ة وبني العباس بأن</w:t>
      </w:r>
      <w:r w:rsidR="00E65D6B">
        <w:rPr>
          <w:rFonts w:hint="cs"/>
          <w:rtl/>
        </w:rPr>
        <w:t>ّ</w:t>
      </w:r>
      <w:r w:rsidRPr="00822CE9">
        <w:rPr>
          <w:rFonts w:hint="cs"/>
          <w:rtl/>
        </w:rPr>
        <w:t xml:space="preserve"> مشروعهم السياس</w:t>
      </w:r>
      <w:r w:rsidR="00E65D6B">
        <w:rPr>
          <w:rFonts w:hint="cs"/>
          <w:rtl/>
        </w:rPr>
        <w:t>ي</w:t>
      </w:r>
      <w:r w:rsidRPr="00822CE9">
        <w:rPr>
          <w:rFonts w:hint="cs"/>
          <w:rtl/>
        </w:rPr>
        <w:t xml:space="preserve"> مؤج</w:t>
      </w:r>
      <w:r w:rsidR="00E65D6B">
        <w:rPr>
          <w:rFonts w:hint="cs"/>
          <w:rtl/>
        </w:rPr>
        <w:t>ّ</w:t>
      </w:r>
      <w:r w:rsidRPr="00822CE9">
        <w:rPr>
          <w:rFonts w:hint="cs"/>
          <w:rtl/>
        </w:rPr>
        <w:t>ل إلى عصر</w:t>
      </w:r>
      <w:r w:rsidR="00E65D6B">
        <w:rPr>
          <w:rFonts w:hint="cs"/>
          <w:rtl/>
        </w:rPr>
        <w:t>ٍ</w:t>
      </w:r>
      <w:r w:rsidRPr="00822CE9">
        <w:rPr>
          <w:rFonts w:hint="cs"/>
          <w:rtl/>
        </w:rPr>
        <w:t xml:space="preserve"> آخر، فلا يقلقوا من هذه الناحية</w:t>
      </w:r>
      <w:r w:rsidR="008A4080">
        <w:rPr>
          <w:rFonts w:hint="cs"/>
          <w:rtl/>
        </w:rPr>
        <w:t>، أو أريد للشيعة أن لا يخرجوا فكذب على أئمّتهم في ذلك بما يقع لمصلحة السلطات الحاكمة</w:t>
      </w:r>
      <w:r w:rsidR="008A1643">
        <w:rPr>
          <w:rFonts w:hint="cs"/>
          <w:rtl/>
        </w:rPr>
        <w:t xml:space="preserve"> أو يكون في مواجهة تيار شيعي لتيار شيعي آخر، أعني مواجهة أمثال الزيديّة والحسنيّين من قبل جماعات شيعيّة ترفض الثورات</w:t>
      </w:r>
      <w:r w:rsidR="00E65D6B">
        <w:rPr>
          <w:rFonts w:hint="cs"/>
          <w:rtl/>
        </w:rPr>
        <w:t>.</w:t>
      </w:r>
      <w:r w:rsidRPr="00822CE9">
        <w:rPr>
          <w:rFonts w:hint="cs"/>
          <w:rtl/>
        </w:rPr>
        <w:t xml:space="preserve"> وهذا الاحتمال يجعل ورود هذا العدد من الروايات غير كاف</w:t>
      </w:r>
      <w:r w:rsidR="00E65D6B">
        <w:rPr>
          <w:rFonts w:hint="cs"/>
          <w:rtl/>
        </w:rPr>
        <w:t>ٍ</w:t>
      </w:r>
      <w:r w:rsidRPr="00822CE9">
        <w:rPr>
          <w:rFonts w:hint="cs"/>
          <w:rtl/>
        </w:rPr>
        <w:t xml:space="preserve"> في حصول تواتر أو اطمئنان بالصدور، </w:t>
      </w:r>
      <w:r w:rsidR="00E65D6B">
        <w:rPr>
          <w:rFonts w:hint="cs"/>
          <w:rtl/>
        </w:rPr>
        <w:t xml:space="preserve">وبخاصّة </w:t>
      </w:r>
      <w:r w:rsidRPr="00822CE9">
        <w:rPr>
          <w:rFonts w:hint="cs"/>
          <w:rtl/>
        </w:rPr>
        <w:t>مع عدم التصحيح السندي في أكثرها</w:t>
      </w:r>
      <w:r w:rsidR="00607AFE">
        <w:rPr>
          <w:rFonts w:hint="cs"/>
          <w:rtl/>
        </w:rPr>
        <w:t xml:space="preserve">، وكون الرواة </w:t>
      </w:r>
      <w:r w:rsidR="00607AFE">
        <w:rPr>
          <w:rFonts w:hint="cs"/>
          <w:rtl/>
        </w:rPr>
        <w:lastRenderedPageBreak/>
        <w:t>أغلبهم في العراق فيما الإمامان الباقر والصادق في المدينة، فاحتماليّة الكذب عليهم لتهدئة الوضع المتأزّم في العراق مع السلطة واردة</w:t>
      </w:r>
      <w:r w:rsidRPr="00822CE9">
        <w:rPr>
          <w:rFonts w:hint="cs"/>
          <w:rtl/>
        </w:rPr>
        <w:t>.</w:t>
      </w:r>
    </w:p>
    <w:p w14:paraId="3596C72A" w14:textId="77777777" w:rsidR="008A4080" w:rsidRDefault="008A4080" w:rsidP="00297EF4">
      <w:pPr>
        <w:pStyle w:val="normal84"/>
        <w:rPr>
          <w:rtl/>
        </w:rPr>
      </w:pPr>
      <w:r w:rsidRPr="007D4BEF">
        <w:rPr>
          <w:rFonts w:hint="cs"/>
          <w:b/>
          <w:bCs/>
          <w:rtl/>
        </w:rPr>
        <w:t>يقول السيد مصطفى الخميني:</w:t>
      </w:r>
      <w:r>
        <w:rPr>
          <w:rFonts w:hint="cs"/>
          <w:rtl/>
        </w:rPr>
        <w:t xml:space="preserve"> </w:t>
      </w:r>
      <w:r>
        <w:rPr>
          <w:rFonts w:hint="eastAsia"/>
          <w:rtl/>
        </w:rPr>
        <w:t>«</w:t>
      </w:r>
      <w:r w:rsidRPr="008A4080">
        <w:rPr>
          <w:rtl/>
        </w:rPr>
        <w:t>ثم</w:t>
      </w:r>
      <w:r>
        <w:rPr>
          <w:rFonts w:hint="cs"/>
          <w:rtl/>
        </w:rPr>
        <w:t>ّ</w:t>
      </w:r>
      <w:r w:rsidRPr="008A4080">
        <w:rPr>
          <w:rtl/>
        </w:rPr>
        <w:t xml:space="preserve"> إن</w:t>
      </w:r>
      <w:r>
        <w:rPr>
          <w:rFonts w:hint="cs"/>
          <w:rtl/>
        </w:rPr>
        <w:t>ّ</w:t>
      </w:r>
      <w:r w:rsidRPr="008A4080">
        <w:rPr>
          <w:rtl/>
        </w:rPr>
        <w:t xml:space="preserve"> عصر الخلفاء الجائرين كان يقتضي جعل هذه الأخبار،</w:t>
      </w:r>
      <w:r>
        <w:rPr>
          <w:rFonts w:hint="cs"/>
          <w:rtl/>
        </w:rPr>
        <w:t xml:space="preserve"> </w:t>
      </w:r>
      <w:r>
        <w:rPr>
          <w:rtl/>
        </w:rPr>
        <w:t>ل</w:t>
      </w:r>
      <w:r>
        <w:rPr>
          <w:rFonts w:hint="cs"/>
          <w:rtl/>
        </w:rPr>
        <w:t>إ</w:t>
      </w:r>
      <w:r w:rsidRPr="008A4080">
        <w:rPr>
          <w:rtl/>
        </w:rPr>
        <w:t>خماد</w:t>
      </w:r>
      <w:r>
        <w:rPr>
          <w:rFonts w:hint="cs"/>
          <w:rtl/>
        </w:rPr>
        <w:t xml:space="preserve"> </w:t>
      </w:r>
      <w:r w:rsidRPr="008A4080">
        <w:rPr>
          <w:rtl/>
        </w:rPr>
        <w:t>النار المشتعلة ضد</w:t>
      </w:r>
      <w:r>
        <w:rPr>
          <w:rFonts w:hint="cs"/>
          <w:rtl/>
        </w:rPr>
        <w:t>ّ</w:t>
      </w:r>
      <w:r w:rsidRPr="008A4080">
        <w:rPr>
          <w:rtl/>
        </w:rPr>
        <w:t>هم، وهذا الأمر مما هو الواضح البارز من الأو</w:t>
      </w:r>
      <w:r>
        <w:rPr>
          <w:rFonts w:hint="cs"/>
          <w:rtl/>
        </w:rPr>
        <w:t>ّ</w:t>
      </w:r>
      <w:r w:rsidRPr="008A4080">
        <w:rPr>
          <w:rtl/>
        </w:rPr>
        <w:t>ل إلى</w:t>
      </w:r>
      <w:r>
        <w:rPr>
          <w:rFonts w:hint="cs"/>
          <w:rtl/>
        </w:rPr>
        <w:t xml:space="preserve"> </w:t>
      </w:r>
      <w:r w:rsidRPr="008A4080">
        <w:rPr>
          <w:rtl/>
        </w:rPr>
        <w:t>عصرنا هذا، وهو مقتضى كيد الكيدة ومكر المكرة، وأي</w:t>
      </w:r>
      <w:r>
        <w:rPr>
          <w:rFonts w:hint="cs"/>
          <w:rtl/>
        </w:rPr>
        <w:t>ّ</w:t>
      </w:r>
      <w:r w:rsidRPr="008A4080">
        <w:rPr>
          <w:rtl/>
        </w:rPr>
        <w:t xml:space="preserve"> كيد أحسن من</w:t>
      </w:r>
      <w:r>
        <w:rPr>
          <w:rFonts w:hint="cs"/>
          <w:rtl/>
        </w:rPr>
        <w:t xml:space="preserve"> </w:t>
      </w:r>
      <w:r w:rsidRPr="008A4080">
        <w:rPr>
          <w:rtl/>
        </w:rPr>
        <w:t>ذلك، حتى أورث سكوت أعلام الشريعة في العصور المختلفة، وأوجب</w:t>
      </w:r>
      <w:r>
        <w:rPr>
          <w:rFonts w:hint="cs"/>
          <w:rtl/>
        </w:rPr>
        <w:t xml:space="preserve"> </w:t>
      </w:r>
      <w:r w:rsidRPr="008A4080">
        <w:rPr>
          <w:rtl/>
        </w:rPr>
        <w:t>الترد</w:t>
      </w:r>
      <w:r>
        <w:rPr>
          <w:rFonts w:hint="cs"/>
          <w:rtl/>
        </w:rPr>
        <w:t>ّ</w:t>
      </w:r>
      <w:r w:rsidRPr="008A4080">
        <w:rPr>
          <w:rtl/>
        </w:rPr>
        <w:t>د في الأمر والشك</w:t>
      </w:r>
      <w:r>
        <w:rPr>
          <w:rFonts w:hint="cs"/>
          <w:rtl/>
        </w:rPr>
        <w:t>ّ</w:t>
      </w:r>
      <w:r w:rsidRPr="008A4080">
        <w:rPr>
          <w:rtl/>
        </w:rPr>
        <w:t xml:space="preserve"> في الوظيفة</w:t>
      </w:r>
      <w:r>
        <w:rPr>
          <w:rFonts w:hint="cs"/>
          <w:rtl/>
        </w:rPr>
        <w:t xml:space="preserve">؟! </w:t>
      </w:r>
      <w:r>
        <w:rPr>
          <w:rtl/>
        </w:rPr>
        <w:t>وهذه الأيادي ربما نهضت ل</w:t>
      </w:r>
      <w:r>
        <w:rPr>
          <w:rFonts w:hint="cs"/>
          <w:rtl/>
        </w:rPr>
        <w:t>إ</w:t>
      </w:r>
      <w:r w:rsidRPr="008A4080">
        <w:rPr>
          <w:rtl/>
        </w:rPr>
        <w:t>خفاء المسألة عليهم، باستراق</w:t>
      </w:r>
      <w:r>
        <w:rPr>
          <w:rFonts w:hint="cs"/>
          <w:rtl/>
        </w:rPr>
        <w:t xml:space="preserve"> </w:t>
      </w:r>
      <w:r w:rsidRPr="008A4080">
        <w:rPr>
          <w:rtl/>
        </w:rPr>
        <w:t>الأحاديث التي تحث</w:t>
      </w:r>
      <w:r>
        <w:rPr>
          <w:rFonts w:hint="cs"/>
          <w:rtl/>
        </w:rPr>
        <w:t>ّ</w:t>
      </w:r>
      <w:r w:rsidRPr="008A4080">
        <w:rPr>
          <w:rtl/>
        </w:rPr>
        <w:t xml:space="preserve"> المسلمين ضد</w:t>
      </w:r>
      <w:r>
        <w:rPr>
          <w:rFonts w:hint="cs"/>
          <w:rtl/>
        </w:rPr>
        <w:t>ّ</w:t>
      </w:r>
      <w:r w:rsidRPr="008A4080">
        <w:rPr>
          <w:rtl/>
        </w:rPr>
        <w:t>هم</w:t>
      </w:r>
      <w:r>
        <w:rPr>
          <w:rFonts w:hint="cs"/>
          <w:rtl/>
        </w:rPr>
        <w:t>»</w:t>
      </w:r>
      <w:r w:rsidRPr="000A4159">
        <w:rPr>
          <w:rFonts w:cs="Taher"/>
          <w:vertAlign w:val="superscript"/>
          <w:rtl/>
        </w:rPr>
        <w:t>(</w:t>
      </w:r>
      <w:r w:rsidRPr="000A4159">
        <w:rPr>
          <w:rStyle w:val="FootnoteReference"/>
          <w:rFonts w:cs="Taher"/>
          <w:rtl/>
        </w:rPr>
        <w:footnoteReference w:id="506"/>
      </w:r>
      <w:r w:rsidRPr="000A4159">
        <w:rPr>
          <w:rFonts w:cs="Taher"/>
          <w:vertAlign w:val="superscript"/>
          <w:rtl/>
        </w:rPr>
        <w:t>)</w:t>
      </w:r>
      <w:r>
        <w:rPr>
          <w:rFonts w:hint="cs"/>
          <w:rtl/>
        </w:rPr>
        <w:t>.</w:t>
      </w:r>
    </w:p>
    <w:p w14:paraId="74636DD9" w14:textId="77777777" w:rsidR="008A1643" w:rsidRPr="00822CE9" w:rsidRDefault="008A1643" w:rsidP="00297EF4">
      <w:pPr>
        <w:pStyle w:val="normal84"/>
        <w:rPr>
          <w:rtl/>
        </w:rPr>
      </w:pPr>
      <w:r w:rsidRPr="007D4BEF">
        <w:rPr>
          <w:rFonts w:hint="cs"/>
          <w:b/>
          <w:bCs/>
          <w:rtl/>
        </w:rPr>
        <w:t>وكلامه وإن كان وجيهاً في الجملة، غير أنّ دعواه سرقة الروايات الحقيقيّة وإخفائها أمرٌ صعب إثباته وتحقّقه في الخارج</w:t>
      </w:r>
      <w:r w:rsidR="007D4BEF" w:rsidRPr="007D4BEF">
        <w:rPr>
          <w:rFonts w:cs="Taher"/>
          <w:b/>
          <w:bCs/>
          <w:vertAlign w:val="superscript"/>
          <w:rtl/>
        </w:rPr>
        <w:t>(</w:t>
      </w:r>
      <w:r w:rsidR="007D4BEF" w:rsidRPr="007D4BEF">
        <w:rPr>
          <w:rStyle w:val="FootnoteReference"/>
          <w:rFonts w:cs="Taher"/>
          <w:b/>
          <w:bCs/>
          <w:rtl/>
        </w:rPr>
        <w:footnoteReference w:id="507"/>
      </w:r>
      <w:r w:rsidR="007D4BEF" w:rsidRPr="007D4BEF">
        <w:rPr>
          <w:rFonts w:cs="Taher"/>
          <w:b/>
          <w:bCs/>
          <w:vertAlign w:val="superscript"/>
          <w:rtl/>
        </w:rPr>
        <w:t>)</w:t>
      </w:r>
      <w:r w:rsidRPr="007D4BEF">
        <w:rPr>
          <w:rFonts w:hint="cs"/>
          <w:b/>
          <w:bCs/>
          <w:rtl/>
        </w:rPr>
        <w:t>،</w:t>
      </w:r>
      <w:r>
        <w:rPr>
          <w:rFonts w:hint="cs"/>
          <w:rtl/>
        </w:rPr>
        <w:t xml:space="preserve"> ما لم نثبت أنّ روايات الخروج والحثّ عليه أو تجويزه في الجملة قد تمّ إخفاؤها من قبل كبار المحدّثين الإماميّة لاحقاً في سياق مواجهتهم لمثل الزيديّة في القرن الثالث والرابع الهجريّين، مرجّحين روايات عدم الخروج، وهذا أمرٌ معقول جداً وله نظائر تحدّثنا عنها في مناسبات أخرى، بحيث كانوا يفضّلون أحياناً عدم نشر تلك الروايات التي يرونها مخالفة للحقّ من وجهة نظرهم، وبخاصّة في موضوع حسّاس، بل قد يكون السبب أنّهم لا يريدون نشرها كون نشرها في كتبهم يسبّب لهم مشكلةً مع السلطات في زمانهم.</w:t>
      </w:r>
      <w:r w:rsidR="007D4BEF">
        <w:rPr>
          <w:rFonts w:hint="cs"/>
          <w:rtl/>
        </w:rPr>
        <w:t xml:space="preserve"> كما يوجد احتمال التقية المانع للأئمّة عن التصريح بعكس تلك الروايات.</w:t>
      </w:r>
    </w:p>
    <w:p w14:paraId="257A04A3" w14:textId="77777777" w:rsidR="000A4159" w:rsidRPr="00822CE9" w:rsidRDefault="000A4159" w:rsidP="00297EF4">
      <w:pPr>
        <w:pStyle w:val="normal84"/>
        <w:rPr>
          <w:rtl/>
        </w:rPr>
      </w:pPr>
      <w:r w:rsidRPr="00822CE9">
        <w:rPr>
          <w:rFonts w:hint="cs"/>
          <w:rtl/>
        </w:rPr>
        <w:t>ي</w:t>
      </w:r>
      <w:r w:rsidR="00E65D6B">
        <w:rPr>
          <w:rFonts w:hint="cs"/>
          <w:rtl/>
        </w:rPr>
        <w:t>ُ</w:t>
      </w:r>
      <w:r w:rsidRPr="00822CE9">
        <w:rPr>
          <w:rFonts w:hint="cs"/>
          <w:rtl/>
        </w:rPr>
        <w:t>ضاف إلى ذلك أن</w:t>
      </w:r>
      <w:r w:rsidR="00E65D6B">
        <w:rPr>
          <w:rFonts w:hint="cs"/>
          <w:rtl/>
        </w:rPr>
        <w:t>ّ</w:t>
      </w:r>
      <w:r w:rsidRPr="00822CE9">
        <w:rPr>
          <w:rFonts w:hint="cs"/>
          <w:rtl/>
        </w:rPr>
        <w:t xml:space="preserve"> بعض هذه الروايات كنّا شك</w:t>
      </w:r>
      <w:r w:rsidR="00E65D6B">
        <w:rPr>
          <w:rFonts w:hint="cs"/>
          <w:rtl/>
        </w:rPr>
        <w:t>ّ</w:t>
      </w:r>
      <w:r w:rsidRPr="00822CE9">
        <w:rPr>
          <w:rFonts w:hint="cs"/>
          <w:rtl/>
        </w:rPr>
        <w:t>كنا في صدوره</w:t>
      </w:r>
      <w:r w:rsidR="00E65D6B">
        <w:rPr>
          <w:rFonts w:hint="cs"/>
          <w:rtl/>
        </w:rPr>
        <w:t>،</w:t>
      </w:r>
      <w:r w:rsidRPr="00822CE9">
        <w:rPr>
          <w:rFonts w:hint="cs"/>
          <w:rtl/>
        </w:rPr>
        <w:t xml:space="preserve"> لا من ناحية الضعف السندي وفق معايير النقد الرجالي، بل من ناحية بطلان المضمون، مثل الروايات التي ربطت للراوي الخاص القضي</w:t>
      </w:r>
      <w:r w:rsidR="00E65D6B">
        <w:rPr>
          <w:rFonts w:hint="cs"/>
          <w:rtl/>
        </w:rPr>
        <w:t>ّ</w:t>
      </w:r>
      <w:r w:rsidRPr="00822CE9">
        <w:rPr>
          <w:rFonts w:hint="cs"/>
          <w:rtl/>
        </w:rPr>
        <w:t>ة بظهور السفياني. كالحديث الثاني و</w:t>
      </w:r>
      <w:r w:rsidR="00E65D6B">
        <w:rPr>
          <w:rFonts w:hint="cs"/>
          <w:rtl/>
        </w:rPr>
        <w:t>السادس،</w:t>
      </w:r>
      <w:r w:rsidRPr="00822CE9">
        <w:rPr>
          <w:rFonts w:hint="cs"/>
          <w:rtl/>
        </w:rPr>
        <w:t xml:space="preserve"> فهذه الروايات احتملنا وضعها من قبل بعض من يعتقدون بقرب ظهور المهدي</w:t>
      </w:r>
      <w:r w:rsidR="00E65D6B">
        <w:rPr>
          <w:rFonts w:hint="cs"/>
          <w:rtl/>
        </w:rPr>
        <w:t>ّ</w:t>
      </w:r>
      <w:r w:rsidRPr="00822CE9">
        <w:rPr>
          <w:rFonts w:hint="cs"/>
          <w:rtl/>
        </w:rPr>
        <w:t xml:space="preserve"> آنذاك، مما هو مخالف للاعتقاد الإمامي وللواقع، وهذا ما يعز</w:t>
      </w:r>
      <w:r w:rsidR="00E65D6B">
        <w:rPr>
          <w:rFonts w:hint="cs"/>
          <w:rtl/>
        </w:rPr>
        <w:t>ّ</w:t>
      </w:r>
      <w:r w:rsidRPr="00822CE9">
        <w:rPr>
          <w:rFonts w:hint="cs"/>
          <w:rtl/>
        </w:rPr>
        <w:t>ز فرضية صعوبة تحصيل يقين بالصدور فيها.</w:t>
      </w:r>
      <w:r w:rsidR="004C7103">
        <w:rPr>
          <w:rFonts w:hint="cs"/>
          <w:rtl/>
        </w:rPr>
        <w:t xml:space="preserve"> كما اعتبر السيد مصطفى الخميني أنّ هذه الروايات تحرّم مواجهة الباطل مطلقاً، وهو ضروريّ البطلان</w:t>
      </w:r>
      <w:r w:rsidR="004C7103" w:rsidRPr="000A4159">
        <w:rPr>
          <w:rFonts w:cs="Taher"/>
          <w:vertAlign w:val="superscript"/>
          <w:rtl/>
        </w:rPr>
        <w:t>(</w:t>
      </w:r>
      <w:r w:rsidR="004C7103" w:rsidRPr="000A4159">
        <w:rPr>
          <w:rStyle w:val="FootnoteReference"/>
          <w:rFonts w:cs="Taher"/>
          <w:rtl/>
        </w:rPr>
        <w:footnoteReference w:id="508"/>
      </w:r>
      <w:r w:rsidR="004C7103" w:rsidRPr="000A4159">
        <w:rPr>
          <w:rFonts w:cs="Taher"/>
          <w:vertAlign w:val="superscript"/>
          <w:rtl/>
        </w:rPr>
        <w:t>)</w:t>
      </w:r>
      <w:r w:rsidR="004C7103">
        <w:rPr>
          <w:rFonts w:hint="cs"/>
          <w:rtl/>
        </w:rPr>
        <w:t xml:space="preserve">، فكأنّه يشير </w:t>
      </w:r>
      <w:r w:rsidR="004C7103">
        <w:rPr>
          <w:rFonts w:hint="cs"/>
          <w:rtl/>
        </w:rPr>
        <w:lastRenderedPageBreak/>
        <w:t>إلى مخالفتها لروح القرآن والسنّة.</w:t>
      </w:r>
    </w:p>
    <w:p w14:paraId="55109CC8" w14:textId="77777777" w:rsidR="000A4159" w:rsidRPr="00E65D6B" w:rsidRDefault="001D7E3A" w:rsidP="001D7E3A">
      <w:pPr>
        <w:spacing w:line="214" w:lineRule="auto"/>
        <w:rPr>
          <w:b/>
          <w:bCs/>
          <w:rtl/>
        </w:rPr>
      </w:pPr>
      <w:r>
        <w:rPr>
          <w:rFonts w:hint="cs"/>
          <w:b/>
          <w:bCs/>
          <w:rtl/>
        </w:rPr>
        <w:t>هذا كلّه لا يعني نهاية القضيّة، بل يعني أنّنا أمام نصوص متعارضة، وعلينا النظر فيها والخروج بمحاولات وحلول، بمعنى أنّنا نقف</w:t>
      </w:r>
      <w:r w:rsidR="000A4159" w:rsidRPr="00E65D6B">
        <w:rPr>
          <w:rFonts w:hint="cs"/>
          <w:b/>
          <w:bCs/>
          <w:rtl/>
        </w:rPr>
        <w:t xml:space="preserve"> أمام أدلّة تحرّم الخروج تعارضها أدلّة سابقة تجيز الخروج</w:t>
      </w:r>
      <w:r>
        <w:rPr>
          <w:rFonts w:hint="cs"/>
          <w:b/>
          <w:bCs/>
          <w:rtl/>
        </w:rPr>
        <w:t>،</w:t>
      </w:r>
      <w:r w:rsidR="000A4159" w:rsidRPr="00E65D6B">
        <w:rPr>
          <w:rFonts w:hint="cs"/>
          <w:b/>
          <w:bCs/>
          <w:rtl/>
        </w:rPr>
        <w:t xml:space="preserve"> ولو في بعض الحالات</w:t>
      </w:r>
      <w:r w:rsidR="00E65D6B" w:rsidRPr="00E65D6B">
        <w:rPr>
          <w:rFonts w:hint="cs"/>
          <w:b/>
          <w:bCs/>
          <w:rtl/>
        </w:rPr>
        <w:t>،</w:t>
      </w:r>
      <w:r w:rsidR="000A4159" w:rsidRPr="00E65D6B">
        <w:rPr>
          <w:rFonts w:hint="cs"/>
          <w:b/>
          <w:bCs/>
          <w:rtl/>
        </w:rPr>
        <w:t xml:space="preserve"> فما هو العمل؟</w:t>
      </w:r>
    </w:p>
    <w:p w14:paraId="795B8E01" w14:textId="77777777" w:rsidR="000A4159" w:rsidRDefault="001D7E3A" w:rsidP="001D7E3A">
      <w:pPr>
        <w:spacing w:line="214" w:lineRule="auto"/>
        <w:rPr>
          <w:b/>
          <w:bCs/>
          <w:rtl/>
        </w:rPr>
      </w:pPr>
      <w:r>
        <w:rPr>
          <w:rFonts w:hint="cs"/>
          <w:b/>
          <w:bCs/>
          <w:rtl/>
        </w:rPr>
        <w:t>يمكن هنا الحديث عن سلسلة من الحلول وال</w:t>
      </w:r>
      <w:r w:rsidR="000A4159" w:rsidRPr="00E65D6B">
        <w:rPr>
          <w:rFonts w:hint="cs"/>
          <w:b/>
          <w:bCs/>
          <w:rtl/>
        </w:rPr>
        <w:t>تصوّرات:</w:t>
      </w:r>
    </w:p>
    <w:p w14:paraId="4863A50A" w14:textId="77777777" w:rsidR="004F083D" w:rsidRPr="009574C9" w:rsidRDefault="004F083D" w:rsidP="000153E6">
      <w:pPr>
        <w:pStyle w:val="Heading5"/>
        <w:rPr>
          <w:rtl/>
        </w:rPr>
      </w:pPr>
      <w:bookmarkStart w:id="247" w:name="_Toc143804203"/>
      <w:bookmarkStart w:id="248" w:name="_Toc238123328"/>
      <w:r w:rsidRPr="009574C9">
        <w:rPr>
          <w:rFonts w:hint="cs"/>
          <w:rtl/>
        </w:rPr>
        <w:t>الحلّ الأوّل: التمييز بالتحقيب الزمني (العصر العباسي) أو بفرص النجاح وعدمها</w:t>
      </w:r>
      <w:bookmarkEnd w:id="247"/>
      <w:bookmarkEnd w:id="248"/>
    </w:p>
    <w:p w14:paraId="31BF4108" w14:textId="77777777" w:rsidR="000A4159" w:rsidRPr="00822CE9" w:rsidRDefault="004F083D" w:rsidP="001D7E3A">
      <w:pPr>
        <w:spacing w:line="214" w:lineRule="auto"/>
        <w:rPr>
          <w:rtl/>
        </w:rPr>
      </w:pPr>
      <w:r>
        <w:rPr>
          <w:rFonts w:hint="cs"/>
          <w:rtl/>
        </w:rPr>
        <w:t>يرى هذا الحلّ أ</w:t>
      </w:r>
      <w:r w:rsidR="000A4159" w:rsidRPr="00822CE9">
        <w:rPr>
          <w:rFonts w:hint="cs"/>
          <w:rtl/>
        </w:rPr>
        <w:t>ن نفترض أن</w:t>
      </w:r>
      <w:r w:rsidR="001D7E3A">
        <w:rPr>
          <w:rFonts w:hint="cs"/>
          <w:rtl/>
        </w:rPr>
        <w:t>ّ</w:t>
      </w:r>
      <w:r w:rsidR="000A4159" w:rsidRPr="00822CE9">
        <w:rPr>
          <w:rFonts w:hint="cs"/>
          <w:rtl/>
        </w:rPr>
        <w:t xml:space="preserve"> هذه الروايات </w:t>
      </w:r>
      <w:r w:rsidR="001D7E3A">
        <w:rPr>
          <w:rFonts w:hint="cs"/>
          <w:rtl/>
        </w:rPr>
        <w:t xml:space="preserve">المحرّمة </w:t>
      </w:r>
      <w:r w:rsidR="000A4159" w:rsidRPr="00822CE9">
        <w:rPr>
          <w:rFonts w:hint="cs"/>
          <w:rtl/>
        </w:rPr>
        <w:t>خاص</w:t>
      </w:r>
      <w:r w:rsidR="001D7E3A">
        <w:rPr>
          <w:rFonts w:hint="cs"/>
          <w:rtl/>
        </w:rPr>
        <w:t>ّ</w:t>
      </w:r>
      <w:r w:rsidR="000A4159" w:rsidRPr="00822CE9">
        <w:rPr>
          <w:rFonts w:hint="cs"/>
          <w:rtl/>
        </w:rPr>
        <w:t>ة بالعصر العباسي في مرحلة ازدهاره</w:t>
      </w:r>
      <w:r w:rsidR="001D7E3A">
        <w:rPr>
          <w:rFonts w:hint="cs"/>
          <w:rtl/>
        </w:rPr>
        <w:t>،</w:t>
      </w:r>
      <w:r w:rsidR="000A4159" w:rsidRPr="00822CE9">
        <w:rPr>
          <w:rFonts w:hint="cs"/>
          <w:rtl/>
        </w:rPr>
        <w:t xml:space="preserve"> حيث لا </w:t>
      </w:r>
      <w:r w:rsidR="001D7E3A">
        <w:rPr>
          <w:rFonts w:hint="cs"/>
          <w:rtl/>
        </w:rPr>
        <w:t xml:space="preserve">توجد </w:t>
      </w:r>
      <w:r w:rsidR="000A4159" w:rsidRPr="00822CE9">
        <w:rPr>
          <w:rFonts w:hint="cs"/>
          <w:rtl/>
        </w:rPr>
        <w:t>فرص</w:t>
      </w:r>
      <w:r w:rsidR="001D7E3A">
        <w:rPr>
          <w:rFonts w:hint="cs"/>
          <w:rtl/>
        </w:rPr>
        <w:t>ٌ</w:t>
      </w:r>
      <w:r w:rsidR="000A4159" w:rsidRPr="00822CE9">
        <w:rPr>
          <w:rFonts w:hint="cs"/>
          <w:rtl/>
        </w:rPr>
        <w:t xml:space="preserve"> ولا إمكانية للخروج إطلاقاً، وبهذا نجمع بينها وبين الأدلّة المرخ</w:t>
      </w:r>
      <w:r w:rsidR="001D7E3A">
        <w:rPr>
          <w:rFonts w:hint="cs"/>
          <w:rtl/>
        </w:rPr>
        <w:t>ّ</w:t>
      </w:r>
      <w:r w:rsidR="000A4159" w:rsidRPr="00822CE9">
        <w:rPr>
          <w:rFonts w:hint="cs"/>
          <w:rtl/>
        </w:rPr>
        <w:t xml:space="preserve">صة في الثورة، فنحملها على غير </w:t>
      </w:r>
      <w:r w:rsidR="001D7E3A">
        <w:rPr>
          <w:rFonts w:hint="cs"/>
          <w:rtl/>
        </w:rPr>
        <w:t xml:space="preserve">العصر </w:t>
      </w:r>
      <w:r w:rsidR="000A4159" w:rsidRPr="00822CE9">
        <w:rPr>
          <w:rFonts w:hint="cs"/>
          <w:rtl/>
        </w:rPr>
        <w:t>العباسي أو على وجود ف</w:t>
      </w:r>
      <w:r w:rsidR="001D7E3A">
        <w:rPr>
          <w:rFonts w:hint="cs"/>
          <w:rtl/>
        </w:rPr>
        <w:t>ُ</w:t>
      </w:r>
      <w:r w:rsidR="000A4159" w:rsidRPr="00822CE9">
        <w:rPr>
          <w:rFonts w:hint="cs"/>
          <w:rtl/>
        </w:rPr>
        <w:t>رص لنجاح الحركة الثوري</w:t>
      </w:r>
      <w:r w:rsidR="001D7E3A">
        <w:rPr>
          <w:rFonts w:hint="cs"/>
          <w:rtl/>
        </w:rPr>
        <w:t>ّ</w:t>
      </w:r>
      <w:r w:rsidR="000A4159" w:rsidRPr="00822CE9">
        <w:rPr>
          <w:rFonts w:hint="cs"/>
          <w:rtl/>
        </w:rPr>
        <w:t>ة</w:t>
      </w:r>
      <w:r w:rsidR="000A4159" w:rsidRPr="000A4159">
        <w:rPr>
          <w:rFonts w:cs="Taher"/>
          <w:vertAlign w:val="superscript"/>
          <w:rtl/>
        </w:rPr>
        <w:t>(</w:t>
      </w:r>
      <w:r w:rsidR="000A4159" w:rsidRPr="000A4159">
        <w:rPr>
          <w:rStyle w:val="FootnoteReference"/>
          <w:rFonts w:cs="Taher"/>
          <w:rtl/>
        </w:rPr>
        <w:footnoteReference w:id="509"/>
      </w:r>
      <w:r w:rsidR="000A4159" w:rsidRPr="000A4159">
        <w:rPr>
          <w:rFonts w:cs="Taher"/>
          <w:vertAlign w:val="superscript"/>
          <w:rtl/>
        </w:rPr>
        <w:t>)</w:t>
      </w:r>
      <w:r w:rsidR="000A4159" w:rsidRPr="00822CE9">
        <w:rPr>
          <w:rtl/>
        </w:rPr>
        <w:t>.</w:t>
      </w:r>
    </w:p>
    <w:p w14:paraId="112EA5ED" w14:textId="77777777" w:rsidR="000A4159" w:rsidRDefault="000A4159" w:rsidP="009A6283">
      <w:pPr>
        <w:pStyle w:val="normal84"/>
        <w:rPr>
          <w:rtl/>
        </w:rPr>
      </w:pPr>
      <w:r w:rsidRPr="001D7E3A">
        <w:rPr>
          <w:rFonts w:hint="cs"/>
          <w:b/>
          <w:bCs/>
          <w:rtl/>
        </w:rPr>
        <w:t>وهذا النم</w:t>
      </w:r>
      <w:r w:rsidR="001D7E3A" w:rsidRPr="001D7E3A">
        <w:rPr>
          <w:rFonts w:hint="cs"/>
          <w:b/>
          <w:bCs/>
          <w:rtl/>
        </w:rPr>
        <w:t>ط</w:t>
      </w:r>
      <w:r w:rsidRPr="001D7E3A">
        <w:rPr>
          <w:rFonts w:hint="cs"/>
          <w:b/>
          <w:bCs/>
          <w:rtl/>
        </w:rPr>
        <w:t xml:space="preserve"> من الجمع غير صحيح؛</w:t>
      </w:r>
      <w:r w:rsidRPr="00822CE9">
        <w:rPr>
          <w:rFonts w:hint="cs"/>
          <w:rtl/>
        </w:rPr>
        <w:t xml:space="preserve"> فقد شرطنا غير مرّة في الجمع العرفي أن يكون بحيث يحتمله الطرفان المتعارضان، وقد بيّنا لدى دراسة هذه الروايات أن</w:t>
      </w:r>
      <w:r w:rsidR="001D7E3A">
        <w:rPr>
          <w:rFonts w:hint="cs"/>
          <w:rtl/>
        </w:rPr>
        <w:t>ّ</w:t>
      </w:r>
      <w:r w:rsidRPr="00822CE9">
        <w:rPr>
          <w:rFonts w:hint="cs"/>
          <w:rtl/>
        </w:rPr>
        <w:t xml:space="preserve"> فرضية حصرها الزماني غير صحيحة، نعم بعض الروايات في هذا الموضوع كانت محصورة زمانياً، أم</w:t>
      </w:r>
      <w:r w:rsidR="001D7E3A">
        <w:rPr>
          <w:rFonts w:hint="cs"/>
          <w:rtl/>
        </w:rPr>
        <w:t>ّ</w:t>
      </w:r>
      <w:r w:rsidRPr="00822CE9">
        <w:rPr>
          <w:rFonts w:hint="cs"/>
          <w:rtl/>
        </w:rPr>
        <w:t>ا هذه الروايات التي اعتبرناها تام</w:t>
      </w:r>
      <w:r w:rsidR="001D7E3A">
        <w:rPr>
          <w:rFonts w:hint="cs"/>
          <w:rtl/>
        </w:rPr>
        <w:t>ّ</w:t>
      </w:r>
      <w:r w:rsidRPr="00822CE9">
        <w:rPr>
          <w:rFonts w:hint="cs"/>
          <w:rtl/>
        </w:rPr>
        <w:t>ة الدلالة ـ بصرف النظر عن السند ـ فقد نفينا فيها احتمال الت</w:t>
      </w:r>
      <w:r w:rsidR="001D7E3A">
        <w:rPr>
          <w:rFonts w:hint="cs"/>
          <w:rtl/>
        </w:rPr>
        <w:t>م</w:t>
      </w:r>
      <w:r w:rsidRPr="00822CE9">
        <w:rPr>
          <w:rFonts w:hint="cs"/>
          <w:rtl/>
        </w:rPr>
        <w:t>وضع الزمكاني، مما يجعل الجمع غير عرفي بالنسبة إلى دلالتها.</w:t>
      </w:r>
    </w:p>
    <w:p w14:paraId="45A03CA7" w14:textId="77777777" w:rsidR="004F083D" w:rsidRPr="004F083D" w:rsidRDefault="004F083D" w:rsidP="000153E6">
      <w:pPr>
        <w:pStyle w:val="Heading5"/>
        <w:rPr>
          <w:rtl/>
        </w:rPr>
      </w:pPr>
      <w:bookmarkStart w:id="249" w:name="_Toc143804204"/>
      <w:bookmarkStart w:id="250" w:name="_Toc238123329"/>
      <w:r w:rsidRPr="004F083D">
        <w:rPr>
          <w:rFonts w:hint="cs"/>
          <w:rtl/>
        </w:rPr>
        <w:t>الحلّ الثاني: حمل نصوص النهي عن الثورات على التقية</w:t>
      </w:r>
      <w:r>
        <w:rPr>
          <w:rFonts w:hint="cs"/>
          <w:rtl/>
        </w:rPr>
        <w:t>، تحليل وتعليق</w:t>
      </w:r>
      <w:bookmarkEnd w:id="249"/>
      <w:bookmarkEnd w:id="250"/>
    </w:p>
    <w:p w14:paraId="2F43BE6B" w14:textId="77777777" w:rsidR="000A4159" w:rsidRPr="00822CE9" w:rsidRDefault="004F083D" w:rsidP="00297EF4">
      <w:pPr>
        <w:pStyle w:val="normal84"/>
        <w:rPr>
          <w:rtl/>
        </w:rPr>
      </w:pPr>
      <w:r>
        <w:rPr>
          <w:rFonts w:hint="cs"/>
          <w:rtl/>
        </w:rPr>
        <w:t xml:space="preserve">ترى هذه المحاولة أنّ المطلوب هو أن </w:t>
      </w:r>
      <w:r w:rsidR="000A4159" w:rsidRPr="00822CE9">
        <w:rPr>
          <w:rFonts w:hint="cs"/>
          <w:rtl/>
        </w:rPr>
        <w:t xml:space="preserve">نحمل الروايات </w:t>
      </w:r>
      <w:r w:rsidR="007D5F26">
        <w:rPr>
          <w:rFonts w:hint="cs"/>
          <w:rtl/>
        </w:rPr>
        <w:t>الناهية بر</w:t>
      </w:r>
      <w:r w:rsidR="001D7E3A">
        <w:rPr>
          <w:rFonts w:hint="cs"/>
          <w:rtl/>
        </w:rPr>
        <w:t>م</w:t>
      </w:r>
      <w:r w:rsidR="007D5F26">
        <w:rPr>
          <w:rFonts w:hint="cs"/>
          <w:rtl/>
        </w:rPr>
        <w:t>ّ</w:t>
      </w:r>
      <w:r w:rsidR="001D7E3A">
        <w:rPr>
          <w:rFonts w:hint="cs"/>
          <w:rtl/>
        </w:rPr>
        <w:t>تها على التقية؛</w:t>
      </w:r>
      <w:r w:rsidR="000A4159" w:rsidRPr="00822CE9">
        <w:rPr>
          <w:rFonts w:hint="cs"/>
          <w:rtl/>
        </w:rPr>
        <w:t xml:space="preserve"> لأن</w:t>
      </w:r>
      <w:r w:rsidR="001D7E3A">
        <w:rPr>
          <w:rFonts w:hint="cs"/>
          <w:rtl/>
        </w:rPr>
        <w:t>ّ</w:t>
      </w:r>
      <w:r w:rsidR="000A4159" w:rsidRPr="00822CE9">
        <w:rPr>
          <w:rFonts w:hint="cs"/>
          <w:rtl/>
        </w:rPr>
        <w:t xml:space="preserve"> ظروف صدورها كانت </w:t>
      </w:r>
      <w:r w:rsidR="001D7E3A">
        <w:rPr>
          <w:rFonts w:hint="cs"/>
          <w:rtl/>
        </w:rPr>
        <w:t xml:space="preserve">ظروف </w:t>
      </w:r>
      <w:r w:rsidR="000A4159" w:rsidRPr="00822CE9">
        <w:rPr>
          <w:rFonts w:hint="cs"/>
          <w:rtl/>
        </w:rPr>
        <w:t>تقية شديدة، وكانت العيون على الأئم</w:t>
      </w:r>
      <w:r w:rsidR="001D7E3A">
        <w:rPr>
          <w:rFonts w:hint="cs"/>
          <w:rtl/>
        </w:rPr>
        <w:t>ّ</w:t>
      </w:r>
      <w:r w:rsidR="000A4159" w:rsidRPr="00822CE9">
        <w:rPr>
          <w:rFonts w:hint="cs"/>
          <w:rtl/>
        </w:rPr>
        <w:t>ة في هذه الفترة شديدة جداً، ومن المنطقي للغاية صدور هذه الروايات لحماية الأئم</w:t>
      </w:r>
      <w:r w:rsidR="001D7E3A">
        <w:rPr>
          <w:rFonts w:hint="cs"/>
          <w:rtl/>
        </w:rPr>
        <w:t>ّ</w:t>
      </w:r>
      <w:r w:rsidR="000A4159" w:rsidRPr="00822CE9">
        <w:rPr>
          <w:rFonts w:hint="cs"/>
          <w:rtl/>
        </w:rPr>
        <w:t>ة والشيعة من البطش الأموي والعباسي، وعبر هذا السبيل نجمع بين هذه الروايات وبين الأدلّة التي دلّت على جواز الثورة في الجملة</w:t>
      </w:r>
      <w:r w:rsidR="000A4159" w:rsidRPr="000A4159">
        <w:rPr>
          <w:rFonts w:cs="Taher"/>
          <w:vertAlign w:val="superscript"/>
          <w:rtl/>
        </w:rPr>
        <w:t>(</w:t>
      </w:r>
      <w:r w:rsidR="000A4159" w:rsidRPr="000A4159">
        <w:rPr>
          <w:rStyle w:val="FootnoteReference"/>
          <w:rFonts w:cs="Taher"/>
          <w:rtl/>
        </w:rPr>
        <w:footnoteReference w:id="510"/>
      </w:r>
      <w:r w:rsidR="000A4159" w:rsidRPr="000A4159">
        <w:rPr>
          <w:rFonts w:cs="Taher"/>
          <w:vertAlign w:val="superscript"/>
          <w:rtl/>
        </w:rPr>
        <w:t>)</w:t>
      </w:r>
      <w:r w:rsidR="000A4159" w:rsidRPr="00822CE9">
        <w:rPr>
          <w:rtl/>
        </w:rPr>
        <w:t>.</w:t>
      </w:r>
    </w:p>
    <w:p w14:paraId="54ECC9FD" w14:textId="77777777" w:rsidR="000A4159" w:rsidRPr="001D7E3A" w:rsidRDefault="000A4159" w:rsidP="00A079D6">
      <w:pPr>
        <w:spacing w:line="214" w:lineRule="auto"/>
        <w:rPr>
          <w:b/>
          <w:bCs/>
          <w:rtl/>
        </w:rPr>
      </w:pPr>
      <w:r w:rsidRPr="001D7E3A">
        <w:rPr>
          <w:rFonts w:hint="cs"/>
          <w:b/>
          <w:bCs/>
          <w:rtl/>
        </w:rPr>
        <w:t>وهذا التصوّر أفضل من سابقه، لكن</w:t>
      </w:r>
      <w:r w:rsidR="001D7E3A">
        <w:rPr>
          <w:rFonts w:hint="cs"/>
          <w:b/>
          <w:bCs/>
          <w:rtl/>
        </w:rPr>
        <w:t>ّ</w:t>
      </w:r>
      <w:r w:rsidRPr="001D7E3A">
        <w:rPr>
          <w:rFonts w:hint="cs"/>
          <w:b/>
          <w:bCs/>
          <w:rtl/>
        </w:rPr>
        <w:t>ه موقوف</w:t>
      </w:r>
      <w:r w:rsidR="001D7E3A">
        <w:rPr>
          <w:rFonts w:hint="cs"/>
          <w:b/>
          <w:bCs/>
          <w:rtl/>
        </w:rPr>
        <w:t>ٌ</w:t>
      </w:r>
      <w:r w:rsidRPr="001D7E3A">
        <w:rPr>
          <w:rFonts w:hint="cs"/>
          <w:b/>
          <w:bCs/>
          <w:rtl/>
        </w:rPr>
        <w:t xml:space="preserve"> على:</w:t>
      </w:r>
    </w:p>
    <w:p w14:paraId="1B0DD4D1" w14:textId="77777777" w:rsidR="000A4159" w:rsidRPr="00822CE9" w:rsidRDefault="000A4159" w:rsidP="001D7E3A">
      <w:pPr>
        <w:spacing w:line="214" w:lineRule="auto"/>
        <w:rPr>
          <w:rtl/>
        </w:rPr>
      </w:pPr>
      <w:r w:rsidRPr="001D7E3A">
        <w:rPr>
          <w:rFonts w:hint="cs"/>
          <w:b/>
          <w:bCs/>
          <w:rtl/>
        </w:rPr>
        <w:lastRenderedPageBreak/>
        <w:t xml:space="preserve">أ ـ </w:t>
      </w:r>
      <w:r w:rsidRPr="00822CE9">
        <w:rPr>
          <w:rFonts w:hint="cs"/>
          <w:rtl/>
        </w:rPr>
        <w:t>أن لا يمكن ممارسة جمع عرفي بين الأدلّة الدال</w:t>
      </w:r>
      <w:r w:rsidR="001D7E3A">
        <w:rPr>
          <w:rFonts w:hint="cs"/>
          <w:rtl/>
        </w:rPr>
        <w:t>ّ</w:t>
      </w:r>
      <w:r w:rsidRPr="00822CE9">
        <w:rPr>
          <w:rFonts w:hint="cs"/>
          <w:rtl/>
        </w:rPr>
        <w:t>ة على شرعي</w:t>
      </w:r>
      <w:r w:rsidR="001D7E3A">
        <w:rPr>
          <w:rFonts w:hint="cs"/>
          <w:rtl/>
        </w:rPr>
        <w:t>ّ</w:t>
      </w:r>
      <w:r w:rsidRPr="00822CE9">
        <w:rPr>
          <w:rFonts w:hint="cs"/>
          <w:rtl/>
        </w:rPr>
        <w:t>ة الثورة وعدم شرعي</w:t>
      </w:r>
      <w:r w:rsidR="001D7E3A">
        <w:rPr>
          <w:rFonts w:hint="cs"/>
          <w:rtl/>
        </w:rPr>
        <w:t>ّتها، وإلا قُدّ</w:t>
      </w:r>
      <w:r w:rsidRPr="00822CE9">
        <w:rPr>
          <w:rFonts w:hint="cs"/>
          <w:rtl/>
        </w:rPr>
        <w:t>م هذا الجمع على فرضية التقية؛ لأنّ فرضيتها تأتي في حال التعارض المستقر، وهو ما لا معنى له عندما يمكن الجمع العرفي بين النصوص كلّها.</w:t>
      </w:r>
    </w:p>
    <w:p w14:paraId="7CAA0A99" w14:textId="77777777" w:rsidR="000A4159" w:rsidRPr="00822CE9" w:rsidRDefault="000A4159" w:rsidP="001D7E3A">
      <w:pPr>
        <w:spacing w:line="214" w:lineRule="auto"/>
        <w:rPr>
          <w:rtl/>
        </w:rPr>
      </w:pPr>
      <w:r w:rsidRPr="001D7E3A">
        <w:rPr>
          <w:rFonts w:hint="cs"/>
          <w:b/>
          <w:bCs/>
          <w:rtl/>
        </w:rPr>
        <w:t xml:space="preserve">ب ـ </w:t>
      </w:r>
      <w:r w:rsidRPr="00822CE9">
        <w:rPr>
          <w:rFonts w:hint="cs"/>
          <w:rtl/>
        </w:rPr>
        <w:t>أن تتحم</w:t>
      </w:r>
      <w:r w:rsidR="001D7E3A">
        <w:rPr>
          <w:rFonts w:hint="cs"/>
          <w:rtl/>
        </w:rPr>
        <w:t>ّ</w:t>
      </w:r>
      <w:r w:rsidRPr="00822CE9">
        <w:rPr>
          <w:rFonts w:hint="cs"/>
          <w:rtl/>
        </w:rPr>
        <w:t>ل هذه الروايات نفسها افتراض التقية نفسه، وإلا صعب الأخذ بهذه الفرضي</w:t>
      </w:r>
      <w:r w:rsidR="001D7E3A">
        <w:rPr>
          <w:rFonts w:hint="cs"/>
          <w:rtl/>
        </w:rPr>
        <w:t>ّ</w:t>
      </w:r>
      <w:r w:rsidRPr="00822CE9">
        <w:rPr>
          <w:rFonts w:hint="cs"/>
          <w:rtl/>
        </w:rPr>
        <w:t>ة</w:t>
      </w:r>
      <w:r w:rsidR="001D7E3A">
        <w:rPr>
          <w:rFonts w:hint="cs"/>
          <w:rtl/>
        </w:rPr>
        <w:t>،</w:t>
      </w:r>
      <w:r w:rsidRPr="00822CE9">
        <w:rPr>
          <w:rFonts w:hint="cs"/>
          <w:rtl/>
        </w:rPr>
        <w:t xml:space="preserve"> طبقاً </w:t>
      </w:r>
      <w:r w:rsidR="001D7E3A">
        <w:rPr>
          <w:rFonts w:hint="cs"/>
          <w:rtl/>
        </w:rPr>
        <w:t xml:space="preserve">لروحِ </w:t>
      </w:r>
      <w:r w:rsidRPr="00822CE9">
        <w:rPr>
          <w:rFonts w:hint="cs"/>
          <w:rtl/>
        </w:rPr>
        <w:t>ما قلناه في مناقشة ال</w:t>
      </w:r>
      <w:r w:rsidR="001D7E3A">
        <w:rPr>
          <w:rFonts w:hint="cs"/>
          <w:rtl/>
        </w:rPr>
        <w:t>حلّ</w:t>
      </w:r>
      <w:r w:rsidRPr="00822CE9">
        <w:rPr>
          <w:rFonts w:hint="cs"/>
          <w:rtl/>
        </w:rPr>
        <w:t xml:space="preserve"> الأوّل.</w:t>
      </w:r>
    </w:p>
    <w:p w14:paraId="22658406" w14:textId="77777777" w:rsidR="000A4159" w:rsidRPr="00822CE9" w:rsidRDefault="000A4159" w:rsidP="001D7E3A">
      <w:pPr>
        <w:spacing w:line="214" w:lineRule="auto"/>
        <w:rPr>
          <w:rtl/>
        </w:rPr>
      </w:pPr>
      <w:r w:rsidRPr="001D7E3A">
        <w:rPr>
          <w:rFonts w:hint="cs"/>
          <w:b/>
          <w:bCs/>
          <w:rtl/>
        </w:rPr>
        <w:t>والشرط الثاني هنا تام؛</w:t>
      </w:r>
      <w:r w:rsidRPr="00822CE9">
        <w:rPr>
          <w:rFonts w:hint="cs"/>
          <w:rtl/>
        </w:rPr>
        <w:t xml:space="preserve"> فقد راجعنا هذه الروايات التام</w:t>
      </w:r>
      <w:r w:rsidR="001D7E3A">
        <w:rPr>
          <w:rFonts w:hint="cs"/>
          <w:rtl/>
        </w:rPr>
        <w:t>ّ</w:t>
      </w:r>
      <w:r w:rsidRPr="00822CE9">
        <w:rPr>
          <w:rFonts w:hint="cs"/>
          <w:rtl/>
        </w:rPr>
        <w:t>ة الدلالة</w:t>
      </w:r>
      <w:r w:rsidR="001D7E3A">
        <w:rPr>
          <w:rFonts w:hint="cs"/>
          <w:rtl/>
        </w:rPr>
        <w:t>،</w:t>
      </w:r>
      <w:r w:rsidRPr="00822CE9">
        <w:rPr>
          <w:rFonts w:hint="cs"/>
          <w:rtl/>
        </w:rPr>
        <w:t xml:space="preserve"> ووجدنا أن</w:t>
      </w:r>
      <w:r w:rsidR="001D7E3A">
        <w:rPr>
          <w:rFonts w:hint="cs"/>
          <w:rtl/>
        </w:rPr>
        <w:t>ّ</w:t>
      </w:r>
      <w:r w:rsidRPr="00822CE9">
        <w:rPr>
          <w:rFonts w:hint="cs"/>
          <w:rtl/>
        </w:rPr>
        <w:t>ه لايوجد ما يمنع فرضية التقي</w:t>
      </w:r>
      <w:r w:rsidR="001D7E3A">
        <w:rPr>
          <w:rFonts w:hint="cs"/>
          <w:rtl/>
        </w:rPr>
        <w:t>ّ</w:t>
      </w:r>
      <w:r w:rsidRPr="00822CE9">
        <w:rPr>
          <w:rFonts w:hint="cs"/>
          <w:rtl/>
        </w:rPr>
        <w:t>ة فيها، بل هي فرضي</w:t>
      </w:r>
      <w:r w:rsidR="001D7E3A">
        <w:rPr>
          <w:rFonts w:hint="cs"/>
          <w:rtl/>
        </w:rPr>
        <w:t>ّ</w:t>
      </w:r>
      <w:r w:rsidRPr="00822CE9">
        <w:rPr>
          <w:rFonts w:hint="cs"/>
          <w:rtl/>
        </w:rPr>
        <w:t>ة معقولة للغاية؛ لأن</w:t>
      </w:r>
      <w:r w:rsidR="001D7E3A">
        <w:rPr>
          <w:rFonts w:hint="cs"/>
          <w:rtl/>
        </w:rPr>
        <w:t>ّ</w:t>
      </w:r>
      <w:r w:rsidRPr="00822CE9">
        <w:rPr>
          <w:rFonts w:hint="cs"/>
          <w:rtl/>
        </w:rPr>
        <w:t xml:space="preserve"> أبرز مصاديق جريان التقية هو حماية الجماعة المؤمنة من بطش السلاطين، فأقوى </w:t>
      </w:r>
      <w:r w:rsidR="001D7E3A">
        <w:rPr>
          <w:rFonts w:hint="cs"/>
          <w:rtl/>
        </w:rPr>
        <w:t>محلّ ت</w:t>
      </w:r>
      <w:r w:rsidRPr="00822CE9">
        <w:rPr>
          <w:rFonts w:hint="cs"/>
          <w:rtl/>
        </w:rPr>
        <w:t>حتمل فيه التقية هو هذا الموضع.</w:t>
      </w:r>
    </w:p>
    <w:p w14:paraId="2B869826" w14:textId="77777777" w:rsidR="000A4159" w:rsidRDefault="000A4159" w:rsidP="00E353C2">
      <w:pPr>
        <w:spacing w:line="214" w:lineRule="auto"/>
        <w:rPr>
          <w:rtl/>
        </w:rPr>
      </w:pPr>
      <w:r w:rsidRPr="001D7E3A">
        <w:rPr>
          <w:rFonts w:hint="cs"/>
          <w:b/>
          <w:bCs/>
          <w:rtl/>
        </w:rPr>
        <w:t>وأم</w:t>
      </w:r>
      <w:r w:rsidR="001D7E3A">
        <w:rPr>
          <w:rFonts w:hint="cs"/>
          <w:b/>
          <w:bCs/>
          <w:rtl/>
        </w:rPr>
        <w:t>ّ</w:t>
      </w:r>
      <w:r w:rsidRPr="001D7E3A">
        <w:rPr>
          <w:rFonts w:hint="cs"/>
          <w:b/>
          <w:bCs/>
          <w:rtl/>
        </w:rPr>
        <w:t xml:space="preserve">ا </w:t>
      </w:r>
      <w:r w:rsidR="00794D42">
        <w:rPr>
          <w:rFonts w:hint="cs"/>
          <w:b/>
          <w:bCs/>
          <w:rtl/>
        </w:rPr>
        <w:t>ا</w:t>
      </w:r>
      <w:r w:rsidRPr="001D7E3A">
        <w:rPr>
          <w:rFonts w:hint="cs"/>
          <w:b/>
          <w:bCs/>
          <w:rtl/>
        </w:rPr>
        <w:t>لشرط الأو</w:t>
      </w:r>
      <w:r w:rsidR="001D7E3A">
        <w:rPr>
          <w:rFonts w:hint="cs"/>
          <w:b/>
          <w:bCs/>
          <w:rtl/>
        </w:rPr>
        <w:t>ّ</w:t>
      </w:r>
      <w:r w:rsidRPr="001D7E3A">
        <w:rPr>
          <w:rFonts w:hint="cs"/>
          <w:b/>
          <w:bCs/>
          <w:rtl/>
        </w:rPr>
        <w:t>ل</w:t>
      </w:r>
      <w:r w:rsidR="001D7E3A">
        <w:rPr>
          <w:rFonts w:hint="cs"/>
          <w:b/>
          <w:bCs/>
          <w:rtl/>
        </w:rPr>
        <w:t>،</w:t>
      </w:r>
      <w:r w:rsidRPr="001D7E3A">
        <w:rPr>
          <w:rFonts w:hint="cs"/>
          <w:b/>
          <w:bCs/>
          <w:rtl/>
        </w:rPr>
        <w:t xml:space="preserve"> فلا بدّ </w:t>
      </w:r>
      <w:r w:rsidR="00794D42">
        <w:rPr>
          <w:rFonts w:hint="cs"/>
          <w:b/>
          <w:bCs/>
          <w:rtl/>
        </w:rPr>
        <w:t xml:space="preserve">ـ قبل البتّ فيه ـ </w:t>
      </w:r>
      <w:r w:rsidRPr="001D7E3A">
        <w:rPr>
          <w:rFonts w:hint="cs"/>
          <w:b/>
          <w:bCs/>
          <w:rtl/>
        </w:rPr>
        <w:t>من ملاحظة ال</w:t>
      </w:r>
      <w:r w:rsidR="001D7E3A">
        <w:rPr>
          <w:rFonts w:hint="cs"/>
          <w:b/>
          <w:bCs/>
          <w:rtl/>
        </w:rPr>
        <w:t xml:space="preserve">حلّ </w:t>
      </w:r>
      <w:r w:rsidRPr="001D7E3A">
        <w:rPr>
          <w:rFonts w:hint="cs"/>
          <w:b/>
          <w:bCs/>
          <w:rtl/>
        </w:rPr>
        <w:t>الثالث</w:t>
      </w:r>
      <w:r w:rsidR="00794D42">
        <w:rPr>
          <w:rFonts w:hint="cs"/>
          <w:b/>
          <w:bCs/>
          <w:rtl/>
        </w:rPr>
        <w:t xml:space="preserve"> وغيره،</w:t>
      </w:r>
      <w:r w:rsidR="00794D42">
        <w:rPr>
          <w:rFonts w:hint="cs"/>
          <w:rtl/>
        </w:rPr>
        <w:t xml:space="preserve"> وا</w:t>
      </w:r>
      <w:r w:rsidRPr="00822CE9">
        <w:rPr>
          <w:rFonts w:hint="cs"/>
          <w:rtl/>
        </w:rPr>
        <w:t xml:space="preserve">لذي يحاول ممارسة جمع ما بين الطائفتين </w:t>
      </w:r>
      <w:r w:rsidR="001D7E3A">
        <w:rPr>
          <w:rFonts w:hint="cs"/>
          <w:rtl/>
        </w:rPr>
        <w:t xml:space="preserve">المتعارضتين هنا؛ </w:t>
      </w:r>
      <w:r w:rsidRPr="00822CE9">
        <w:rPr>
          <w:rFonts w:hint="cs"/>
          <w:rtl/>
        </w:rPr>
        <w:t>لنرى ماذا ينتج عنه</w:t>
      </w:r>
      <w:r w:rsidR="00E353C2">
        <w:rPr>
          <w:rFonts w:hint="cs"/>
          <w:rtl/>
        </w:rPr>
        <w:t xml:space="preserve">، وبخاصّة </w:t>
      </w:r>
      <w:r w:rsidRPr="00822CE9">
        <w:rPr>
          <w:rFonts w:hint="cs"/>
          <w:rtl/>
        </w:rPr>
        <w:t>بعد سقوط ال</w:t>
      </w:r>
      <w:r w:rsidR="00E353C2">
        <w:rPr>
          <w:rFonts w:hint="cs"/>
          <w:rtl/>
        </w:rPr>
        <w:t xml:space="preserve">حلّ </w:t>
      </w:r>
      <w:r w:rsidRPr="00822CE9">
        <w:rPr>
          <w:rFonts w:hint="cs"/>
          <w:rtl/>
        </w:rPr>
        <w:t>الأو</w:t>
      </w:r>
      <w:r w:rsidR="007D5F26">
        <w:rPr>
          <w:rFonts w:hint="cs"/>
          <w:rtl/>
        </w:rPr>
        <w:t>ّ</w:t>
      </w:r>
      <w:r w:rsidRPr="00822CE9">
        <w:rPr>
          <w:rFonts w:hint="cs"/>
          <w:rtl/>
        </w:rPr>
        <w:t>ل.</w:t>
      </w:r>
    </w:p>
    <w:p w14:paraId="6587A598" w14:textId="77777777" w:rsidR="004F083D" w:rsidRPr="004F083D" w:rsidRDefault="004F083D" w:rsidP="000153E6">
      <w:pPr>
        <w:pStyle w:val="Heading5"/>
        <w:rPr>
          <w:rtl/>
        </w:rPr>
      </w:pPr>
      <w:bookmarkStart w:id="251" w:name="_Toc143804205"/>
      <w:bookmarkStart w:id="252" w:name="_Toc238123330"/>
      <w:r w:rsidRPr="004F083D">
        <w:rPr>
          <w:rFonts w:hint="cs"/>
          <w:rtl/>
        </w:rPr>
        <w:t>الحلّ الثالث: إجراء قانون التخصيص والتقييد، مداخلات وردو</w:t>
      </w:r>
      <w:r>
        <w:rPr>
          <w:rFonts w:hint="cs"/>
          <w:rtl/>
        </w:rPr>
        <w:t>د</w:t>
      </w:r>
      <w:r w:rsidRPr="004F083D">
        <w:rPr>
          <w:rFonts w:hint="cs"/>
          <w:rtl/>
        </w:rPr>
        <w:t xml:space="preserve"> ومناقشات</w:t>
      </w:r>
      <w:bookmarkEnd w:id="251"/>
      <w:bookmarkEnd w:id="252"/>
    </w:p>
    <w:p w14:paraId="1FE8B67A" w14:textId="77777777" w:rsidR="000A4159" w:rsidRPr="00822CE9" w:rsidRDefault="004F083D" w:rsidP="00E353C2">
      <w:pPr>
        <w:spacing w:line="214" w:lineRule="auto"/>
        <w:rPr>
          <w:rtl/>
        </w:rPr>
      </w:pPr>
      <w:r>
        <w:rPr>
          <w:rFonts w:hint="cs"/>
          <w:rtl/>
        </w:rPr>
        <w:t>يختار هذا الحلّ القول بأ</w:t>
      </w:r>
      <w:r w:rsidR="000A4159" w:rsidRPr="00822CE9">
        <w:rPr>
          <w:rFonts w:hint="cs"/>
          <w:rtl/>
        </w:rPr>
        <w:t>ن نجمع بين الأدلّة والروايات بأنّ ما دلّ على وجوب أو جواز الثورة والجهاد الداخلي عام، والروايات الواردة هنا خاص</w:t>
      </w:r>
      <w:r w:rsidR="00E353C2">
        <w:rPr>
          <w:rFonts w:hint="cs"/>
          <w:rtl/>
        </w:rPr>
        <w:t>ّ</w:t>
      </w:r>
      <w:r w:rsidR="000A4159" w:rsidRPr="00822CE9">
        <w:rPr>
          <w:rFonts w:hint="cs"/>
          <w:rtl/>
        </w:rPr>
        <w:t>ة بعصر الغ</w:t>
      </w:r>
      <w:r w:rsidR="00E353C2">
        <w:rPr>
          <w:rFonts w:hint="cs"/>
          <w:rtl/>
        </w:rPr>
        <w:t>َ</w:t>
      </w:r>
      <w:r w:rsidR="000A4159" w:rsidRPr="00822CE9">
        <w:rPr>
          <w:rFonts w:hint="cs"/>
          <w:rtl/>
        </w:rPr>
        <w:t>يبة أو بعصر الباقر إلى عصر ظهور المهدي</w:t>
      </w:r>
      <w:r w:rsidR="00E353C2">
        <w:rPr>
          <w:rFonts w:hint="cs"/>
          <w:rtl/>
        </w:rPr>
        <w:t>ّ</w:t>
      </w:r>
      <w:r w:rsidR="000A4159" w:rsidRPr="00822CE9">
        <w:rPr>
          <w:rFonts w:hint="cs"/>
          <w:rtl/>
        </w:rPr>
        <w:t xml:space="preserve">، فتكون أضيق منها دلالةً، </w:t>
      </w:r>
      <w:r w:rsidR="00E353C2">
        <w:rPr>
          <w:rFonts w:hint="cs"/>
          <w:rtl/>
        </w:rPr>
        <w:t xml:space="preserve">ولا </w:t>
      </w:r>
      <w:r w:rsidR="000A4159" w:rsidRPr="00822CE9">
        <w:rPr>
          <w:rFonts w:hint="cs"/>
          <w:rtl/>
        </w:rPr>
        <w:t>سيما أن</w:t>
      </w:r>
      <w:r w:rsidR="00E353C2">
        <w:rPr>
          <w:rFonts w:hint="cs"/>
          <w:rtl/>
        </w:rPr>
        <w:t>ّ</w:t>
      </w:r>
      <w:r w:rsidR="000A4159" w:rsidRPr="00822CE9">
        <w:rPr>
          <w:rFonts w:hint="cs"/>
          <w:rtl/>
        </w:rPr>
        <w:t xml:space="preserve"> ثورة الإمام المهدي</w:t>
      </w:r>
      <w:r w:rsidR="00E353C2">
        <w:rPr>
          <w:rFonts w:hint="cs"/>
          <w:rtl/>
        </w:rPr>
        <w:t>ّ</w:t>
      </w:r>
      <w:r w:rsidR="000A4159" w:rsidRPr="00822CE9">
        <w:rPr>
          <w:rFonts w:hint="cs"/>
          <w:rtl/>
        </w:rPr>
        <w:t xml:space="preserve"> نفسه سوف تكون ثورة داخلي</w:t>
      </w:r>
      <w:r w:rsidR="00E353C2">
        <w:rPr>
          <w:rFonts w:hint="cs"/>
          <w:rtl/>
        </w:rPr>
        <w:t>ّ</w:t>
      </w:r>
      <w:r w:rsidR="000A4159" w:rsidRPr="00822CE9">
        <w:rPr>
          <w:rFonts w:hint="cs"/>
          <w:rtl/>
        </w:rPr>
        <w:t>ة بالدرجة الأولى</w:t>
      </w:r>
      <w:r w:rsidR="00E353C2">
        <w:rPr>
          <w:rFonts w:hint="cs"/>
          <w:rtl/>
        </w:rPr>
        <w:t>،</w:t>
      </w:r>
      <w:r w:rsidR="000A4159" w:rsidRPr="00822CE9">
        <w:rPr>
          <w:rFonts w:hint="cs"/>
          <w:rtl/>
        </w:rPr>
        <w:t xml:space="preserve"> مما يعني أن</w:t>
      </w:r>
      <w:r w:rsidR="00E353C2">
        <w:rPr>
          <w:rFonts w:hint="cs"/>
          <w:rtl/>
        </w:rPr>
        <w:t>ّ</w:t>
      </w:r>
      <w:r w:rsidR="000A4159" w:rsidRPr="00822CE9">
        <w:rPr>
          <w:rFonts w:hint="cs"/>
          <w:rtl/>
        </w:rPr>
        <w:t xml:space="preserve"> الروايات هنا لا تقف في خط</w:t>
      </w:r>
      <w:r w:rsidR="00E353C2">
        <w:rPr>
          <w:rFonts w:hint="cs"/>
          <w:rtl/>
        </w:rPr>
        <w:t>ّ</w:t>
      </w:r>
      <w:r w:rsidR="000A4159" w:rsidRPr="00822CE9">
        <w:rPr>
          <w:rFonts w:hint="cs"/>
          <w:rtl/>
        </w:rPr>
        <w:t xml:space="preserve"> معارضة تام</w:t>
      </w:r>
      <w:r w:rsidR="00E353C2">
        <w:rPr>
          <w:rFonts w:hint="cs"/>
          <w:rtl/>
        </w:rPr>
        <w:t>ّ</w:t>
      </w:r>
      <w:r w:rsidR="000A4159" w:rsidRPr="00822CE9">
        <w:rPr>
          <w:rFonts w:hint="cs"/>
          <w:rtl/>
        </w:rPr>
        <w:t>ة مع مبدأ الثورة</w:t>
      </w:r>
      <w:r w:rsidR="00E353C2">
        <w:rPr>
          <w:rFonts w:hint="cs"/>
          <w:rtl/>
        </w:rPr>
        <w:t>،</w:t>
      </w:r>
      <w:r w:rsidR="000A4159" w:rsidRPr="00822CE9">
        <w:rPr>
          <w:rFonts w:hint="cs"/>
          <w:rtl/>
        </w:rPr>
        <w:t xml:space="preserve"> لكن</w:t>
      </w:r>
      <w:r w:rsidR="00E353C2">
        <w:rPr>
          <w:rFonts w:hint="cs"/>
          <w:rtl/>
        </w:rPr>
        <w:t>ّ</w:t>
      </w:r>
      <w:r w:rsidR="000A4159" w:rsidRPr="00822CE9">
        <w:rPr>
          <w:rFonts w:hint="cs"/>
          <w:rtl/>
        </w:rPr>
        <w:t>ه</w:t>
      </w:r>
      <w:r w:rsidR="00E353C2">
        <w:rPr>
          <w:rFonts w:hint="cs"/>
          <w:rtl/>
        </w:rPr>
        <w:t>ا</w:t>
      </w:r>
      <w:r w:rsidR="000A4159" w:rsidRPr="00822CE9">
        <w:rPr>
          <w:rFonts w:hint="cs"/>
          <w:rtl/>
        </w:rPr>
        <w:t xml:space="preserve"> تضيّقه من زمن </w:t>
      </w:r>
      <w:r w:rsidR="00E353C2">
        <w:rPr>
          <w:rFonts w:hint="cs"/>
          <w:rtl/>
        </w:rPr>
        <w:t xml:space="preserve">الإمام </w:t>
      </w:r>
      <w:r w:rsidR="000A4159" w:rsidRPr="00822CE9">
        <w:rPr>
          <w:rFonts w:hint="cs"/>
          <w:rtl/>
        </w:rPr>
        <w:t>الحسين إلى عصر المهدي وظهوره، ومعه ف</w:t>
      </w:r>
      <w:r w:rsidR="00E353C2">
        <w:rPr>
          <w:rFonts w:hint="cs"/>
          <w:rtl/>
        </w:rPr>
        <w:t>ن</w:t>
      </w:r>
      <w:r w:rsidR="000A4159" w:rsidRPr="00822CE9">
        <w:rPr>
          <w:rFonts w:hint="cs"/>
          <w:rtl/>
        </w:rPr>
        <w:t>طبّق قانون العام والخاص والمطلق والمقيّد هنا، ويتم</w:t>
      </w:r>
      <w:r w:rsidR="00E353C2">
        <w:rPr>
          <w:rFonts w:hint="cs"/>
          <w:rtl/>
        </w:rPr>
        <w:t>ّ</w:t>
      </w:r>
      <w:r w:rsidR="000A4159" w:rsidRPr="00822CE9">
        <w:rPr>
          <w:rFonts w:hint="cs"/>
          <w:rtl/>
        </w:rPr>
        <w:t xml:space="preserve"> الجمع العرفي</w:t>
      </w:r>
      <w:r w:rsidR="00E353C2">
        <w:rPr>
          <w:rFonts w:hint="cs"/>
          <w:rtl/>
        </w:rPr>
        <w:t>،</w:t>
      </w:r>
      <w:r w:rsidR="000A4159" w:rsidRPr="00822CE9">
        <w:rPr>
          <w:rFonts w:hint="cs"/>
          <w:rtl/>
        </w:rPr>
        <w:t xml:space="preserve"> بلا حاجة إلى افتراض التقية أو ما شابه ذلك.</w:t>
      </w:r>
    </w:p>
    <w:p w14:paraId="3DAD1C45" w14:textId="77777777" w:rsidR="000A4159" w:rsidRPr="00822CE9" w:rsidRDefault="000A4159" w:rsidP="00E353C2">
      <w:pPr>
        <w:spacing w:line="214" w:lineRule="auto"/>
        <w:rPr>
          <w:rtl/>
        </w:rPr>
      </w:pPr>
      <w:r w:rsidRPr="00822CE9">
        <w:rPr>
          <w:rFonts w:hint="cs"/>
          <w:rtl/>
        </w:rPr>
        <w:t>ويعزّز ذلك أن</w:t>
      </w:r>
      <w:r w:rsidR="00E353C2">
        <w:rPr>
          <w:rFonts w:hint="cs"/>
          <w:rtl/>
        </w:rPr>
        <w:t>ّ</w:t>
      </w:r>
      <w:r w:rsidRPr="00822CE9">
        <w:rPr>
          <w:rFonts w:hint="cs"/>
          <w:rtl/>
        </w:rPr>
        <w:t xml:space="preserve"> من أهم أدلّة شرعي</w:t>
      </w:r>
      <w:r w:rsidR="00E353C2">
        <w:rPr>
          <w:rFonts w:hint="cs"/>
          <w:rtl/>
        </w:rPr>
        <w:t>ّ</w:t>
      </w:r>
      <w:r w:rsidRPr="00822CE9">
        <w:rPr>
          <w:rFonts w:hint="cs"/>
          <w:rtl/>
        </w:rPr>
        <w:t>ة الثورة كان ثورة الإمام الحسين نفسه، ومن الواضح أن</w:t>
      </w:r>
      <w:r w:rsidR="00E353C2">
        <w:rPr>
          <w:rFonts w:hint="cs"/>
          <w:rtl/>
        </w:rPr>
        <w:t>ّ</w:t>
      </w:r>
      <w:r w:rsidRPr="00822CE9">
        <w:rPr>
          <w:rFonts w:hint="cs"/>
          <w:rtl/>
        </w:rPr>
        <w:t>ه من المعقول أن تكون دالّة على الشرعي</w:t>
      </w:r>
      <w:r w:rsidR="00E353C2">
        <w:rPr>
          <w:rFonts w:hint="cs"/>
          <w:rtl/>
        </w:rPr>
        <w:t>ّ</w:t>
      </w:r>
      <w:r w:rsidRPr="00822CE9">
        <w:rPr>
          <w:rFonts w:hint="cs"/>
          <w:rtl/>
        </w:rPr>
        <w:t>ة مع إذن خاص</w:t>
      </w:r>
      <w:r w:rsidR="00E353C2">
        <w:rPr>
          <w:rFonts w:hint="cs"/>
          <w:rtl/>
        </w:rPr>
        <w:t>ّ</w:t>
      </w:r>
      <w:r w:rsidRPr="00822CE9">
        <w:rPr>
          <w:rFonts w:hint="cs"/>
          <w:rtl/>
        </w:rPr>
        <w:t xml:space="preserve"> من </w:t>
      </w:r>
      <w:r w:rsidR="00E353C2">
        <w:rPr>
          <w:rFonts w:hint="cs"/>
          <w:rtl/>
        </w:rPr>
        <w:t xml:space="preserve">الإمام المنصوص </w:t>
      </w:r>
      <w:r w:rsidRPr="00822CE9">
        <w:rPr>
          <w:rFonts w:hint="cs"/>
          <w:rtl/>
        </w:rPr>
        <w:t>لا مطلقاً كما نحن بصدده من عصر الغيبة. وهذا التصوّر يبدو كأن</w:t>
      </w:r>
      <w:r w:rsidR="00E353C2">
        <w:rPr>
          <w:rFonts w:hint="cs"/>
          <w:rtl/>
        </w:rPr>
        <w:t>ّ</w:t>
      </w:r>
      <w:r w:rsidRPr="00822CE9">
        <w:rPr>
          <w:rFonts w:hint="cs"/>
          <w:rtl/>
        </w:rPr>
        <w:t>ه هو المركوز في ذهن الفقهاء القائلين بحرمة الخروج قبل عصر الإمام المهدي.</w:t>
      </w:r>
    </w:p>
    <w:p w14:paraId="35225484" w14:textId="77777777" w:rsidR="000A4159" w:rsidRPr="00CF0A97" w:rsidRDefault="000A4159" w:rsidP="00CF0A97">
      <w:pPr>
        <w:spacing w:line="214" w:lineRule="auto"/>
        <w:rPr>
          <w:b/>
          <w:bCs/>
          <w:rtl/>
        </w:rPr>
      </w:pPr>
      <w:r w:rsidRPr="00CF0A97">
        <w:rPr>
          <w:rFonts w:hint="cs"/>
          <w:b/>
          <w:bCs/>
          <w:rtl/>
        </w:rPr>
        <w:t>ويبدو أنّ أمام القائلين بشرعي</w:t>
      </w:r>
      <w:r w:rsidR="00CF0A97">
        <w:rPr>
          <w:rFonts w:hint="cs"/>
          <w:b/>
          <w:bCs/>
          <w:rtl/>
        </w:rPr>
        <w:t>ّ</w:t>
      </w:r>
      <w:r w:rsidRPr="00CF0A97">
        <w:rPr>
          <w:rFonts w:hint="cs"/>
          <w:b/>
          <w:bCs/>
          <w:rtl/>
        </w:rPr>
        <w:t>ة الثورة أن يجدوا مخر</w:t>
      </w:r>
      <w:r w:rsidR="00CF0A97">
        <w:rPr>
          <w:rFonts w:hint="cs"/>
          <w:b/>
          <w:bCs/>
          <w:rtl/>
        </w:rPr>
        <w:t>َ</w:t>
      </w:r>
      <w:r w:rsidRPr="00CF0A97">
        <w:rPr>
          <w:rFonts w:hint="cs"/>
          <w:b/>
          <w:bCs/>
          <w:rtl/>
        </w:rPr>
        <w:t xml:space="preserve">جاً لهذا الجمع، وإلا كان موقفهم صعباً </w:t>
      </w:r>
      <w:r w:rsidRPr="00CF0A97">
        <w:rPr>
          <w:rFonts w:hint="cs"/>
          <w:b/>
          <w:bCs/>
          <w:rtl/>
        </w:rPr>
        <w:lastRenderedPageBreak/>
        <w:t>من الناحية النظري</w:t>
      </w:r>
      <w:r w:rsidR="00CF0A97">
        <w:rPr>
          <w:rFonts w:hint="cs"/>
          <w:b/>
          <w:bCs/>
          <w:rtl/>
        </w:rPr>
        <w:t>ّ</w:t>
      </w:r>
      <w:r w:rsidRPr="00CF0A97">
        <w:rPr>
          <w:rFonts w:hint="cs"/>
          <w:b/>
          <w:bCs/>
          <w:rtl/>
        </w:rPr>
        <w:t>ة.</w:t>
      </w:r>
    </w:p>
    <w:p w14:paraId="01111071" w14:textId="77777777" w:rsidR="000A4159" w:rsidRPr="00CF0A97" w:rsidRDefault="000A4159" w:rsidP="00CF0A97">
      <w:pPr>
        <w:spacing w:line="214" w:lineRule="auto"/>
        <w:rPr>
          <w:b/>
          <w:bCs/>
          <w:rtl/>
        </w:rPr>
      </w:pPr>
      <w:r w:rsidRPr="00CF0A97">
        <w:rPr>
          <w:rFonts w:hint="cs"/>
          <w:b/>
          <w:bCs/>
          <w:rtl/>
        </w:rPr>
        <w:t>من هنا قد تطرح ردود على فرضي</w:t>
      </w:r>
      <w:r w:rsidR="00CF0A97">
        <w:rPr>
          <w:rFonts w:hint="cs"/>
          <w:b/>
          <w:bCs/>
          <w:rtl/>
        </w:rPr>
        <w:t>ّ</w:t>
      </w:r>
      <w:r w:rsidRPr="00CF0A97">
        <w:rPr>
          <w:rFonts w:hint="cs"/>
          <w:b/>
          <w:bCs/>
          <w:rtl/>
        </w:rPr>
        <w:t>ة الجمع العرفي هذه</w:t>
      </w:r>
      <w:r w:rsidR="00CF0A97">
        <w:rPr>
          <w:rFonts w:hint="cs"/>
          <w:b/>
          <w:bCs/>
          <w:rtl/>
        </w:rPr>
        <w:t>، وأهمّها</w:t>
      </w:r>
      <w:r w:rsidRPr="00CF0A97">
        <w:rPr>
          <w:rFonts w:hint="cs"/>
          <w:b/>
          <w:bCs/>
          <w:rtl/>
        </w:rPr>
        <w:t>:</w:t>
      </w:r>
    </w:p>
    <w:p w14:paraId="06B07348" w14:textId="77777777" w:rsidR="000A4159" w:rsidRPr="00822CE9" w:rsidRDefault="000A4159" w:rsidP="00CF0A97">
      <w:pPr>
        <w:spacing w:line="214" w:lineRule="auto"/>
        <w:rPr>
          <w:rtl/>
        </w:rPr>
      </w:pPr>
      <w:r w:rsidRPr="00CF0A97">
        <w:rPr>
          <w:rFonts w:hint="cs"/>
          <w:b/>
          <w:bCs/>
          <w:rtl/>
        </w:rPr>
        <w:t>الرد</w:t>
      </w:r>
      <w:r w:rsidR="00CF0A97">
        <w:rPr>
          <w:rFonts w:hint="cs"/>
          <w:b/>
          <w:bCs/>
          <w:rtl/>
        </w:rPr>
        <w:t>ّ</w:t>
      </w:r>
      <w:r w:rsidRPr="00CF0A97">
        <w:rPr>
          <w:rFonts w:hint="cs"/>
          <w:b/>
          <w:bCs/>
          <w:rtl/>
        </w:rPr>
        <w:t xml:space="preserve"> الأو</w:t>
      </w:r>
      <w:r w:rsidR="00CF0A97">
        <w:rPr>
          <w:rFonts w:hint="cs"/>
          <w:b/>
          <w:bCs/>
          <w:rtl/>
        </w:rPr>
        <w:t>ّل</w:t>
      </w:r>
      <w:r w:rsidRPr="00CF0A97">
        <w:rPr>
          <w:rFonts w:hint="cs"/>
          <w:b/>
          <w:bCs/>
          <w:rtl/>
        </w:rPr>
        <w:t xml:space="preserve">: </w:t>
      </w:r>
      <w:r w:rsidRPr="00822CE9">
        <w:rPr>
          <w:rFonts w:hint="cs"/>
          <w:rtl/>
        </w:rPr>
        <w:t>إنّ هذا التخصيص تخصيص</w:t>
      </w:r>
      <w:r w:rsidR="00CF0A97">
        <w:rPr>
          <w:rFonts w:hint="cs"/>
          <w:rtl/>
        </w:rPr>
        <w:t>ٌ</w:t>
      </w:r>
      <w:r w:rsidRPr="00822CE9">
        <w:rPr>
          <w:rFonts w:hint="cs"/>
          <w:rtl/>
        </w:rPr>
        <w:t xml:space="preserve"> للأكثر، وهو مستهجن</w:t>
      </w:r>
      <w:r w:rsidR="00CF0A97">
        <w:rPr>
          <w:rFonts w:hint="cs"/>
          <w:rtl/>
        </w:rPr>
        <w:t>ٌ</w:t>
      </w:r>
      <w:r w:rsidRPr="00822CE9">
        <w:rPr>
          <w:rFonts w:hint="cs"/>
          <w:rtl/>
        </w:rPr>
        <w:t xml:space="preserve"> عرفاً، فالأدلّة العامة من الكتاب والسنّة تجيز الثورة وتسمح بها، أم</w:t>
      </w:r>
      <w:r w:rsidR="00CF0A97">
        <w:rPr>
          <w:rFonts w:hint="cs"/>
          <w:rtl/>
        </w:rPr>
        <w:t>ّ</w:t>
      </w:r>
      <w:r w:rsidRPr="00822CE9">
        <w:rPr>
          <w:rFonts w:hint="cs"/>
          <w:rtl/>
        </w:rPr>
        <w:t xml:space="preserve">ا هذه الروايات هنا فهي تحظرها </w:t>
      </w:r>
      <w:r w:rsidR="00CF0A97">
        <w:rPr>
          <w:rFonts w:hint="cs"/>
          <w:rtl/>
        </w:rPr>
        <w:t>حظرا</w:t>
      </w:r>
      <w:r w:rsidRPr="00822CE9">
        <w:rPr>
          <w:rFonts w:hint="cs"/>
          <w:rtl/>
        </w:rPr>
        <w:t>ً طويلاً بحيث تنحصر دائرة الشرعي</w:t>
      </w:r>
      <w:r w:rsidR="00CF0A97">
        <w:rPr>
          <w:rFonts w:hint="cs"/>
          <w:rtl/>
        </w:rPr>
        <w:t>ّ</w:t>
      </w:r>
      <w:r w:rsidRPr="00822CE9">
        <w:rPr>
          <w:rFonts w:hint="cs"/>
          <w:rtl/>
        </w:rPr>
        <w:t>ة حينئذ بفترة خمسين سنة بعد وفاة الرسول، أي إلى شهادة الإمام الحسين</w:t>
      </w:r>
      <w:r w:rsidR="00CF0A97">
        <w:rPr>
          <w:rFonts w:hint="cs"/>
          <w:rtl/>
        </w:rPr>
        <w:t>،</w:t>
      </w:r>
      <w:r w:rsidRPr="00822CE9">
        <w:rPr>
          <w:rFonts w:hint="cs"/>
          <w:rtl/>
        </w:rPr>
        <w:t xml:space="preserve"> ثم</w:t>
      </w:r>
      <w:r w:rsidR="00CF0A97">
        <w:rPr>
          <w:rFonts w:hint="cs"/>
          <w:rtl/>
        </w:rPr>
        <w:t>ّ</w:t>
      </w:r>
      <w:r w:rsidRPr="00822CE9">
        <w:rPr>
          <w:rFonts w:hint="cs"/>
          <w:rtl/>
        </w:rPr>
        <w:t xml:space="preserve"> في حياة الإمام المهدي</w:t>
      </w:r>
      <w:r w:rsidR="00CF0A97">
        <w:rPr>
          <w:rFonts w:hint="cs"/>
          <w:rtl/>
        </w:rPr>
        <w:t>،</w:t>
      </w:r>
      <w:r w:rsidRPr="00822CE9">
        <w:rPr>
          <w:rFonts w:hint="cs"/>
          <w:rtl/>
        </w:rPr>
        <w:t xml:space="preserve"> فهذا تخصيص</w:t>
      </w:r>
      <w:r w:rsidR="00CF0A97">
        <w:rPr>
          <w:rFonts w:hint="cs"/>
          <w:rtl/>
        </w:rPr>
        <w:t>ٌ</w:t>
      </w:r>
      <w:r w:rsidRPr="00822CE9">
        <w:rPr>
          <w:rFonts w:hint="cs"/>
          <w:rtl/>
        </w:rPr>
        <w:t xml:space="preserve"> بالأكثر بحيث تجوز الثورة في خصوص هذه الفترة القصيرة. وتخصيص الأكثر مستهجن</w:t>
      </w:r>
      <w:r w:rsidR="00CF0A97">
        <w:rPr>
          <w:rFonts w:hint="cs"/>
          <w:rtl/>
        </w:rPr>
        <w:t>ٌ</w:t>
      </w:r>
      <w:r w:rsidRPr="00822CE9">
        <w:rPr>
          <w:rFonts w:hint="cs"/>
          <w:rtl/>
        </w:rPr>
        <w:t xml:space="preserve"> عرفاً وغير مقبول.</w:t>
      </w:r>
    </w:p>
    <w:p w14:paraId="3A43356C" w14:textId="77777777" w:rsidR="000A4159" w:rsidRDefault="000A4159" w:rsidP="004937BA">
      <w:pPr>
        <w:pStyle w:val="normal84"/>
        <w:rPr>
          <w:rtl/>
        </w:rPr>
      </w:pPr>
      <w:r w:rsidRPr="00822CE9">
        <w:rPr>
          <w:rFonts w:hint="cs"/>
          <w:rtl/>
        </w:rPr>
        <w:t>وهذا الردّ قد يبدو وجيهاً عند من اعتمد أكثر الأدلّة المتقد</w:t>
      </w:r>
      <w:r w:rsidR="00E47343">
        <w:rPr>
          <w:rFonts w:hint="cs"/>
          <w:rtl/>
        </w:rPr>
        <w:t>ّ</w:t>
      </w:r>
      <w:r w:rsidRPr="00822CE9">
        <w:rPr>
          <w:rFonts w:hint="cs"/>
          <w:rtl/>
        </w:rPr>
        <w:t>مة لدى دراسة نظري</w:t>
      </w:r>
      <w:r w:rsidR="00E47343">
        <w:rPr>
          <w:rFonts w:hint="cs"/>
          <w:rtl/>
        </w:rPr>
        <w:t>ّ</w:t>
      </w:r>
      <w:r w:rsidRPr="00822CE9">
        <w:rPr>
          <w:rFonts w:hint="cs"/>
          <w:rtl/>
        </w:rPr>
        <w:t>ة شرعي</w:t>
      </w:r>
      <w:r w:rsidR="00E47343">
        <w:rPr>
          <w:rFonts w:hint="cs"/>
          <w:rtl/>
        </w:rPr>
        <w:t>ّ</w:t>
      </w:r>
      <w:r w:rsidRPr="00822CE9">
        <w:rPr>
          <w:rFonts w:hint="cs"/>
          <w:rtl/>
        </w:rPr>
        <w:t>ة الثورة؛ إذ سيبدو الموقف ترخيصاً مؤك</w:t>
      </w:r>
      <w:r w:rsidR="00E47343">
        <w:rPr>
          <w:rFonts w:hint="cs"/>
          <w:rtl/>
        </w:rPr>
        <w:t>ّ</w:t>
      </w:r>
      <w:r w:rsidRPr="00822CE9">
        <w:rPr>
          <w:rFonts w:hint="cs"/>
          <w:rtl/>
        </w:rPr>
        <w:t>داً واسع النطاق للثورة قد يأباه المفهوم من الروايات المحر</w:t>
      </w:r>
      <w:r w:rsidR="00E47343">
        <w:rPr>
          <w:rFonts w:hint="cs"/>
          <w:rtl/>
        </w:rPr>
        <w:t>ّ</w:t>
      </w:r>
      <w:r w:rsidRPr="00822CE9">
        <w:rPr>
          <w:rFonts w:hint="cs"/>
          <w:rtl/>
        </w:rPr>
        <w:t>مة هنا، إلا إذا قيل بعدم تحدّد الإطار الزماني لما بعد الظهور بحيث تبدو فترة عصر الغيبة قصيرة جداً بالنسبة إليها.</w:t>
      </w:r>
    </w:p>
    <w:p w14:paraId="3F655247" w14:textId="77777777" w:rsidR="00E47343" w:rsidRPr="00822CE9" w:rsidRDefault="00794D42" w:rsidP="004937BA">
      <w:pPr>
        <w:pStyle w:val="normal84"/>
        <w:rPr>
          <w:rtl/>
        </w:rPr>
      </w:pPr>
      <w:r>
        <w:rPr>
          <w:rFonts w:hint="cs"/>
          <w:rtl/>
        </w:rPr>
        <w:t>غير أنّ هناك مجموعة قضايا ذات صلة تعود لمسألة التخصيص الأكثر، لا مجال لطرحها هنا، و</w:t>
      </w:r>
      <w:r w:rsidR="00E47343">
        <w:rPr>
          <w:rFonts w:hint="cs"/>
          <w:rtl/>
        </w:rPr>
        <w:t>قد بحثنا عن قاعدة تخصيص الأكثر وأحكامها بالتفصيل في بعض بحوثنا، فراجع</w:t>
      </w:r>
      <w:r w:rsidR="00E47343" w:rsidRPr="000A4159">
        <w:rPr>
          <w:rFonts w:cs="Taher"/>
          <w:vertAlign w:val="superscript"/>
          <w:rtl/>
        </w:rPr>
        <w:t>(</w:t>
      </w:r>
      <w:r w:rsidR="00E47343" w:rsidRPr="000A4159">
        <w:rPr>
          <w:rStyle w:val="FootnoteReference"/>
          <w:rFonts w:cs="Taher"/>
          <w:rtl/>
        </w:rPr>
        <w:footnoteReference w:id="511"/>
      </w:r>
      <w:r w:rsidR="00E47343" w:rsidRPr="000A4159">
        <w:rPr>
          <w:rFonts w:cs="Taher"/>
          <w:vertAlign w:val="superscript"/>
          <w:rtl/>
        </w:rPr>
        <w:t>)</w:t>
      </w:r>
      <w:r w:rsidR="00E47343">
        <w:rPr>
          <w:rFonts w:hint="cs"/>
          <w:rtl/>
        </w:rPr>
        <w:t>، فهو نافعٌ هنا وله صلة.</w:t>
      </w:r>
    </w:p>
    <w:p w14:paraId="2D124E74" w14:textId="77777777" w:rsidR="000A4159" w:rsidRPr="00822CE9" w:rsidRDefault="000A4159" w:rsidP="004937BA">
      <w:pPr>
        <w:pStyle w:val="normal870"/>
        <w:rPr>
          <w:rtl/>
        </w:rPr>
      </w:pPr>
      <w:r w:rsidRPr="00E47343">
        <w:rPr>
          <w:rFonts w:hint="cs"/>
          <w:b/>
          <w:bCs/>
          <w:rtl/>
        </w:rPr>
        <w:t>الرد</w:t>
      </w:r>
      <w:r w:rsidR="00E47343">
        <w:rPr>
          <w:rFonts w:hint="cs"/>
          <w:b/>
          <w:bCs/>
          <w:rtl/>
        </w:rPr>
        <w:t>ّ</w:t>
      </w:r>
      <w:r w:rsidRPr="00E47343">
        <w:rPr>
          <w:rFonts w:hint="cs"/>
          <w:b/>
          <w:bCs/>
          <w:rtl/>
        </w:rPr>
        <w:t xml:space="preserve"> الثاني:</w:t>
      </w:r>
      <w:r w:rsidRPr="00822CE9">
        <w:rPr>
          <w:rFonts w:hint="cs"/>
          <w:rtl/>
        </w:rPr>
        <w:t xml:space="preserve"> إن</w:t>
      </w:r>
      <w:r w:rsidR="001E31C1">
        <w:rPr>
          <w:rFonts w:hint="cs"/>
          <w:rtl/>
        </w:rPr>
        <w:t>ّ</w:t>
      </w:r>
      <w:r w:rsidRPr="00822CE9">
        <w:rPr>
          <w:rFonts w:hint="cs"/>
          <w:rtl/>
        </w:rPr>
        <w:t xml:space="preserve"> بعض أدلّة شرعي</w:t>
      </w:r>
      <w:r w:rsidR="001E31C1">
        <w:rPr>
          <w:rFonts w:hint="cs"/>
          <w:rtl/>
        </w:rPr>
        <w:t>ّ</w:t>
      </w:r>
      <w:r w:rsidRPr="00822CE9">
        <w:rPr>
          <w:rFonts w:hint="cs"/>
          <w:rtl/>
        </w:rPr>
        <w:t>ة الثورة قد يقال بإبائه عن التخصيص حتى نجمع بينه وبين هذه الروايات هنا بالتخصيص أو التقييد، مثل الدليل الذي استند إلى مقولة الدفاع عن الإسلام لتشريع الثورة ضدّ الأنظمة غير الإسلامي</w:t>
      </w:r>
      <w:r w:rsidR="001E31C1">
        <w:rPr>
          <w:rFonts w:hint="cs"/>
          <w:rtl/>
        </w:rPr>
        <w:t>ّ</w:t>
      </w:r>
      <w:r w:rsidRPr="00822CE9">
        <w:rPr>
          <w:rFonts w:hint="cs"/>
          <w:rtl/>
        </w:rPr>
        <w:t>ة، فإنّ هذا الدليل لا يقبل ـ بحسب ما نعرف من قيمة رسالة الإسلام ـ أن يخص</w:t>
      </w:r>
      <w:r w:rsidR="001E31C1">
        <w:rPr>
          <w:rFonts w:hint="cs"/>
          <w:rtl/>
        </w:rPr>
        <w:t>ّ</w:t>
      </w:r>
      <w:r w:rsidRPr="00822CE9">
        <w:rPr>
          <w:rFonts w:hint="cs"/>
          <w:rtl/>
        </w:rPr>
        <w:t>ص بأكثر من ألف عام، بحيث ندّعي أن</w:t>
      </w:r>
      <w:r w:rsidR="001E31C1">
        <w:rPr>
          <w:rFonts w:hint="cs"/>
          <w:rtl/>
        </w:rPr>
        <w:t>ّ</w:t>
      </w:r>
      <w:r w:rsidRPr="00822CE9">
        <w:rPr>
          <w:rFonts w:hint="cs"/>
          <w:rtl/>
        </w:rPr>
        <w:t>ه لا يجب الدفاع المسلّح عن الإسلام في هذه الفترة، أو مثل الدليل الذي</w:t>
      </w:r>
      <w:r w:rsidR="001E31C1">
        <w:rPr>
          <w:rFonts w:hint="cs"/>
          <w:rtl/>
        </w:rPr>
        <w:t xml:space="preserve"> </w:t>
      </w:r>
      <w:r w:rsidRPr="00822CE9">
        <w:rPr>
          <w:rFonts w:hint="cs"/>
          <w:rtl/>
        </w:rPr>
        <w:t>يق</w:t>
      </w:r>
      <w:r w:rsidR="001E31C1">
        <w:rPr>
          <w:rFonts w:hint="cs"/>
          <w:rtl/>
        </w:rPr>
        <w:t>و</w:t>
      </w:r>
      <w:r w:rsidRPr="00822CE9">
        <w:rPr>
          <w:rFonts w:hint="cs"/>
          <w:rtl/>
        </w:rPr>
        <w:t>م على مقولة الكفر بالطاغوت؛ فإن</w:t>
      </w:r>
      <w:r w:rsidR="001E31C1">
        <w:rPr>
          <w:rFonts w:hint="cs"/>
          <w:rtl/>
        </w:rPr>
        <w:t>ّ</w:t>
      </w:r>
      <w:r w:rsidRPr="00822CE9">
        <w:rPr>
          <w:rFonts w:hint="cs"/>
          <w:rtl/>
        </w:rPr>
        <w:t xml:space="preserve"> تخصيصه بعيد جداً؛ إذ هل يمكن القول بأن</w:t>
      </w:r>
      <w:r w:rsidR="001E31C1">
        <w:rPr>
          <w:rFonts w:hint="cs"/>
          <w:rtl/>
        </w:rPr>
        <w:t>ّه يجب الكفر بالطاغوت إلا</w:t>
      </w:r>
      <w:r w:rsidRPr="00822CE9">
        <w:rPr>
          <w:rFonts w:hint="cs"/>
          <w:rtl/>
        </w:rPr>
        <w:t xml:space="preserve"> في بعض الأزمنة فلا يجب؟ وإذا ثبت إبا</w:t>
      </w:r>
      <w:r w:rsidR="001E31C1">
        <w:rPr>
          <w:rFonts w:hint="cs"/>
          <w:rtl/>
        </w:rPr>
        <w:t>ء</w:t>
      </w:r>
      <w:r w:rsidRPr="00822CE9">
        <w:rPr>
          <w:rFonts w:hint="cs"/>
          <w:rtl/>
        </w:rPr>
        <w:t xml:space="preserve"> بعض تلك الأدلّة عن التخصيص بطل الجمع العرفي القائم على التخصيص هنا.</w:t>
      </w:r>
    </w:p>
    <w:p w14:paraId="325877C2" w14:textId="77777777" w:rsidR="000A4159" w:rsidRPr="00822CE9" w:rsidRDefault="001E31C1" w:rsidP="001E31C1">
      <w:pPr>
        <w:spacing w:line="214" w:lineRule="auto"/>
        <w:rPr>
          <w:rtl/>
        </w:rPr>
      </w:pPr>
      <w:r>
        <w:rPr>
          <w:rFonts w:hint="cs"/>
          <w:b/>
          <w:bCs/>
          <w:rtl/>
        </w:rPr>
        <w:t>إلا</w:t>
      </w:r>
      <w:r w:rsidR="000A4159" w:rsidRPr="001E31C1">
        <w:rPr>
          <w:rFonts w:hint="cs"/>
          <w:b/>
          <w:bCs/>
          <w:rtl/>
        </w:rPr>
        <w:t xml:space="preserve"> أن</w:t>
      </w:r>
      <w:r>
        <w:rPr>
          <w:rFonts w:hint="cs"/>
          <w:b/>
          <w:bCs/>
          <w:rtl/>
        </w:rPr>
        <w:t>ّ</w:t>
      </w:r>
      <w:r w:rsidR="000A4159" w:rsidRPr="001E31C1">
        <w:rPr>
          <w:rFonts w:hint="cs"/>
          <w:b/>
          <w:bCs/>
          <w:rtl/>
        </w:rPr>
        <w:t xml:space="preserve"> هذا الرد</w:t>
      </w:r>
      <w:r>
        <w:rPr>
          <w:rFonts w:hint="cs"/>
          <w:b/>
          <w:bCs/>
          <w:rtl/>
        </w:rPr>
        <w:t>ّ</w:t>
      </w:r>
      <w:r w:rsidR="000A4159" w:rsidRPr="001E31C1">
        <w:rPr>
          <w:rFonts w:hint="cs"/>
          <w:b/>
          <w:bCs/>
          <w:rtl/>
        </w:rPr>
        <w:t xml:space="preserve"> ضعيف أيضاً،</w:t>
      </w:r>
      <w:r w:rsidR="000A4159" w:rsidRPr="00822CE9">
        <w:rPr>
          <w:rFonts w:hint="cs"/>
          <w:rtl/>
        </w:rPr>
        <w:t xml:space="preserve"> فكل</w:t>
      </w:r>
      <w:r>
        <w:rPr>
          <w:rFonts w:hint="cs"/>
          <w:rtl/>
        </w:rPr>
        <w:t>ّ الأ</w:t>
      </w:r>
      <w:r w:rsidR="000A4159" w:rsidRPr="00822CE9">
        <w:rPr>
          <w:rFonts w:hint="cs"/>
          <w:rtl/>
        </w:rPr>
        <w:t>دل</w:t>
      </w:r>
      <w:r>
        <w:rPr>
          <w:rFonts w:hint="cs"/>
          <w:rtl/>
        </w:rPr>
        <w:t>ّ</w:t>
      </w:r>
      <w:r w:rsidR="000A4159" w:rsidRPr="00822CE9">
        <w:rPr>
          <w:rFonts w:hint="cs"/>
          <w:rtl/>
        </w:rPr>
        <w:t>ة السابقة الدال</w:t>
      </w:r>
      <w:r>
        <w:rPr>
          <w:rFonts w:hint="cs"/>
          <w:rtl/>
        </w:rPr>
        <w:t>ّ</w:t>
      </w:r>
      <w:r w:rsidR="000A4159" w:rsidRPr="00822CE9">
        <w:rPr>
          <w:rFonts w:hint="cs"/>
          <w:rtl/>
        </w:rPr>
        <w:t>ة على شرعي</w:t>
      </w:r>
      <w:r>
        <w:rPr>
          <w:rFonts w:hint="cs"/>
          <w:rtl/>
        </w:rPr>
        <w:t>ّ</w:t>
      </w:r>
      <w:r w:rsidR="000A4159" w:rsidRPr="00822CE9">
        <w:rPr>
          <w:rFonts w:hint="cs"/>
          <w:rtl/>
        </w:rPr>
        <w:t>ة الثورة من النوع الذي لا مانع من تخصيص</w:t>
      </w:r>
      <w:r>
        <w:rPr>
          <w:rFonts w:hint="cs"/>
          <w:rtl/>
        </w:rPr>
        <w:t>ه</w:t>
      </w:r>
      <w:r w:rsidR="000A4159" w:rsidRPr="00822CE9">
        <w:rPr>
          <w:rFonts w:hint="cs"/>
          <w:rtl/>
        </w:rPr>
        <w:t>، بما</w:t>
      </w:r>
      <w:r>
        <w:rPr>
          <w:rFonts w:hint="cs"/>
          <w:rtl/>
        </w:rPr>
        <w:t xml:space="preserve"> </w:t>
      </w:r>
      <w:r w:rsidR="000A4159" w:rsidRPr="00822CE9">
        <w:rPr>
          <w:rFonts w:hint="cs"/>
          <w:rtl/>
        </w:rPr>
        <w:t xml:space="preserve">فيها هذان الدليلان المشار إليهما، فما المانع من تحريم الدفاع عن الإسلام </w:t>
      </w:r>
      <w:r w:rsidR="000A4159" w:rsidRPr="00822CE9">
        <w:rPr>
          <w:rFonts w:hint="cs"/>
          <w:rtl/>
        </w:rPr>
        <w:lastRenderedPageBreak/>
        <w:t>بالسلاح في بعض الأزمنة مع تشريع الدفاع عن</w:t>
      </w:r>
      <w:r>
        <w:rPr>
          <w:rFonts w:hint="cs"/>
          <w:rtl/>
        </w:rPr>
        <w:t>ه</w:t>
      </w:r>
      <w:r w:rsidR="000A4159" w:rsidRPr="00822CE9">
        <w:rPr>
          <w:rFonts w:hint="cs"/>
          <w:rtl/>
        </w:rPr>
        <w:t xml:space="preserve"> </w:t>
      </w:r>
      <w:r>
        <w:rPr>
          <w:rFonts w:hint="cs"/>
          <w:rtl/>
        </w:rPr>
        <w:t>ب</w:t>
      </w:r>
      <w:r w:rsidR="000A4159" w:rsidRPr="00822CE9">
        <w:rPr>
          <w:rFonts w:hint="cs"/>
          <w:rtl/>
        </w:rPr>
        <w:t>سائر الوسائل الأخرى، على أن</w:t>
      </w:r>
      <w:r>
        <w:rPr>
          <w:rFonts w:hint="cs"/>
          <w:rtl/>
        </w:rPr>
        <w:t>ّ</w:t>
      </w:r>
      <w:r w:rsidR="000A4159" w:rsidRPr="00822CE9">
        <w:rPr>
          <w:rFonts w:hint="cs"/>
          <w:rtl/>
        </w:rPr>
        <w:t xml:space="preserve"> الاستناد إلى دليل لزوم الكفر بالطاغوت سبق أن قلنا سابقاً بأن</w:t>
      </w:r>
      <w:r>
        <w:rPr>
          <w:rFonts w:hint="cs"/>
          <w:rtl/>
        </w:rPr>
        <w:t>ّ</w:t>
      </w:r>
      <w:r w:rsidR="000A4159" w:rsidRPr="00822CE9">
        <w:rPr>
          <w:rFonts w:hint="cs"/>
          <w:rtl/>
        </w:rPr>
        <w:t xml:space="preserve">ه باطل لا يصلح دليلاً </w:t>
      </w:r>
      <w:r>
        <w:rPr>
          <w:rFonts w:hint="cs"/>
          <w:rtl/>
        </w:rPr>
        <w:t xml:space="preserve">من </w:t>
      </w:r>
      <w:r w:rsidR="000A4159" w:rsidRPr="00822CE9">
        <w:rPr>
          <w:rFonts w:hint="cs"/>
          <w:rtl/>
        </w:rPr>
        <w:t>رأس.</w:t>
      </w:r>
    </w:p>
    <w:p w14:paraId="06F70920" w14:textId="77777777" w:rsidR="000A4159" w:rsidRPr="00822CE9" w:rsidRDefault="000A4159" w:rsidP="00A079D6">
      <w:pPr>
        <w:spacing w:line="214" w:lineRule="auto"/>
        <w:rPr>
          <w:rtl/>
        </w:rPr>
      </w:pPr>
      <w:r w:rsidRPr="001E31C1">
        <w:rPr>
          <w:rFonts w:hint="cs"/>
          <w:b/>
          <w:bCs/>
          <w:rtl/>
        </w:rPr>
        <w:t>الرد</w:t>
      </w:r>
      <w:r w:rsidR="001E31C1" w:rsidRPr="001E31C1">
        <w:rPr>
          <w:rFonts w:hint="cs"/>
          <w:b/>
          <w:bCs/>
          <w:rtl/>
        </w:rPr>
        <w:t>ّ</w:t>
      </w:r>
      <w:r w:rsidRPr="001E31C1">
        <w:rPr>
          <w:rFonts w:hint="cs"/>
          <w:b/>
          <w:bCs/>
          <w:rtl/>
        </w:rPr>
        <w:t xml:space="preserve"> الثالث:</w:t>
      </w:r>
      <w:r w:rsidRPr="00822CE9">
        <w:rPr>
          <w:rFonts w:hint="cs"/>
          <w:rtl/>
        </w:rPr>
        <w:t xml:space="preserve"> إنّ الحكم بالتخصيص هنا</w:t>
      </w:r>
      <w:r w:rsidR="001E31C1">
        <w:rPr>
          <w:rFonts w:hint="cs"/>
          <w:rtl/>
        </w:rPr>
        <w:t xml:space="preserve"> </w:t>
      </w:r>
      <w:r w:rsidRPr="00822CE9">
        <w:rPr>
          <w:rFonts w:hint="cs"/>
          <w:rtl/>
        </w:rPr>
        <w:t>على أساس صحيحة أبي بصير يعاني من مشكلة؛ فهل يمكن إسقاط كل</w:t>
      </w:r>
      <w:r w:rsidR="001E31C1">
        <w:rPr>
          <w:rFonts w:hint="cs"/>
          <w:rtl/>
        </w:rPr>
        <w:t>ّ</w:t>
      </w:r>
      <w:r w:rsidRPr="00822CE9">
        <w:rPr>
          <w:rFonts w:hint="cs"/>
          <w:rtl/>
        </w:rPr>
        <w:t xml:space="preserve"> تلك الأدلّة والتشريعات الخطيرة في إصلاح شؤون الأم</w:t>
      </w:r>
      <w:r w:rsidR="001E31C1">
        <w:rPr>
          <w:rFonts w:hint="cs"/>
          <w:rtl/>
        </w:rPr>
        <w:t>ّ</w:t>
      </w:r>
      <w:r w:rsidRPr="00822CE9">
        <w:rPr>
          <w:rFonts w:hint="cs"/>
          <w:rtl/>
        </w:rPr>
        <w:t>ة وتصويب مسارها وتأسيس النظام الإسلامي العادل وتطبيق شرع الله تعالى، برواية واحدة ولو كانت صحيحة السند، هل يعدّ العرف والعقلاء هذا النوع من الجمع العرفي منسجماً مع المنطق العقلائي، بحيث نسقط أدلّةً وعمومات لرواية واحدة في قضي</w:t>
      </w:r>
      <w:r w:rsidR="001E31C1">
        <w:rPr>
          <w:rFonts w:hint="cs"/>
          <w:rtl/>
        </w:rPr>
        <w:t>ّ</w:t>
      </w:r>
      <w:r w:rsidRPr="00822CE9">
        <w:rPr>
          <w:rFonts w:hint="cs"/>
          <w:rtl/>
        </w:rPr>
        <w:t>ة حساسة وخطيرة من هذا النوع؟</w:t>
      </w:r>
      <w:r w:rsidR="001E31C1">
        <w:rPr>
          <w:rFonts w:hint="cs"/>
          <w:rtl/>
        </w:rPr>
        <w:t>!</w:t>
      </w:r>
    </w:p>
    <w:p w14:paraId="4E25B437" w14:textId="77777777" w:rsidR="001E31C1" w:rsidRDefault="000A4159" w:rsidP="001E31C1">
      <w:pPr>
        <w:spacing w:line="214" w:lineRule="auto"/>
        <w:rPr>
          <w:rtl/>
        </w:rPr>
      </w:pPr>
      <w:r w:rsidRPr="00822CE9">
        <w:rPr>
          <w:rFonts w:hint="cs"/>
          <w:rtl/>
        </w:rPr>
        <w:t>فإذا شك</w:t>
      </w:r>
      <w:r w:rsidR="001E31C1">
        <w:rPr>
          <w:rFonts w:hint="cs"/>
          <w:rtl/>
        </w:rPr>
        <w:t>ّ</w:t>
      </w:r>
      <w:r w:rsidRPr="00822CE9">
        <w:rPr>
          <w:rFonts w:hint="cs"/>
          <w:rtl/>
        </w:rPr>
        <w:t>كنا في الموضوع يفترض البقاء على وفق القواعد الشرعي</w:t>
      </w:r>
      <w:r w:rsidR="001E31C1">
        <w:rPr>
          <w:rFonts w:hint="cs"/>
          <w:rtl/>
        </w:rPr>
        <w:t>ّ</w:t>
      </w:r>
      <w:r w:rsidRPr="00822CE9">
        <w:rPr>
          <w:rFonts w:hint="cs"/>
          <w:rtl/>
        </w:rPr>
        <w:t>ة العامة وعدم الاهتمام برواية واحدة مخصّصة بهذا القدر الواسع من التخصيص</w:t>
      </w:r>
      <w:r w:rsidR="001E31C1">
        <w:rPr>
          <w:rFonts w:hint="cs"/>
          <w:rtl/>
        </w:rPr>
        <w:t>.</w:t>
      </w:r>
    </w:p>
    <w:p w14:paraId="177F8689" w14:textId="77777777" w:rsidR="000A4159" w:rsidRPr="001E31C1" w:rsidRDefault="001E31C1" w:rsidP="00180E1D">
      <w:pPr>
        <w:spacing w:line="214" w:lineRule="auto"/>
        <w:rPr>
          <w:b/>
          <w:bCs/>
          <w:rtl/>
        </w:rPr>
      </w:pPr>
      <w:r w:rsidRPr="001E31C1">
        <w:rPr>
          <w:rFonts w:hint="cs"/>
          <w:b/>
          <w:bCs/>
          <w:rtl/>
        </w:rPr>
        <w:t xml:space="preserve">غير أنّه </w:t>
      </w:r>
      <w:r>
        <w:rPr>
          <w:rFonts w:hint="cs"/>
          <w:b/>
          <w:bCs/>
          <w:rtl/>
        </w:rPr>
        <w:t>يمكن أ</w:t>
      </w:r>
      <w:r w:rsidR="000A4159" w:rsidRPr="001E31C1">
        <w:rPr>
          <w:rFonts w:hint="cs"/>
          <w:b/>
          <w:bCs/>
          <w:rtl/>
        </w:rPr>
        <w:t>ن يناقش هذا الرد</w:t>
      </w:r>
      <w:r>
        <w:rPr>
          <w:rFonts w:hint="cs"/>
          <w:b/>
          <w:bCs/>
          <w:rtl/>
        </w:rPr>
        <w:t>ّ</w:t>
      </w:r>
      <w:r w:rsidR="000A4159" w:rsidRPr="001E31C1">
        <w:rPr>
          <w:rFonts w:hint="cs"/>
          <w:b/>
          <w:bCs/>
          <w:rtl/>
        </w:rPr>
        <w:t xml:space="preserve"> من ن</w:t>
      </w:r>
      <w:r w:rsidR="00180E1D">
        <w:rPr>
          <w:rFonts w:hint="cs"/>
          <w:b/>
          <w:bCs/>
          <w:rtl/>
        </w:rPr>
        <w:t>احيتين</w:t>
      </w:r>
      <w:r w:rsidR="000A4159" w:rsidRPr="001E31C1">
        <w:rPr>
          <w:rFonts w:hint="cs"/>
          <w:b/>
          <w:bCs/>
          <w:rtl/>
        </w:rPr>
        <w:t>:</w:t>
      </w:r>
    </w:p>
    <w:p w14:paraId="12590678" w14:textId="77777777" w:rsidR="000A4159" w:rsidRPr="00822CE9" w:rsidRDefault="000A4159" w:rsidP="001E31C1">
      <w:pPr>
        <w:spacing w:line="214" w:lineRule="auto"/>
        <w:rPr>
          <w:rtl/>
        </w:rPr>
      </w:pPr>
      <w:r w:rsidRPr="001E31C1">
        <w:rPr>
          <w:rFonts w:hint="cs"/>
          <w:b/>
          <w:bCs/>
          <w:rtl/>
        </w:rPr>
        <w:t>الناحية الأولى:</w:t>
      </w:r>
      <w:r w:rsidRPr="00822CE9">
        <w:rPr>
          <w:rFonts w:hint="cs"/>
          <w:rtl/>
        </w:rPr>
        <w:t xml:space="preserve"> إنّ وجود رواية واحدة صحيحة السند إلى جانبها سبع روايات تام</w:t>
      </w:r>
      <w:r w:rsidR="001E31C1">
        <w:rPr>
          <w:rFonts w:hint="cs"/>
          <w:rtl/>
        </w:rPr>
        <w:t>ّ</w:t>
      </w:r>
      <w:r w:rsidRPr="00822CE9">
        <w:rPr>
          <w:rFonts w:hint="cs"/>
          <w:rtl/>
        </w:rPr>
        <w:t>ة الدلالة ضعيفة السند يكفي لممارسة تقييد لموضوع خطير، وقد مارس الفقهاء هذا النوع من التقييدات في بحوثهم الفقهي</w:t>
      </w:r>
      <w:r w:rsidR="001E31C1">
        <w:rPr>
          <w:rFonts w:hint="cs"/>
          <w:rtl/>
        </w:rPr>
        <w:t>ّ</w:t>
      </w:r>
      <w:r w:rsidRPr="00822CE9">
        <w:rPr>
          <w:rFonts w:hint="cs"/>
          <w:rtl/>
        </w:rPr>
        <w:t xml:space="preserve">ة، </w:t>
      </w:r>
      <w:r w:rsidR="001E31C1">
        <w:rPr>
          <w:rFonts w:hint="cs"/>
          <w:rtl/>
        </w:rPr>
        <w:t xml:space="preserve">لا </w:t>
      </w:r>
      <w:r w:rsidRPr="00822CE9">
        <w:rPr>
          <w:rFonts w:hint="cs"/>
          <w:rtl/>
        </w:rPr>
        <w:t>سيما عندما تكون الرواية المخص</w:t>
      </w:r>
      <w:r w:rsidR="001E31C1">
        <w:rPr>
          <w:rFonts w:hint="cs"/>
          <w:rtl/>
        </w:rPr>
        <w:t>ِّ</w:t>
      </w:r>
      <w:r w:rsidRPr="00822CE9">
        <w:rPr>
          <w:rFonts w:hint="cs"/>
          <w:rtl/>
        </w:rPr>
        <w:t>صة م</w:t>
      </w:r>
      <w:r w:rsidR="001E31C1">
        <w:rPr>
          <w:rFonts w:hint="cs"/>
          <w:rtl/>
        </w:rPr>
        <w:t xml:space="preserve">عزَّزة </w:t>
      </w:r>
      <w:r w:rsidRPr="00822CE9">
        <w:rPr>
          <w:rFonts w:hint="cs"/>
          <w:rtl/>
        </w:rPr>
        <w:t>بقاعدة الاحتياط</w:t>
      </w:r>
      <w:r w:rsidR="001E31C1">
        <w:rPr>
          <w:rFonts w:hint="cs"/>
          <w:rtl/>
        </w:rPr>
        <w:t xml:space="preserve"> </w:t>
      </w:r>
      <w:r w:rsidRPr="00822CE9">
        <w:rPr>
          <w:rFonts w:hint="cs"/>
          <w:rtl/>
        </w:rPr>
        <w:t>في الدماء والأموال، إلى جانب ذهاب جمع</w:t>
      </w:r>
      <w:r w:rsidR="001E31C1">
        <w:rPr>
          <w:rFonts w:hint="cs"/>
          <w:rtl/>
        </w:rPr>
        <w:t>ٍ</w:t>
      </w:r>
      <w:r w:rsidRPr="00822CE9">
        <w:rPr>
          <w:rFonts w:hint="cs"/>
          <w:rtl/>
        </w:rPr>
        <w:t xml:space="preserve"> من الفقهاء إلى ذلك، فإن</w:t>
      </w:r>
      <w:r w:rsidR="001E31C1">
        <w:rPr>
          <w:rFonts w:hint="cs"/>
          <w:rtl/>
        </w:rPr>
        <w:t>ّ</w:t>
      </w:r>
      <w:r w:rsidRPr="00822CE9">
        <w:rPr>
          <w:rFonts w:hint="cs"/>
          <w:rtl/>
        </w:rPr>
        <w:t xml:space="preserve"> القوّة حينئذ ستكون لصالح التخصيص</w:t>
      </w:r>
      <w:r w:rsidR="001E31C1">
        <w:rPr>
          <w:rFonts w:hint="cs"/>
          <w:rtl/>
        </w:rPr>
        <w:t>، وخاصّة مع وجود ملاك النظر في أ</w:t>
      </w:r>
      <w:r w:rsidRPr="00822CE9">
        <w:rPr>
          <w:rFonts w:hint="cs"/>
          <w:rtl/>
        </w:rPr>
        <w:t>دل</w:t>
      </w:r>
      <w:r w:rsidR="001E31C1">
        <w:rPr>
          <w:rFonts w:hint="cs"/>
          <w:rtl/>
        </w:rPr>
        <w:t>ّ</w:t>
      </w:r>
      <w:r w:rsidRPr="00822CE9">
        <w:rPr>
          <w:rFonts w:hint="cs"/>
          <w:rtl/>
        </w:rPr>
        <w:t>ة التحريم مما يعطيها قو</w:t>
      </w:r>
      <w:r w:rsidR="001E31C1">
        <w:rPr>
          <w:rFonts w:hint="cs"/>
          <w:rtl/>
        </w:rPr>
        <w:t>ّ</w:t>
      </w:r>
      <w:r w:rsidRPr="00822CE9">
        <w:rPr>
          <w:rFonts w:hint="cs"/>
          <w:rtl/>
        </w:rPr>
        <w:t>ة الحكومة، ولو فرضنا تردّد الأمر فأي</w:t>
      </w:r>
      <w:r w:rsidR="001E31C1">
        <w:rPr>
          <w:rFonts w:hint="cs"/>
          <w:rtl/>
        </w:rPr>
        <w:t>ّ</w:t>
      </w:r>
      <w:r w:rsidRPr="00822CE9">
        <w:rPr>
          <w:rFonts w:hint="cs"/>
          <w:rtl/>
        </w:rPr>
        <w:t xml:space="preserve"> مرجع لتقديم الأدلّة السابقة على الدليل المخصّص، بل المفترض حينئذ الرجوع إلى العمومات الفوقاني</w:t>
      </w:r>
      <w:r w:rsidR="001E31C1">
        <w:rPr>
          <w:rFonts w:hint="cs"/>
          <w:rtl/>
        </w:rPr>
        <w:t>ّ</w:t>
      </w:r>
      <w:r w:rsidRPr="00822CE9">
        <w:rPr>
          <w:rFonts w:hint="cs"/>
          <w:rtl/>
        </w:rPr>
        <w:t>ة والقواعد الأولي</w:t>
      </w:r>
      <w:r w:rsidR="001E31C1">
        <w:rPr>
          <w:rFonts w:hint="cs"/>
          <w:rtl/>
        </w:rPr>
        <w:t>ّ</w:t>
      </w:r>
      <w:r w:rsidRPr="00822CE9">
        <w:rPr>
          <w:rFonts w:hint="cs"/>
          <w:rtl/>
        </w:rPr>
        <w:t>ة الدالّة على حرمة شق</w:t>
      </w:r>
      <w:r w:rsidR="001E31C1">
        <w:rPr>
          <w:rFonts w:hint="cs"/>
          <w:rtl/>
        </w:rPr>
        <w:t>ّ عصا المسلمين وإ</w:t>
      </w:r>
      <w:r w:rsidRPr="00822CE9">
        <w:rPr>
          <w:rFonts w:hint="cs"/>
          <w:rtl/>
        </w:rPr>
        <w:t>حداث الفتنة بي</w:t>
      </w:r>
      <w:r w:rsidR="001E31C1">
        <w:rPr>
          <w:rFonts w:hint="cs"/>
          <w:rtl/>
        </w:rPr>
        <w:t>نهم وسفك دماء المؤمنين وإتلاف أ</w:t>
      </w:r>
      <w:r w:rsidRPr="00822CE9">
        <w:rPr>
          <w:rFonts w:hint="cs"/>
          <w:rtl/>
        </w:rPr>
        <w:t>رزاقهم، مما يحصل عادةً في الحروب الداخلي</w:t>
      </w:r>
      <w:r w:rsidR="001E31C1">
        <w:rPr>
          <w:rFonts w:hint="cs"/>
          <w:rtl/>
        </w:rPr>
        <w:t>ّ</w:t>
      </w:r>
      <w:r w:rsidRPr="00822CE9">
        <w:rPr>
          <w:rFonts w:hint="cs"/>
          <w:rtl/>
        </w:rPr>
        <w:t>ة بين المسلمين، وفي الثورات الدموي</w:t>
      </w:r>
      <w:r w:rsidR="001E31C1">
        <w:rPr>
          <w:rFonts w:hint="cs"/>
          <w:rtl/>
        </w:rPr>
        <w:t>ّ</w:t>
      </w:r>
      <w:r w:rsidRPr="00822CE9">
        <w:rPr>
          <w:rFonts w:hint="cs"/>
          <w:rtl/>
        </w:rPr>
        <w:t>ة.</w:t>
      </w:r>
    </w:p>
    <w:p w14:paraId="7C59F51E" w14:textId="77777777" w:rsidR="000A4159" w:rsidRPr="00822CE9" w:rsidRDefault="000A4159" w:rsidP="00FE3293">
      <w:pPr>
        <w:spacing w:line="214" w:lineRule="auto"/>
        <w:rPr>
          <w:rtl/>
        </w:rPr>
      </w:pPr>
      <w:r w:rsidRPr="00FE3293">
        <w:rPr>
          <w:rFonts w:hint="cs"/>
          <w:b/>
          <w:bCs/>
          <w:rtl/>
        </w:rPr>
        <w:t>الناحية الثانية:</w:t>
      </w:r>
      <w:r w:rsidRPr="00822CE9">
        <w:rPr>
          <w:rFonts w:hint="cs"/>
          <w:rtl/>
        </w:rPr>
        <w:t xml:space="preserve"> لقد بيّنا سابقاً أن الأدلّة السبعة عشر، والتي ش</w:t>
      </w:r>
      <w:r w:rsidR="00FE3293">
        <w:rPr>
          <w:rFonts w:hint="cs"/>
          <w:rtl/>
        </w:rPr>
        <w:t>ُيّ</w:t>
      </w:r>
      <w:r w:rsidRPr="00822CE9">
        <w:rPr>
          <w:rFonts w:hint="cs"/>
          <w:rtl/>
        </w:rPr>
        <w:t>دت أو يمكن أن تش</w:t>
      </w:r>
      <w:r w:rsidR="00FE3293">
        <w:rPr>
          <w:rFonts w:hint="cs"/>
          <w:rtl/>
        </w:rPr>
        <w:t>يّد</w:t>
      </w:r>
      <w:r w:rsidRPr="00822CE9">
        <w:rPr>
          <w:rFonts w:hint="cs"/>
          <w:rtl/>
        </w:rPr>
        <w:t xml:space="preserve"> للانتصار لنظري</w:t>
      </w:r>
      <w:r w:rsidR="00FE3293">
        <w:rPr>
          <w:rFonts w:hint="cs"/>
          <w:rtl/>
        </w:rPr>
        <w:t>ّ</w:t>
      </w:r>
      <w:r w:rsidRPr="00822CE9">
        <w:rPr>
          <w:rFonts w:hint="cs"/>
          <w:rtl/>
        </w:rPr>
        <w:t>ة شرعية الثورة لم يسلم منها بشكل جاد</w:t>
      </w:r>
      <w:r w:rsidR="00FE3293">
        <w:rPr>
          <w:rFonts w:hint="cs"/>
          <w:rtl/>
        </w:rPr>
        <w:t>ّ سوى ست أدلّة</w:t>
      </w:r>
      <w:r w:rsidRPr="00822CE9">
        <w:rPr>
          <w:rFonts w:hint="cs"/>
          <w:rtl/>
        </w:rPr>
        <w:t>، وسقط منها كلي</w:t>
      </w:r>
      <w:r w:rsidR="00FE3293">
        <w:rPr>
          <w:rFonts w:hint="cs"/>
          <w:rtl/>
        </w:rPr>
        <w:t>ّ</w:t>
      </w:r>
      <w:r w:rsidRPr="00822CE9">
        <w:rPr>
          <w:rFonts w:hint="cs"/>
          <w:rtl/>
        </w:rPr>
        <w:t>اً أحد عشر دليلاً، إذا</w:t>
      </w:r>
      <w:r w:rsidR="00FE3293">
        <w:rPr>
          <w:rFonts w:hint="cs"/>
          <w:rtl/>
        </w:rPr>
        <w:t>ً</w:t>
      </w:r>
      <w:r w:rsidRPr="00822CE9">
        <w:rPr>
          <w:rFonts w:hint="cs"/>
          <w:rtl/>
        </w:rPr>
        <w:t xml:space="preserve"> فلا يصحّ التهويل بكثرة الأدلّة بما قد يوحي بأن</w:t>
      </w:r>
      <w:r w:rsidR="00FE3293">
        <w:rPr>
          <w:rFonts w:hint="cs"/>
          <w:rtl/>
        </w:rPr>
        <w:t>ّ</w:t>
      </w:r>
      <w:r w:rsidRPr="00822CE9">
        <w:rPr>
          <w:rFonts w:hint="cs"/>
          <w:rtl/>
        </w:rPr>
        <w:t xml:space="preserve"> القضية وكأن</w:t>
      </w:r>
      <w:r w:rsidR="00FE3293">
        <w:rPr>
          <w:rFonts w:hint="cs"/>
          <w:rtl/>
        </w:rPr>
        <w:t>ّ</w:t>
      </w:r>
      <w:r w:rsidRPr="00822CE9">
        <w:rPr>
          <w:rFonts w:hint="cs"/>
          <w:rtl/>
        </w:rPr>
        <w:t>ها باتت من المسلّمات.</w:t>
      </w:r>
    </w:p>
    <w:p w14:paraId="221D83B3" w14:textId="77777777" w:rsidR="000A4159" w:rsidRDefault="000A4159" w:rsidP="001D0847">
      <w:pPr>
        <w:spacing w:line="214" w:lineRule="auto"/>
        <w:rPr>
          <w:rtl/>
        </w:rPr>
      </w:pPr>
      <w:r w:rsidRPr="00822CE9">
        <w:rPr>
          <w:rFonts w:hint="cs"/>
          <w:rtl/>
        </w:rPr>
        <w:t>وعليه؛ فهذا ال</w:t>
      </w:r>
      <w:r w:rsidR="00FE3293">
        <w:rPr>
          <w:rFonts w:hint="cs"/>
          <w:rtl/>
        </w:rPr>
        <w:t>حلّ</w:t>
      </w:r>
      <w:r w:rsidRPr="00822CE9">
        <w:rPr>
          <w:rFonts w:hint="cs"/>
          <w:rtl/>
        </w:rPr>
        <w:t xml:space="preserve"> تام</w:t>
      </w:r>
      <w:r w:rsidR="00FE3293">
        <w:rPr>
          <w:rFonts w:hint="cs"/>
          <w:rtl/>
        </w:rPr>
        <w:t>ّ</w:t>
      </w:r>
      <w:r w:rsidRPr="00822CE9">
        <w:rPr>
          <w:rFonts w:hint="cs"/>
          <w:rtl/>
        </w:rPr>
        <w:t xml:space="preserve"> على مستوى القواعد الاجتهادي</w:t>
      </w:r>
      <w:r w:rsidR="00FE3293">
        <w:rPr>
          <w:rFonts w:hint="cs"/>
          <w:rtl/>
        </w:rPr>
        <w:t>ّ</w:t>
      </w:r>
      <w:r w:rsidRPr="00822CE9">
        <w:rPr>
          <w:rFonts w:hint="cs"/>
          <w:rtl/>
        </w:rPr>
        <w:t xml:space="preserve">ة المعمول بها عندهم، ولا </w:t>
      </w:r>
      <w:r w:rsidR="001D0847">
        <w:rPr>
          <w:rFonts w:hint="cs"/>
          <w:rtl/>
        </w:rPr>
        <w:t>ي</w:t>
      </w:r>
      <w:r w:rsidRPr="00822CE9">
        <w:rPr>
          <w:rFonts w:hint="cs"/>
          <w:rtl/>
        </w:rPr>
        <w:t>صل</w:t>
      </w:r>
      <w:r w:rsidR="001D0847">
        <w:rPr>
          <w:rFonts w:hint="cs"/>
          <w:rtl/>
        </w:rPr>
        <w:t xml:space="preserve"> الأمر </w:t>
      </w:r>
      <w:r w:rsidRPr="00822CE9">
        <w:rPr>
          <w:rFonts w:hint="cs"/>
          <w:rtl/>
        </w:rPr>
        <w:lastRenderedPageBreak/>
        <w:t>لا إلى التقية ولا إلى معارضة القرآن، ولا غير ذلك.</w:t>
      </w:r>
    </w:p>
    <w:p w14:paraId="615230FC" w14:textId="77777777" w:rsidR="004F083D" w:rsidRPr="004F083D" w:rsidRDefault="004F083D" w:rsidP="000153E6">
      <w:pPr>
        <w:pStyle w:val="Heading5"/>
        <w:rPr>
          <w:rtl/>
        </w:rPr>
      </w:pPr>
      <w:bookmarkStart w:id="253" w:name="_Toc143804206"/>
      <w:bookmarkStart w:id="254" w:name="_Toc238123331"/>
      <w:r w:rsidRPr="004F083D">
        <w:rPr>
          <w:rFonts w:hint="cs"/>
          <w:rtl/>
        </w:rPr>
        <w:t xml:space="preserve">الحلّ الرابع: التوفيق على قاعدة الرأي المختار في </w:t>
      </w:r>
      <w:r>
        <w:rPr>
          <w:rFonts w:hint="cs"/>
          <w:rtl/>
        </w:rPr>
        <w:t xml:space="preserve">حدود </w:t>
      </w:r>
      <w:r w:rsidRPr="004F083D">
        <w:rPr>
          <w:rFonts w:hint="cs"/>
          <w:rtl/>
        </w:rPr>
        <w:t>شرعيّ</w:t>
      </w:r>
      <w:r>
        <w:rPr>
          <w:rFonts w:hint="cs"/>
          <w:rtl/>
        </w:rPr>
        <w:t>ة</w:t>
      </w:r>
      <w:r w:rsidRPr="004F083D">
        <w:rPr>
          <w:rFonts w:hint="cs"/>
          <w:rtl/>
        </w:rPr>
        <w:t xml:space="preserve"> </w:t>
      </w:r>
      <w:r>
        <w:rPr>
          <w:rFonts w:hint="cs"/>
          <w:rtl/>
        </w:rPr>
        <w:t>ال</w:t>
      </w:r>
      <w:r w:rsidRPr="004F083D">
        <w:rPr>
          <w:rFonts w:hint="cs"/>
          <w:rtl/>
        </w:rPr>
        <w:t>ثورة</w:t>
      </w:r>
      <w:bookmarkEnd w:id="253"/>
      <w:bookmarkEnd w:id="254"/>
    </w:p>
    <w:p w14:paraId="292E0DEA" w14:textId="77777777" w:rsidR="000A4159" w:rsidRPr="00822CE9" w:rsidRDefault="004F083D" w:rsidP="004F083D">
      <w:pPr>
        <w:spacing w:line="214" w:lineRule="auto"/>
        <w:rPr>
          <w:rtl/>
        </w:rPr>
      </w:pPr>
      <w:r>
        <w:rPr>
          <w:rFonts w:hint="cs"/>
          <w:rtl/>
        </w:rPr>
        <w:t>هذا الحلّ</w:t>
      </w:r>
      <w:r w:rsidR="00FE3293">
        <w:rPr>
          <w:rFonts w:hint="cs"/>
          <w:rtl/>
        </w:rPr>
        <w:t xml:space="preserve"> منسجم مع خصوص تصوّراتنا التي خرجنا بها من دراسة أدلّة شرعيّة الثورة، حيث </w:t>
      </w:r>
      <w:r w:rsidR="000A4159" w:rsidRPr="00822CE9">
        <w:rPr>
          <w:rFonts w:hint="cs"/>
          <w:rtl/>
        </w:rPr>
        <w:t>بيّنا سابقاً أن</w:t>
      </w:r>
      <w:r w:rsidR="00FE3293">
        <w:rPr>
          <w:rFonts w:hint="cs"/>
          <w:rtl/>
        </w:rPr>
        <w:t>ّ</w:t>
      </w:r>
      <w:r w:rsidR="000A4159" w:rsidRPr="00822CE9">
        <w:rPr>
          <w:rFonts w:hint="cs"/>
          <w:rtl/>
        </w:rPr>
        <w:t xml:space="preserve"> غاية ما تفيده </w:t>
      </w:r>
      <w:r w:rsidR="00FE3293">
        <w:rPr>
          <w:rFonts w:hint="cs"/>
          <w:rtl/>
        </w:rPr>
        <w:t>هذه ال</w:t>
      </w:r>
      <w:r w:rsidR="000A4159" w:rsidRPr="00822CE9">
        <w:rPr>
          <w:rFonts w:hint="cs"/>
          <w:rtl/>
        </w:rPr>
        <w:t>أدلّة هو:</w:t>
      </w:r>
    </w:p>
    <w:p w14:paraId="66D87FBB" w14:textId="77777777" w:rsidR="000A4159" w:rsidRPr="00822CE9" w:rsidRDefault="00FE3293" w:rsidP="00FE3293">
      <w:pPr>
        <w:spacing w:line="214" w:lineRule="auto"/>
        <w:rPr>
          <w:rtl/>
        </w:rPr>
      </w:pPr>
      <w:r>
        <w:rPr>
          <w:rFonts w:hint="cs"/>
          <w:rtl/>
        </w:rPr>
        <w:t xml:space="preserve">أ </w:t>
      </w:r>
      <w:r w:rsidR="000A4159" w:rsidRPr="00822CE9">
        <w:rPr>
          <w:rFonts w:hint="cs"/>
          <w:rtl/>
        </w:rPr>
        <w:t xml:space="preserve">ـ </w:t>
      </w:r>
      <w:r>
        <w:rPr>
          <w:rFonts w:hint="cs"/>
          <w:rtl/>
        </w:rPr>
        <w:t xml:space="preserve">شرعيّة </w:t>
      </w:r>
      <w:r w:rsidR="000A4159" w:rsidRPr="00822CE9">
        <w:rPr>
          <w:rFonts w:hint="cs"/>
          <w:rtl/>
        </w:rPr>
        <w:t>دفاع الشعب والحركة الإسلامي</w:t>
      </w:r>
      <w:r>
        <w:rPr>
          <w:rFonts w:hint="cs"/>
          <w:rtl/>
        </w:rPr>
        <w:t>ّ</w:t>
      </w:r>
      <w:r w:rsidR="000A4159" w:rsidRPr="00822CE9">
        <w:rPr>
          <w:rFonts w:hint="cs"/>
          <w:rtl/>
        </w:rPr>
        <w:t>ة عن نفسها.</w:t>
      </w:r>
    </w:p>
    <w:p w14:paraId="1AA90BD7" w14:textId="77777777" w:rsidR="000A4159" w:rsidRPr="00822CE9" w:rsidRDefault="000A4159" w:rsidP="00A079D6">
      <w:pPr>
        <w:spacing w:line="214" w:lineRule="auto"/>
        <w:rPr>
          <w:rtl/>
        </w:rPr>
      </w:pPr>
      <w:r w:rsidRPr="00822CE9">
        <w:rPr>
          <w:rFonts w:hint="cs"/>
          <w:rtl/>
        </w:rPr>
        <w:t>ب ـ وشرعي</w:t>
      </w:r>
      <w:r w:rsidR="00FE3293">
        <w:rPr>
          <w:rFonts w:hint="cs"/>
          <w:rtl/>
        </w:rPr>
        <w:t>ّ</w:t>
      </w:r>
      <w:r w:rsidRPr="00822CE9">
        <w:rPr>
          <w:rFonts w:hint="cs"/>
          <w:rtl/>
        </w:rPr>
        <w:t>ة مقاومتها إذا خافت على أساس الإسلام مع ممارسة السلطة للقمع لا مطلقاً، وما شابه ذلك.</w:t>
      </w:r>
    </w:p>
    <w:p w14:paraId="623807F4" w14:textId="77777777" w:rsidR="000A4159" w:rsidRPr="00FE3293" w:rsidRDefault="000A4159" w:rsidP="00A079D6">
      <w:pPr>
        <w:spacing w:line="214" w:lineRule="auto"/>
        <w:rPr>
          <w:b/>
          <w:bCs/>
          <w:rtl/>
        </w:rPr>
      </w:pPr>
      <w:r w:rsidRPr="00FE3293">
        <w:rPr>
          <w:rFonts w:hint="cs"/>
          <w:b/>
          <w:bCs/>
          <w:rtl/>
        </w:rPr>
        <w:t>وهنا نقول:</w:t>
      </w:r>
    </w:p>
    <w:p w14:paraId="1A95F51C" w14:textId="77777777" w:rsidR="000A4159" w:rsidRPr="00822CE9" w:rsidRDefault="000A4159" w:rsidP="00FE3293">
      <w:pPr>
        <w:spacing w:line="214" w:lineRule="auto"/>
        <w:rPr>
          <w:rtl/>
        </w:rPr>
      </w:pPr>
      <w:r w:rsidRPr="00FE3293">
        <w:rPr>
          <w:rFonts w:hint="cs"/>
          <w:b/>
          <w:bCs/>
          <w:rtl/>
        </w:rPr>
        <w:t>أو</w:t>
      </w:r>
      <w:r w:rsidR="00FE3293">
        <w:rPr>
          <w:rFonts w:hint="cs"/>
          <w:b/>
          <w:bCs/>
          <w:rtl/>
        </w:rPr>
        <w:t>ّ</w:t>
      </w:r>
      <w:r w:rsidRPr="00FE3293">
        <w:rPr>
          <w:rFonts w:hint="cs"/>
          <w:b/>
          <w:bCs/>
          <w:rtl/>
        </w:rPr>
        <w:t>لاً:</w:t>
      </w:r>
      <w:r w:rsidRPr="00822CE9">
        <w:rPr>
          <w:rFonts w:hint="cs"/>
          <w:rtl/>
        </w:rPr>
        <w:t xml:space="preserve"> هل يمكن تصوّر التخصيص في هذين المفهومين، بحيث نقول: لا يجب ممارسة الدفاع المسلّح عن الإسلام في أصل وجوده عن</w:t>
      </w:r>
      <w:r w:rsidR="00FE3293">
        <w:rPr>
          <w:rFonts w:hint="cs"/>
          <w:rtl/>
        </w:rPr>
        <w:t>دما لا نقدر ولا يتس</w:t>
      </w:r>
      <w:r w:rsidRPr="00822CE9">
        <w:rPr>
          <w:rFonts w:hint="cs"/>
          <w:rtl/>
        </w:rPr>
        <w:t>ن</w:t>
      </w:r>
      <w:r w:rsidR="00FE3293">
        <w:rPr>
          <w:rFonts w:hint="cs"/>
          <w:rtl/>
        </w:rPr>
        <w:t>ّ</w:t>
      </w:r>
      <w:r w:rsidRPr="00822CE9">
        <w:rPr>
          <w:rFonts w:hint="cs"/>
          <w:rtl/>
        </w:rPr>
        <w:t>ى الدفاع عنه بغير هذه الطريقة، وتكون السلطة قمعي</w:t>
      </w:r>
      <w:r w:rsidR="00FE3293">
        <w:rPr>
          <w:rFonts w:hint="cs"/>
          <w:rtl/>
        </w:rPr>
        <w:t>ّ</w:t>
      </w:r>
      <w:r w:rsidRPr="00822CE9">
        <w:rPr>
          <w:rFonts w:hint="cs"/>
          <w:rtl/>
        </w:rPr>
        <w:t>ة تحول دون الدفاع السلمي عن الإسلام؟</w:t>
      </w:r>
      <w:r w:rsidR="00FE3293">
        <w:rPr>
          <w:rFonts w:hint="cs"/>
          <w:rtl/>
        </w:rPr>
        <w:t>!</w:t>
      </w:r>
      <w:r w:rsidRPr="00822CE9">
        <w:rPr>
          <w:rFonts w:hint="cs"/>
          <w:rtl/>
        </w:rPr>
        <w:t xml:space="preserve"> وهل يمكن القول بتخصيص دليل الدفاع عن النفس عندما يقوم الحاكم بقتل شعبه وإبادته وممارسة مختلف ألوان القمع ضدّ</w:t>
      </w:r>
      <w:r w:rsidR="00FE3293">
        <w:rPr>
          <w:rFonts w:hint="cs"/>
          <w:rtl/>
        </w:rPr>
        <w:t>ه</w:t>
      </w:r>
      <w:r w:rsidRPr="00822CE9">
        <w:rPr>
          <w:rFonts w:hint="cs"/>
          <w:rtl/>
        </w:rPr>
        <w:t>؟</w:t>
      </w:r>
      <w:r w:rsidR="00FE3293">
        <w:rPr>
          <w:rFonts w:hint="cs"/>
          <w:rtl/>
        </w:rPr>
        <w:t>!</w:t>
      </w:r>
      <w:r w:rsidRPr="00822CE9">
        <w:rPr>
          <w:rFonts w:hint="cs"/>
          <w:rtl/>
        </w:rPr>
        <w:t xml:space="preserve"> وهل يرى العقلاء ذلك أمراً متصوّراً منسجماً مع قيم الإسلام ومفاهيمه السامية؟</w:t>
      </w:r>
      <w:r w:rsidR="00FE3293">
        <w:rPr>
          <w:rFonts w:hint="cs"/>
          <w:rtl/>
        </w:rPr>
        <w:t>!</w:t>
      </w:r>
      <w:r w:rsidRPr="00822CE9">
        <w:rPr>
          <w:rFonts w:hint="cs"/>
          <w:rtl/>
        </w:rPr>
        <w:t xml:space="preserve"> وهل هذه هي مقاصد </w:t>
      </w:r>
      <w:r w:rsidR="00FE3293">
        <w:rPr>
          <w:rFonts w:hint="cs"/>
          <w:rtl/>
        </w:rPr>
        <w:t>الشريعة</w:t>
      </w:r>
      <w:r w:rsidRPr="00822CE9">
        <w:rPr>
          <w:rFonts w:hint="cs"/>
          <w:rtl/>
        </w:rPr>
        <w:t>؟</w:t>
      </w:r>
      <w:r w:rsidR="00FE3293">
        <w:rPr>
          <w:rFonts w:hint="cs"/>
          <w:rtl/>
        </w:rPr>
        <w:t>!</w:t>
      </w:r>
    </w:p>
    <w:p w14:paraId="05E8E202" w14:textId="77777777" w:rsidR="000A4159" w:rsidRPr="00822CE9" w:rsidRDefault="000A4159" w:rsidP="00F714C3">
      <w:pPr>
        <w:spacing w:line="214" w:lineRule="auto"/>
        <w:rPr>
          <w:rtl/>
        </w:rPr>
      </w:pPr>
      <w:r w:rsidRPr="00FE3293">
        <w:rPr>
          <w:rFonts w:hint="cs"/>
          <w:b/>
          <w:bCs/>
          <w:rtl/>
        </w:rPr>
        <w:t>ثانياً:</w:t>
      </w:r>
      <w:r w:rsidRPr="00822CE9">
        <w:rPr>
          <w:rFonts w:hint="cs"/>
          <w:rtl/>
        </w:rPr>
        <w:t xml:space="preserve"> مع وجود النقطة المضع</w:t>
      </w:r>
      <w:r w:rsidR="00FE3293">
        <w:rPr>
          <w:rFonts w:hint="cs"/>
          <w:rtl/>
        </w:rPr>
        <w:t>ِّفة المتق</w:t>
      </w:r>
      <w:r w:rsidRPr="00822CE9">
        <w:rPr>
          <w:rFonts w:hint="cs"/>
          <w:rtl/>
        </w:rPr>
        <w:t>د</w:t>
      </w:r>
      <w:r w:rsidR="00FE3293">
        <w:rPr>
          <w:rFonts w:hint="cs"/>
          <w:rtl/>
        </w:rPr>
        <w:t>ّ</w:t>
      </w:r>
      <w:r w:rsidRPr="00822CE9">
        <w:rPr>
          <w:rFonts w:hint="cs"/>
          <w:rtl/>
        </w:rPr>
        <w:t>مة، وبعد بنائنا على حجي</w:t>
      </w:r>
      <w:r w:rsidR="00FE3293">
        <w:rPr>
          <w:rFonts w:hint="cs"/>
          <w:rtl/>
        </w:rPr>
        <w:t>ّ</w:t>
      </w:r>
      <w:r w:rsidRPr="00822CE9">
        <w:rPr>
          <w:rFonts w:hint="cs"/>
          <w:rtl/>
        </w:rPr>
        <w:t>ة الخبر الموثوق المطمأن</w:t>
      </w:r>
      <w:r w:rsidR="00FE3293">
        <w:rPr>
          <w:rFonts w:hint="cs"/>
          <w:rtl/>
        </w:rPr>
        <w:t>ّ</w:t>
      </w:r>
      <w:r w:rsidRPr="00822CE9">
        <w:rPr>
          <w:rFonts w:hint="cs"/>
          <w:rtl/>
        </w:rPr>
        <w:t xml:space="preserve"> بصدوره </w:t>
      </w:r>
      <w:r w:rsidR="00F714C3">
        <w:rPr>
          <w:rFonts w:hint="cs"/>
          <w:rtl/>
        </w:rPr>
        <w:t xml:space="preserve">دون مجرّد خبر الثقة </w:t>
      </w:r>
      <w:r w:rsidRPr="00822CE9">
        <w:rPr>
          <w:rFonts w:hint="cs"/>
          <w:rtl/>
        </w:rPr>
        <w:t xml:space="preserve">ـ </w:t>
      </w:r>
      <w:r w:rsidR="00FE3293">
        <w:rPr>
          <w:rFonts w:hint="cs"/>
          <w:rtl/>
        </w:rPr>
        <w:t xml:space="preserve">لا </w:t>
      </w:r>
      <w:r w:rsidRPr="00822CE9">
        <w:rPr>
          <w:rFonts w:hint="cs"/>
          <w:rtl/>
        </w:rPr>
        <w:t>سيما في الملف</w:t>
      </w:r>
      <w:r w:rsidR="00FE3293">
        <w:rPr>
          <w:rFonts w:hint="cs"/>
          <w:rtl/>
        </w:rPr>
        <w:t>ّ</w:t>
      </w:r>
      <w:r w:rsidRPr="00822CE9">
        <w:rPr>
          <w:rFonts w:hint="cs"/>
          <w:rtl/>
        </w:rPr>
        <w:t>ات الخطيرة ـ هل يحصل وثوق بصدور</w:t>
      </w:r>
      <w:r w:rsidR="00FE3293">
        <w:rPr>
          <w:rFonts w:hint="cs"/>
          <w:rtl/>
        </w:rPr>
        <w:t xml:space="preserve"> </w:t>
      </w:r>
      <w:r w:rsidRPr="00822CE9">
        <w:rPr>
          <w:rFonts w:hint="cs"/>
          <w:rtl/>
        </w:rPr>
        <w:t>هذه الأخبار على نحو المراد الجد</w:t>
      </w:r>
      <w:r w:rsidR="00FE3293">
        <w:rPr>
          <w:rFonts w:hint="cs"/>
          <w:rtl/>
        </w:rPr>
        <w:t>ّ</w:t>
      </w:r>
      <w:r w:rsidRPr="00822CE9">
        <w:rPr>
          <w:rFonts w:hint="cs"/>
          <w:rtl/>
        </w:rPr>
        <w:t xml:space="preserve">ي حتى لو كانت صحيحة السند، </w:t>
      </w:r>
      <w:r w:rsidR="00FE3293">
        <w:rPr>
          <w:rFonts w:hint="cs"/>
          <w:rtl/>
        </w:rPr>
        <w:t xml:space="preserve">وبخاصّة </w:t>
      </w:r>
      <w:r w:rsidRPr="00822CE9">
        <w:rPr>
          <w:rFonts w:hint="cs"/>
          <w:rtl/>
        </w:rPr>
        <w:t>مع ضمّ احتمال التقية، ولو لم يصل هذا الاحتمال إلى حدّ الاطمئنان به أو إقامة الدليل عليه؟</w:t>
      </w:r>
      <w:r w:rsidR="00FE3293">
        <w:rPr>
          <w:rFonts w:hint="cs"/>
          <w:rtl/>
        </w:rPr>
        <w:t>!</w:t>
      </w:r>
    </w:p>
    <w:p w14:paraId="523307FE" w14:textId="77777777" w:rsidR="000A4159" w:rsidRPr="00822CE9" w:rsidRDefault="000A4159" w:rsidP="00FE3293">
      <w:pPr>
        <w:spacing w:line="214" w:lineRule="auto"/>
        <w:rPr>
          <w:rtl/>
        </w:rPr>
      </w:pPr>
      <w:r w:rsidRPr="00FE3293">
        <w:rPr>
          <w:rFonts w:hint="cs"/>
          <w:b/>
          <w:bCs/>
          <w:rtl/>
        </w:rPr>
        <w:t>ثالثاً:</w:t>
      </w:r>
      <w:r w:rsidRPr="00822CE9">
        <w:rPr>
          <w:rFonts w:hint="cs"/>
          <w:rtl/>
        </w:rPr>
        <w:t xml:space="preserve"> إذا دق</w:t>
      </w:r>
      <w:r w:rsidR="00FE3293">
        <w:rPr>
          <w:rFonts w:hint="cs"/>
          <w:rtl/>
        </w:rPr>
        <w:t>ّقنا في النتيجة التي تو</w:t>
      </w:r>
      <w:r w:rsidRPr="00822CE9">
        <w:rPr>
          <w:rFonts w:hint="cs"/>
          <w:rtl/>
        </w:rPr>
        <w:t>ص</w:t>
      </w:r>
      <w:r w:rsidR="00FE3293">
        <w:rPr>
          <w:rFonts w:hint="cs"/>
          <w:rtl/>
        </w:rPr>
        <w:t>ّ</w:t>
      </w:r>
      <w:r w:rsidRPr="00822CE9">
        <w:rPr>
          <w:rFonts w:hint="cs"/>
          <w:rtl/>
        </w:rPr>
        <w:t>لنا إليها سابقاً لدى استعراض نظري</w:t>
      </w:r>
      <w:r w:rsidR="00FE3293">
        <w:rPr>
          <w:rFonts w:hint="cs"/>
          <w:rtl/>
        </w:rPr>
        <w:t>ّ</w:t>
      </w:r>
      <w:r w:rsidRPr="00822CE9">
        <w:rPr>
          <w:rFonts w:hint="cs"/>
          <w:rtl/>
        </w:rPr>
        <w:t>ة الشرعي</w:t>
      </w:r>
      <w:r w:rsidR="00FE3293">
        <w:rPr>
          <w:rFonts w:hint="cs"/>
          <w:rtl/>
        </w:rPr>
        <w:t>ّ</w:t>
      </w:r>
      <w:r w:rsidRPr="00822CE9">
        <w:rPr>
          <w:rFonts w:hint="cs"/>
          <w:rtl/>
        </w:rPr>
        <w:t>ة، وتأم</w:t>
      </w:r>
      <w:r w:rsidR="00FE3293">
        <w:rPr>
          <w:rFonts w:hint="cs"/>
          <w:rtl/>
        </w:rPr>
        <w:t>ّ</w:t>
      </w:r>
      <w:r w:rsidRPr="00822CE9">
        <w:rPr>
          <w:rFonts w:hint="cs"/>
          <w:rtl/>
        </w:rPr>
        <w:t>لنا في صحيحة أبي بصير، فقد نجد معنى جديداً للرواية، فإن</w:t>
      </w:r>
      <w:r w:rsidR="00FE3293">
        <w:rPr>
          <w:rFonts w:hint="cs"/>
          <w:rtl/>
        </w:rPr>
        <w:t>ّ</w:t>
      </w:r>
      <w:r w:rsidRPr="00822CE9">
        <w:rPr>
          <w:rFonts w:hint="cs"/>
          <w:rtl/>
        </w:rPr>
        <w:t xml:space="preserve"> الموارد التي شرّعنا فيها الثورة ـ قد ـ لا يصدق عليها نوعاً أن</w:t>
      </w:r>
      <w:r w:rsidR="00FE3293">
        <w:rPr>
          <w:rFonts w:hint="cs"/>
          <w:rtl/>
        </w:rPr>
        <w:t>ّ</w:t>
      </w:r>
      <w:r w:rsidRPr="00822CE9">
        <w:rPr>
          <w:rFonts w:hint="cs"/>
          <w:rtl/>
        </w:rPr>
        <w:t>ها حمل راية بقدر ما يصدق عليها أن</w:t>
      </w:r>
      <w:r w:rsidR="00FE3293">
        <w:rPr>
          <w:rFonts w:hint="cs"/>
          <w:rtl/>
        </w:rPr>
        <w:t>ّ</w:t>
      </w:r>
      <w:r w:rsidRPr="00822CE9">
        <w:rPr>
          <w:rFonts w:hint="cs"/>
          <w:rtl/>
        </w:rPr>
        <w:t>ها مطالبة بحق</w:t>
      </w:r>
      <w:r w:rsidR="00FE3293">
        <w:rPr>
          <w:rFonts w:hint="cs"/>
          <w:rtl/>
        </w:rPr>
        <w:t>ّ</w:t>
      </w:r>
      <w:r w:rsidRPr="00822CE9">
        <w:rPr>
          <w:rFonts w:hint="cs"/>
          <w:rtl/>
        </w:rPr>
        <w:t xml:space="preserve"> الحرية في العيش والحياة وممارسة ألوان العمل الفكري والسياسي والاجتماعي و.. وهذه الثورة لا يصدق عليها أن</w:t>
      </w:r>
      <w:r w:rsidR="00FE3293">
        <w:rPr>
          <w:rFonts w:hint="cs"/>
          <w:rtl/>
        </w:rPr>
        <w:t>ّ</w:t>
      </w:r>
      <w:r w:rsidRPr="00822CE9">
        <w:rPr>
          <w:rFonts w:hint="cs"/>
          <w:rtl/>
        </w:rPr>
        <w:t>ها راية؛ لأن</w:t>
      </w:r>
      <w:r w:rsidR="00FE3293">
        <w:rPr>
          <w:rFonts w:hint="cs"/>
          <w:rtl/>
        </w:rPr>
        <w:t>ّ</w:t>
      </w:r>
      <w:r w:rsidRPr="00822CE9">
        <w:rPr>
          <w:rFonts w:hint="cs"/>
          <w:rtl/>
        </w:rPr>
        <w:t xml:space="preserve"> المنصرف من معنى الراية </w:t>
      </w:r>
      <w:r w:rsidR="00FE3293">
        <w:rPr>
          <w:rFonts w:hint="cs"/>
          <w:rtl/>
        </w:rPr>
        <w:t xml:space="preserve">أنّه </w:t>
      </w:r>
      <w:r w:rsidRPr="00822CE9">
        <w:rPr>
          <w:rFonts w:hint="cs"/>
          <w:rtl/>
        </w:rPr>
        <w:t xml:space="preserve">المشروع الذي يريد الوصول إلى السلطة أو تسليمها لأهلها، </w:t>
      </w:r>
      <w:r w:rsidRPr="00822CE9">
        <w:rPr>
          <w:rFonts w:hint="cs"/>
          <w:rtl/>
        </w:rPr>
        <w:lastRenderedPageBreak/>
        <w:t>كما</w:t>
      </w:r>
      <w:r w:rsidR="00FE3293">
        <w:rPr>
          <w:rFonts w:hint="cs"/>
          <w:rtl/>
        </w:rPr>
        <w:t xml:space="preserve"> كان الغالب في ثورات العصرين الأ</w:t>
      </w:r>
      <w:r w:rsidRPr="00822CE9">
        <w:rPr>
          <w:rFonts w:hint="cs"/>
          <w:rtl/>
        </w:rPr>
        <w:t xml:space="preserve">موي والعباسي، والثورة </w:t>
      </w:r>
      <w:r w:rsidR="00FE3293">
        <w:rPr>
          <w:rFonts w:hint="cs"/>
          <w:rtl/>
        </w:rPr>
        <w:t>ب</w:t>
      </w:r>
      <w:r w:rsidRPr="00822CE9">
        <w:rPr>
          <w:rFonts w:hint="cs"/>
          <w:rtl/>
        </w:rPr>
        <w:t>المعنى الذي طرحناه ليست راية ومشروعاً بقدر ما هي مطالبة بالتحرّر، مهما كان الحاكم، بحيث يترك أمر الوصول للسلطة إلى ظروفه الطبيعي</w:t>
      </w:r>
      <w:r w:rsidR="00FE3293">
        <w:rPr>
          <w:rFonts w:hint="cs"/>
          <w:rtl/>
        </w:rPr>
        <w:t>ّ</w:t>
      </w:r>
      <w:r w:rsidRPr="00822CE9">
        <w:rPr>
          <w:rFonts w:hint="cs"/>
          <w:rtl/>
        </w:rPr>
        <w:t>ة أو يكون نتيجاً قهري</w:t>
      </w:r>
      <w:r w:rsidR="00FE3293">
        <w:rPr>
          <w:rFonts w:hint="cs"/>
          <w:rtl/>
        </w:rPr>
        <w:t>ّ</w:t>
      </w:r>
      <w:r w:rsidRPr="00822CE9">
        <w:rPr>
          <w:rFonts w:hint="cs"/>
          <w:rtl/>
        </w:rPr>
        <w:t>اً للثورة لا مطلباً لها</w:t>
      </w:r>
      <w:r w:rsidR="00FE3293">
        <w:rPr>
          <w:rFonts w:hint="cs"/>
          <w:rtl/>
        </w:rPr>
        <w:t>.</w:t>
      </w:r>
      <w:r w:rsidRPr="00822CE9">
        <w:rPr>
          <w:rFonts w:hint="cs"/>
          <w:rtl/>
        </w:rPr>
        <w:t xml:space="preserve"> وهذه نقطة دقيقة جداً؛ فالراية لا تعني كل</w:t>
      </w:r>
      <w:r w:rsidR="00FE3293">
        <w:rPr>
          <w:rFonts w:hint="cs"/>
          <w:rtl/>
        </w:rPr>
        <w:t>ّ</w:t>
      </w:r>
      <w:r w:rsidRPr="00822CE9">
        <w:rPr>
          <w:rFonts w:hint="cs"/>
          <w:rtl/>
        </w:rPr>
        <w:t xml:space="preserve"> عمل سياسي أو عسكري مطلقاً، أو فكري واجتماعي، وإلا عنت هذه الرواية حرمة القيام بأي</w:t>
      </w:r>
      <w:r w:rsidR="00FE3293">
        <w:rPr>
          <w:rFonts w:hint="cs"/>
          <w:rtl/>
        </w:rPr>
        <w:t>ّ</w:t>
      </w:r>
      <w:r w:rsidRPr="00822CE9">
        <w:rPr>
          <w:rFonts w:hint="cs"/>
          <w:rtl/>
        </w:rPr>
        <w:t xml:space="preserve"> مشروع في حياة المسلمين مطلقاً؛ ولزم تعطيل حياة المسلمين</w:t>
      </w:r>
      <w:r w:rsidR="00FE3293">
        <w:rPr>
          <w:rFonts w:hint="cs"/>
          <w:rtl/>
        </w:rPr>
        <w:t>،</w:t>
      </w:r>
      <w:r w:rsidRPr="00822CE9">
        <w:rPr>
          <w:rFonts w:hint="cs"/>
          <w:rtl/>
        </w:rPr>
        <w:t xml:space="preserve"> وهذا خلاف مقاصد الشرع حيث تشمل الراية حينئذ الدفاع عن المسلمين ضدّ الكافرين و.. وإن</w:t>
      </w:r>
      <w:r w:rsidR="00FE3293">
        <w:rPr>
          <w:rFonts w:hint="cs"/>
          <w:rtl/>
        </w:rPr>
        <w:t>ّ</w:t>
      </w:r>
      <w:r w:rsidRPr="00822CE9">
        <w:rPr>
          <w:rFonts w:hint="cs"/>
          <w:rtl/>
        </w:rPr>
        <w:t>ما لها معنى المشروع الذي يهدف إعلان الإمامة إم</w:t>
      </w:r>
      <w:r w:rsidR="00FE3293">
        <w:rPr>
          <w:rFonts w:hint="cs"/>
          <w:rtl/>
        </w:rPr>
        <w:t>ّ</w:t>
      </w:r>
      <w:r w:rsidRPr="00822CE9">
        <w:rPr>
          <w:rFonts w:hint="cs"/>
          <w:rtl/>
        </w:rPr>
        <w:t>ا في طول الأئم</w:t>
      </w:r>
      <w:r w:rsidR="00FE3293">
        <w:rPr>
          <w:rFonts w:hint="cs"/>
          <w:rtl/>
        </w:rPr>
        <w:t>ّ</w:t>
      </w:r>
      <w:r w:rsidRPr="00822CE9">
        <w:rPr>
          <w:rFonts w:hint="cs"/>
          <w:rtl/>
        </w:rPr>
        <w:t>ة أو في عرضهم</w:t>
      </w:r>
      <w:r w:rsidR="00FE3293">
        <w:rPr>
          <w:rFonts w:hint="cs"/>
          <w:rtl/>
        </w:rPr>
        <w:t>،</w:t>
      </w:r>
      <w:r w:rsidRPr="00822CE9">
        <w:rPr>
          <w:rFonts w:hint="cs"/>
          <w:rtl/>
        </w:rPr>
        <w:t xml:space="preserve"> بحيث يثور صاحبها في الداخل الإسلامي للإمساك بالسلطة، فهذا هو المنصرف من معناها عصر صدورها، وإلا عطلت هذه الرواية حياة المسلمين تماماً وأبطلت فيهم أيّ مشروع ولو سلمي، وهو أمر</w:t>
      </w:r>
      <w:r w:rsidR="00FE3293">
        <w:rPr>
          <w:rFonts w:hint="cs"/>
          <w:rtl/>
        </w:rPr>
        <w:t>ٌ</w:t>
      </w:r>
      <w:r w:rsidRPr="00822CE9">
        <w:rPr>
          <w:rFonts w:hint="cs"/>
          <w:rtl/>
        </w:rPr>
        <w:t xml:space="preserve"> بالغ الخطورة لا يمكن أن نستند إليه بخبر</w:t>
      </w:r>
      <w:r w:rsidR="00FE3293">
        <w:rPr>
          <w:rFonts w:hint="cs"/>
          <w:rtl/>
        </w:rPr>
        <w:t>ٍ</w:t>
      </w:r>
      <w:r w:rsidRPr="00822CE9">
        <w:rPr>
          <w:rFonts w:hint="cs"/>
          <w:rtl/>
        </w:rPr>
        <w:t xml:space="preserve"> واحد، </w:t>
      </w:r>
      <w:r w:rsidR="00FE3293">
        <w:rPr>
          <w:rFonts w:hint="cs"/>
          <w:rtl/>
        </w:rPr>
        <w:t>وخاصّة أ</w:t>
      </w:r>
      <w:r w:rsidRPr="00822CE9">
        <w:rPr>
          <w:rFonts w:hint="cs"/>
          <w:rtl/>
        </w:rPr>
        <w:t>ن</w:t>
      </w:r>
      <w:r w:rsidR="00FE3293">
        <w:rPr>
          <w:rFonts w:hint="cs"/>
          <w:rtl/>
        </w:rPr>
        <w:t>ّ</w:t>
      </w:r>
      <w:r w:rsidRPr="00822CE9">
        <w:rPr>
          <w:rFonts w:hint="cs"/>
          <w:rtl/>
        </w:rPr>
        <w:t xml:space="preserve"> الأخبار ال</w:t>
      </w:r>
      <w:r w:rsidR="00FE3293">
        <w:rPr>
          <w:rFonts w:hint="cs"/>
          <w:rtl/>
        </w:rPr>
        <w:t xml:space="preserve">مؤيّدة </w:t>
      </w:r>
      <w:r w:rsidRPr="00822CE9">
        <w:rPr>
          <w:rFonts w:hint="cs"/>
          <w:rtl/>
        </w:rPr>
        <w:t>له تتحد</w:t>
      </w:r>
      <w:r w:rsidR="00FE3293">
        <w:rPr>
          <w:rFonts w:hint="cs"/>
          <w:rtl/>
        </w:rPr>
        <w:t>ث</w:t>
      </w:r>
      <w:r w:rsidRPr="00822CE9">
        <w:rPr>
          <w:rFonts w:hint="cs"/>
          <w:rtl/>
        </w:rPr>
        <w:t xml:space="preserve"> عن الثورة المسل</w:t>
      </w:r>
      <w:r w:rsidR="00FE3293">
        <w:rPr>
          <w:rFonts w:hint="cs"/>
          <w:rtl/>
        </w:rPr>
        <w:t>ّح</w:t>
      </w:r>
      <w:r w:rsidRPr="00822CE9">
        <w:rPr>
          <w:rFonts w:hint="cs"/>
          <w:rtl/>
        </w:rPr>
        <w:t>ة المستبطنة لإسقاط الأن</w:t>
      </w:r>
      <w:r w:rsidR="00FE3293">
        <w:rPr>
          <w:rFonts w:hint="cs"/>
          <w:rtl/>
        </w:rPr>
        <w:t>ظ</w:t>
      </w:r>
      <w:r w:rsidRPr="00822CE9">
        <w:rPr>
          <w:rFonts w:hint="cs"/>
          <w:rtl/>
        </w:rPr>
        <w:t>مة بالقو</w:t>
      </w:r>
      <w:r w:rsidR="00FE3293">
        <w:rPr>
          <w:rFonts w:hint="cs"/>
          <w:rtl/>
        </w:rPr>
        <w:t>ّ</w:t>
      </w:r>
      <w:r w:rsidRPr="00822CE9">
        <w:rPr>
          <w:rFonts w:hint="cs"/>
          <w:rtl/>
        </w:rPr>
        <w:t>ة عبر تعبيرها بكلمة «الخروج».</w:t>
      </w:r>
    </w:p>
    <w:p w14:paraId="0AC68DFE" w14:textId="77777777" w:rsidR="000A4159" w:rsidRPr="00822CE9" w:rsidRDefault="000A4159" w:rsidP="00FE3293">
      <w:pPr>
        <w:spacing w:line="214" w:lineRule="auto"/>
        <w:rPr>
          <w:rtl/>
        </w:rPr>
      </w:pPr>
      <w:r w:rsidRPr="00822CE9">
        <w:rPr>
          <w:rFonts w:hint="cs"/>
          <w:rtl/>
        </w:rPr>
        <w:t>إذ</w:t>
      </w:r>
      <w:r w:rsidR="00FE3293">
        <w:rPr>
          <w:rFonts w:hint="cs"/>
          <w:rtl/>
        </w:rPr>
        <w:t>ن،</w:t>
      </w:r>
      <w:r w:rsidRPr="00822CE9">
        <w:rPr>
          <w:rFonts w:hint="cs"/>
          <w:rtl/>
        </w:rPr>
        <w:t xml:space="preserve"> فالراية ه</w:t>
      </w:r>
      <w:r w:rsidR="00FE3293">
        <w:rPr>
          <w:rFonts w:hint="cs"/>
          <w:rtl/>
        </w:rPr>
        <w:t>و</w:t>
      </w:r>
      <w:r w:rsidRPr="00822CE9">
        <w:rPr>
          <w:rFonts w:hint="cs"/>
          <w:rtl/>
        </w:rPr>
        <w:t xml:space="preserve"> المشروع السياسي العسكري الهادف إسقاط النظام القائم للحلول مكانه، لا مطلق المشروع أو العمل الإسلامي، وإلا بطل مضمون هذه الرواية حينئذ تلقائياً، ولا أقلّ من الشك في شمول كلمة «الراية» لأوسع ممّا قلناه.</w:t>
      </w:r>
    </w:p>
    <w:p w14:paraId="7E420044" w14:textId="77777777" w:rsidR="000A4159" w:rsidRDefault="00FE3293" w:rsidP="00FE3293">
      <w:pPr>
        <w:spacing w:line="214" w:lineRule="auto"/>
        <w:rPr>
          <w:rtl/>
        </w:rPr>
      </w:pPr>
      <w:r w:rsidRPr="00FE3293">
        <w:rPr>
          <w:rFonts w:hint="cs"/>
          <w:b/>
          <w:bCs/>
          <w:rtl/>
        </w:rPr>
        <w:t>والنتيجة</w:t>
      </w:r>
      <w:r>
        <w:rPr>
          <w:rFonts w:hint="cs"/>
          <w:rtl/>
        </w:rPr>
        <w:t xml:space="preserve"> </w:t>
      </w:r>
      <w:r w:rsidR="000A4159" w:rsidRPr="00822CE9">
        <w:rPr>
          <w:rFonts w:hint="cs"/>
          <w:rtl/>
        </w:rPr>
        <w:t>أن</w:t>
      </w:r>
      <w:r>
        <w:rPr>
          <w:rFonts w:hint="cs"/>
          <w:rtl/>
        </w:rPr>
        <w:t>ّ</w:t>
      </w:r>
      <w:r w:rsidR="000A4159" w:rsidRPr="00822CE9">
        <w:rPr>
          <w:rFonts w:hint="cs"/>
          <w:rtl/>
        </w:rPr>
        <w:t>ه لا يمكن الاعتماد على هذه الأدلّة لإثبات حرمة الثورات ـ ولو الدموي</w:t>
      </w:r>
      <w:r>
        <w:rPr>
          <w:rFonts w:hint="cs"/>
          <w:rtl/>
        </w:rPr>
        <w:t>ّ</w:t>
      </w:r>
      <w:r w:rsidR="000A4159" w:rsidRPr="00822CE9">
        <w:rPr>
          <w:rFonts w:hint="cs"/>
          <w:rtl/>
        </w:rPr>
        <w:t xml:space="preserve">ة ـ ضمن النتيجة التي توصّلنا </w:t>
      </w:r>
      <w:r w:rsidR="00404CF0">
        <w:rPr>
          <w:rFonts w:hint="cs"/>
          <w:rtl/>
        </w:rPr>
        <w:t xml:space="preserve">نحن </w:t>
      </w:r>
      <w:r w:rsidR="000A4159" w:rsidRPr="00822CE9">
        <w:rPr>
          <w:rFonts w:hint="cs"/>
          <w:rtl/>
        </w:rPr>
        <w:t>إليها سابقاً، فالأصح</w:t>
      </w:r>
      <w:r>
        <w:rPr>
          <w:rFonts w:hint="cs"/>
          <w:rtl/>
        </w:rPr>
        <w:t>ّ</w:t>
      </w:r>
      <w:r w:rsidR="000A4159" w:rsidRPr="00822CE9">
        <w:rPr>
          <w:rFonts w:hint="cs"/>
          <w:rtl/>
        </w:rPr>
        <w:t xml:space="preserve"> القول بشرعي</w:t>
      </w:r>
      <w:r>
        <w:rPr>
          <w:rFonts w:hint="cs"/>
          <w:rtl/>
        </w:rPr>
        <w:t>ّ</w:t>
      </w:r>
      <w:r w:rsidR="000A4159" w:rsidRPr="00822CE9">
        <w:rPr>
          <w:rFonts w:hint="cs"/>
          <w:rtl/>
        </w:rPr>
        <w:t>ة الثورة في بعض الحالات وعدم شرعي</w:t>
      </w:r>
      <w:r>
        <w:rPr>
          <w:rFonts w:hint="cs"/>
          <w:rtl/>
        </w:rPr>
        <w:t>ّ</w:t>
      </w:r>
      <w:r w:rsidR="000A4159" w:rsidRPr="00822CE9">
        <w:rPr>
          <w:rFonts w:hint="cs"/>
          <w:rtl/>
        </w:rPr>
        <w:t>تها في حالات</w:t>
      </w:r>
      <w:r>
        <w:rPr>
          <w:rFonts w:hint="cs"/>
          <w:rtl/>
        </w:rPr>
        <w:t>ٍ</w:t>
      </w:r>
      <w:r w:rsidR="000A4159" w:rsidRPr="00822CE9">
        <w:rPr>
          <w:rFonts w:hint="cs"/>
          <w:rtl/>
        </w:rPr>
        <w:t xml:space="preserve"> أخ</w:t>
      </w:r>
      <w:r>
        <w:rPr>
          <w:rFonts w:hint="cs"/>
          <w:rtl/>
        </w:rPr>
        <w:t>َ</w:t>
      </w:r>
      <w:r w:rsidR="000A4159" w:rsidRPr="00822CE9">
        <w:rPr>
          <w:rFonts w:hint="cs"/>
          <w:rtl/>
        </w:rPr>
        <w:t>ر.</w:t>
      </w:r>
    </w:p>
    <w:p w14:paraId="45113D58" w14:textId="77777777" w:rsidR="003A7DE5" w:rsidRPr="003A7DE5" w:rsidRDefault="003A7DE5" w:rsidP="000153E6">
      <w:pPr>
        <w:pStyle w:val="Heading3"/>
        <w:rPr>
          <w:rtl/>
        </w:rPr>
      </w:pPr>
      <w:bookmarkStart w:id="255" w:name="_Toc143804207"/>
      <w:bookmarkStart w:id="256" w:name="_Toc238123332"/>
      <w:r>
        <w:rPr>
          <w:rFonts w:hint="cs"/>
          <w:rtl/>
        </w:rPr>
        <w:t>2 ـ 2 ـ الأدلّة المساعدة في إثبات نظريّة التحريم (الإجماع والشهرة والسيرة)</w:t>
      </w:r>
      <w:bookmarkEnd w:id="255"/>
      <w:bookmarkEnd w:id="256"/>
    </w:p>
    <w:p w14:paraId="416B308F" w14:textId="77777777" w:rsidR="00404CF0" w:rsidRPr="00404CF0" w:rsidRDefault="003A7DE5" w:rsidP="00404CF0">
      <w:pPr>
        <w:spacing w:line="214" w:lineRule="auto"/>
        <w:rPr>
          <w:b/>
          <w:bCs/>
          <w:rtl/>
        </w:rPr>
      </w:pPr>
      <w:r w:rsidRPr="00404CF0">
        <w:rPr>
          <w:rFonts w:hint="cs"/>
          <w:b/>
          <w:bCs/>
          <w:rtl/>
        </w:rPr>
        <w:t>ربما يستند هنا إلى الإجماع الإمامي على تحريم الخروج في عصر الغيبة، أو يُعتمد على الشهرة الفتوائيّة</w:t>
      </w:r>
      <w:r w:rsidR="00404CF0" w:rsidRPr="00404CF0">
        <w:rPr>
          <w:rFonts w:hint="cs"/>
          <w:b/>
          <w:bCs/>
          <w:rtl/>
        </w:rPr>
        <w:t>.</w:t>
      </w:r>
    </w:p>
    <w:p w14:paraId="4832C4C0" w14:textId="77777777" w:rsidR="003A7DE5" w:rsidRPr="00822CE9" w:rsidRDefault="003A7DE5" w:rsidP="00404CF0">
      <w:pPr>
        <w:spacing w:line="214" w:lineRule="auto"/>
        <w:rPr>
          <w:rtl/>
        </w:rPr>
      </w:pPr>
      <w:r w:rsidRPr="00404CF0">
        <w:rPr>
          <w:rFonts w:hint="cs"/>
          <w:b/>
          <w:bCs/>
          <w:rtl/>
        </w:rPr>
        <w:t>لكنّ ادّعاء الإجماع الشيعي</w:t>
      </w:r>
      <w:r w:rsidRPr="00822CE9">
        <w:rPr>
          <w:rFonts w:hint="cs"/>
          <w:rtl/>
        </w:rPr>
        <w:t xml:space="preserve"> على نظري</w:t>
      </w:r>
      <w:r>
        <w:rPr>
          <w:rFonts w:hint="cs"/>
          <w:rtl/>
        </w:rPr>
        <w:t>ّ</w:t>
      </w:r>
      <w:r w:rsidRPr="00822CE9">
        <w:rPr>
          <w:rFonts w:hint="cs"/>
          <w:rtl/>
        </w:rPr>
        <w:t>ة الحرمة أو الشهرة الفتوائي</w:t>
      </w:r>
      <w:r>
        <w:rPr>
          <w:rFonts w:hint="cs"/>
          <w:rtl/>
        </w:rPr>
        <w:t>ّ</w:t>
      </w:r>
      <w:r w:rsidRPr="00822CE9">
        <w:rPr>
          <w:rFonts w:hint="cs"/>
          <w:rtl/>
        </w:rPr>
        <w:t>ة</w:t>
      </w:r>
      <w:r>
        <w:rPr>
          <w:rFonts w:hint="cs"/>
          <w:rtl/>
        </w:rPr>
        <w:t>،</w:t>
      </w:r>
      <w:r w:rsidRPr="00822CE9">
        <w:rPr>
          <w:rFonts w:hint="cs"/>
          <w:rtl/>
        </w:rPr>
        <w:t xml:space="preserve"> وبقطع النظر عن مدى صوابه صغروي</w:t>
      </w:r>
      <w:r>
        <w:rPr>
          <w:rFonts w:hint="cs"/>
          <w:rtl/>
        </w:rPr>
        <w:t xml:space="preserve">ّاً </w:t>
      </w:r>
      <w:r w:rsidR="00404CF0">
        <w:rPr>
          <w:rFonts w:hint="cs"/>
          <w:rtl/>
        </w:rPr>
        <w:t xml:space="preserve">وإثباته تاريخيّاً </w:t>
      </w:r>
      <w:r>
        <w:rPr>
          <w:rFonts w:hint="cs"/>
          <w:rtl/>
        </w:rPr>
        <w:t>يظلّ غير مفيد؛ لأ</w:t>
      </w:r>
      <w:r w:rsidRPr="00822CE9">
        <w:rPr>
          <w:rFonts w:hint="cs"/>
          <w:rtl/>
        </w:rPr>
        <w:t>ن</w:t>
      </w:r>
      <w:r>
        <w:rPr>
          <w:rFonts w:hint="cs"/>
          <w:rtl/>
        </w:rPr>
        <w:t>ّ</w:t>
      </w:r>
      <w:r w:rsidRPr="00822CE9">
        <w:rPr>
          <w:rFonts w:hint="cs"/>
          <w:rtl/>
        </w:rPr>
        <w:t>نا نجزم بأن</w:t>
      </w:r>
      <w:r>
        <w:rPr>
          <w:rFonts w:hint="cs"/>
          <w:rtl/>
        </w:rPr>
        <w:t>ّ</w:t>
      </w:r>
      <w:r w:rsidRPr="00822CE9">
        <w:rPr>
          <w:rFonts w:hint="cs"/>
          <w:rtl/>
        </w:rPr>
        <w:t xml:space="preserve">هم اعتمدوا على الروايات </w:t>
      </w:r>
      <w:r>
        <w:rPr>
          <w:rFonts w:hint="cs"/>
          <w:rtl/>
        </w:rPr>
        <w:t>المتقدّمة في الدليل السابق و</w:t>
      </w:r>
      <w:r w:rsidRPr="00822CE9">
        <w:rPr>
          <w:rFonts w:hint="cs"/>
          <w:rtl/>
        </w:rPr>
        <w:t>المتفر</w:t>
      </w:r>
      <w:r>
        <w:rPr>
          <w:rFonts w:hint="cs"/>
          <w:rtl/>
        </w:rPr>
        <w:t>ّ</w:t>
      </w:r>
      <w:r w:rsidRPr="00822CE9">
        <w:rPr>
          <w:rFonts w:hint="cs"/>
          <w:rtl/>
        </w:rPr>
        <w:t>قة في الكتب الحديثي</w:t>
      </w:r>
      <w:r>
        <w:rPr>
          <w:rFonts w:hint="cs"/>
          <w:rtl/>
        </w:rPr>
        <w:t>ّ</w:t>
      </w:r>
      <w:r w:rsidRPr="00822CE9">
        <w:rPr>
          <w:rFonts w:hint="cs"/>
          <w:rtl/>
        </w:rPr>
        <w:t>ة</w:t>
      </w:r>
      <w:r>
        <w:rPr>
          <w:rFonts w:hint="cs"/>
          <w:rtl/>
        </w:rPr>
        <w:t>،</w:t>
      </w:r>
      <w:r w:rsidRPr="00822CE9">
        <w:rPr>
          <w:rFonts w:hint="cs"/>
          <w:rtl/>
        </w:rPr>
        <w:t xml:space="preserve"> ومنها كتب الكليني والصدوق والطوسي </w:t>
      </w:r>
      <w:r w:rsidRPr="00822CE9">
        <w:rPr>
          <w:rFonts w:hint="cs"/>
          <w:rtl/>
        </w:rPr>
        <w:lastRenderedPageBreak/>
        <w:t>والنعماني وغيرهم من المتقد</w:t>
      </w:r>
      <w:r>
        <w:rPr>
          <w:rFonts w:hint="cs"/>
          <w:rtl/>
        </w:rPr>
        <w:t>ّ</w:t>
      </w:r>
      <w:r w:rsidRPr="00822CE9">
        <w:rPr>
          <w:rFonts w:hint="cs"/>
          <w:rtl/>
        </w:rPr>
        <w:t xml:space="preserve">مين المشتغلين بالحديث، </w:t>
      </w:r>
      <w:r>
        <w:rPr>
          <w:rFonts w:hint="cs"/>
          <w:rtl/>
        </w:rPr>
        <w:t xml:space="preserve">والتي كانت دوماً بمرأى منهم ومسمع، </w:t>
      </w:r>
      <w:r w:rsidRPr="00822CE9">
        <w:rPr>
          <w:rFonts w:hint="cs"/>
          <w:rtl/>
        </w:rPr>
        <w:t>فالإجماع مدركي</w:t>
      </w:r>
      <w:r>
        <w:rPr>
          <w:rFonts w:hint="cs"/>
          <w:rtl/>
        </w:rPr>
        <w:t>ٌّ،</w:t>
      </w:r>
      <w:r w:rsidRPr="00822CE9">
        <w:rPr>
          <w:rFonts w:hint="cs"/>
          <w:rtl/>
        </w:rPr>
        <w:t xml:space="preserve"> وكذا الشهرة</w:t>
      </w:r>
      <w:r>
        <w:rPr>
          <w:rFonts w:hint="cs"/>
          <w:rtl/>
        </w:rPr>
        <w:t>،</w:t>
      </w:r>
      <w:r w:rsidRPr="00822CE9">
        <w:rPr>
          <w:rFonts w:hint="cs"/>
          <w:rtl/>
        </w:rPr>
        <w:t xml:space="preserve"> فلا قيمة لهما هنا إطلاقاً.</w:t>
      </w:r>
    </w:p>
    <w:p w14:paraId="2BA960CB" w14:textId="1266A167" w:rsidR="000A4159" w:rsidRPr="00822CE9" w:rsidRDefault="003A7DE5" w:rsidP="008253E6">
      <w:pPr>
        <w:spacing w:line="214" w:lineRule="auto"/>
        <w:rPr>
          <w:rtl/>
        </w:rPr>
      </w:pPr>
      <w:r w:rsidRPr="00E65D6B">
        <w:rPr>
          <w:rFonts w:hint="cs"/>
          <w:b/>
          <w:bCs/>
          <w:rtl/>
        </w:rPr>
        <w:t>يُضاف إلى ذلك أنّه لا يصحّ الاستناد هنا إلى سيرة المتشرّعة</w:t>
      </w:r>
      <w:r>
        <w:rPr>
          <w:rFonts w:hint="cs"/>
          <w:b/>
          <w:bCs/>
          <w:rtl/>
        </w:rPr>
        <w:t>، كما قد يتصوّر بعضٌ</w:t>
      </w:r>
      <w:r w:rsidRPr="00E65D6B">
        <w:rPr>
          <w:rFonts w:hint="cs"/>
          <w:b/>
          <w:bCs/>
          <w:rtl/>
        </w:rPr>
        <w:t>؛</w:t>
      </w:r>
      <w:r w:rsidRPr="00822CE9">
        <w:rPr>
          <w:rFonts w:hint="cs"/>
          <w:rtl/>
        </w:rPr>
        <w:t xml:space="preserve"> لأن</w:t>
      </w:r>
      <w:r>
        <w:rPr>
          <w:rFonts w:hint="cs"/>
          <w:rtl/>
        </w:rPr>
        <w:t>ّ</w:t>
      </w:r>
      <w:r w:rsidRPr="00822CE9">
        <w:rPr>
          <w:rFonts w:hint="cs"/>
          <w:rtl/>
        </w:rPr>
        <w:t>ها دليل صامت لا يحرز آنذاك أن</w:t>
      </w:r>
      <w:r>
        <w:rPr>
          <w:rFonts w:hint="cs"/>
          <w:rtl/>
        </w:rPr>
        <w:t>ّ</w:t>
      </w:r>
      <w:r w:rsidRPr="00822CE9">
        <w:rPr>
          <w:rFonts w:hint="cs"/>
          <w:rtl/>
        </w:rPr>
        <w:t>هم لو عاصروا أزمنةً مختلفة كانوا سيتخذون الموقف نفسه، على أن</w:t>
      </w:r>
      <w:r>
        <w:rPr>
          <w:rFonts w:hint="cs"/>
          <w:rtl/>
        </w:rPr>
        <w:t>ّ</w:t>
      </w:r>
      <w:r w:rsidRPr="00822CE9">
        <w:rPr>
          <w:rFonts w:hint="cs"/>
          <w:rtl/>
        </w:rPr>
        <w:t xml:space="preserve"> هذه السيرة قد تكون نشأت ـ على تقدير وجودها ـ من ظروفهم الخاص</w:t>
      </w:r>
      <w:r>
        <w:rPr>
          <w:rFonts w:hint="cs"/>
          <w:rtl/>
        </w:rPr>
        <w:t>ّ</w:t>
      </w:r>
      <w:r w:rsidRPr="00822CE9">
        <w:rPr>
          <w:rFonts w:hint="cs"/>
          <w:rtl/>
        </w:rPr>
        <w:t>ة أو من الروايات الواردة هنا، فتكون مدركي</w:t>
      </w:r>
      <w:r>
        <w:rPr>
          <w:rFonts w:hint="cs"/>
          <w:rtl/>
        </w:rPr>
        <w:t>ّ</w:t>
      </w:r>
      <w:r w:rsidRPr="00822CE9">
        <w:rPr>
          <w:rFonts w:hint="cs"/>
          <w:rtl/>
        </w:rPr>
        <w:t>ةً أيضاً لا قيمة لها هنا. من هنا كان المهم</w:t>
      </w:r>
      <w:r>
        <w:rPr>
          <w:rFonts w:hint="cs"/>
          <w:rtl/>
        </w:rPr>
        <w:t>ّ</w:t>
      </w:r>
      <w:r w:rsidRPr="00822CE9">
        <w:rPr>
          <w:rFonts w:hint="cs"/>
          <w:rtl/>
        </w:rPr>
        <w:t xml:space="preserve"> هو </w:t>
      </w:r>
      <w:r>
        <w:rPr>
          <w:rFonts w:hint="cs"/>
          <w:rtl/>
        </w:rPr>
        <w:t xml:space="preserve">دليل </w:t>
      </w:r>
      <w:r w:rsidRPr="00822CE9">
        <w:rPr>
          <w:rFonts w:hint="cs"/>
          <w:rtl/>
        </w:rPr>
        <w:t xml:space="preserve">الروايات </w:t>
      </w:r>
      <w:r>
        <w:rPr>
          <w:rFonts w:hint="cs"/>
          <w:rtl/>
        </w:rPr>
        <w:t xml:space="preserve">المتقدّم </w:t>
      </w:r>
      <w:r w:rsidRPr="00822CE9">
        <w:rPr>
          <w:rFonts w:hint="cs"/>
          <w:rtl/>
        </w:rPr>
        <w:t>بعد عدم وجود دليل</w:t>
      </w:r>
      <w:r>
        <w:rPr>
          <w:rFonts w:hint="cs"/>
          <w:rtl/>
        </w:rPr>
        <w:t>،</w:t>
      </w:r>
      <w:r w:rsidRPr="00822CE9">
        <w:rPr>
          <w:rFonts w:hint="cs"/>
          <w:rtl/>
        </w:rPr>
        <w:t xml:space="preserve"> لا من كتاب</w:t>
      </w:r>
      <w:r>
        <w:rPr>
          <w:rFonts w:hint="cs"/>
          <w:rtl/>
        </w:rPr>
        <w:t>ٍ،</w:t>
      </w:r>
      <w:r w:rsidRPr="00822CE9">
        <w:rPr>
          <w:rFonts w:hint="cs"/>
          <w:rtl/>
        </w:rPr>
        <w:t xml:space="preserve"> ولا من إجماع</w:t>
      </w:r>
      <w:r>
        <w:rPr>
          <w:rFonts w:hint="cs"/>
          <w:rtl/>
        </w:rPr>
        <w:t>،</w:t>
      </w:r>
      <w:r w:rsidRPr="00822CE9">
        <w:rPr>
          <w:rFonts w:hint="cs"/>
          <w:rtl/>
        </w:rPr>
        <w:t xml:space="preserve"> ولا من شهرة</w:t>
      </w:r>
      <w:r>
        <w:rPr>
          <w:rFonts w:hint="cs"/>
          <w:rtl/>
        </w:rPr>
        <w:t>،</w:t>
      </w:r>
      <w:r w:rsidRPr="00822CE9">
        <w:rPr>
          <w:rFonts w:hint="cs"/>
          <w:rtl/>
        </w:rPr>
        <w:t xml:space="preserve"> ولا من سيرة عقلائي</w:t>
      </w:r>
      <w:r>
        <w:rPr>
          <w:rFonts w:hint="cs"/>
          <w:rtl/>
        </w:rPr>
        <w:t>ّ</w:t>
      </w:r>
      <w:r w:rsidRPr="00822CE9">
        <w:rPr>
          <w:rFonts w:hint="cs"/>
          <w:rtl/>
        </w:rPr>
        <w:t>ة أو متشرّعية</w:t>
      </w:r>
      <w:r>
        <w:rPr>
          <w:rFonts w:hint="cs"/>
          <w:rtl/>
        </w:rPr>
        <w:t>،</w:t>
      </w:r>
      <w:r w:rsidRPr="00822CE9">
        <w:rPr>
          <w:rFonts w:hint="cs"/>
          <w:rtl/>
        </w:rPr>
        <w:t xml:space="preserve"> ولا من عقل</w:t>
      </w:r>
      <w:r>
        <w:rPr>
          <w:rFonts w:hint="cs"/>
          <w:rtl/>
        </w:rPr>
        <w:t>،</w:t>
      </w:r>
      <w:r w:rsidRPr="00822CE9">
        <w:rPr>
          <w:rFonts w:hint="cs"/>
          <w:rtl/>
        </w:rPr>
        <w:t xml:space="preserve"> على التحريم كما هو واضح.</w:t>
      </w:r>
      <w:bookmarkStart w:id="257" w:name="_Toc142819114"/>
    </w:p>
    <w:p w14:paraId="3B606E9D" w14:textId="77777777" w:rsidR="00EC0931" w:rsidRDefault="00EC0931" w:rsidP="00A079D6">
      <w:pPr>
        <w:pStyle w:val="Space2"/>
        <w:spacing w:line="214" w:lineRule="auto"/>
        <w:rPr>
          <w:rFonts w:eastAsia="Calibri"/>
          <w:rtl/>
        </w:rPr>
      </w:pPr>
    </w:p>
    <w:p w14:paraId="78D7C5E2" w14:textId="77777777" w:rsidR="00164CF7" w:rsidRDefault="00164CF7" w:rsidP="00A079D6">
      <w:pPr>
        <w:pStyle w:val="Space2"/>
        <w:spacing w:line="214" w:lineRule="auto"/>
        <w:rPr>
          <w:rFonts w:eastAsia="Calibri"/>
          <w:rtl/>
        </w:rPr>
        <w:sectPr w:rsidR="00164CF7" w:rsidSect="002C4AA9">
          <w:headerReference w:type="default" r:id="rId11"/>
          <w:footnotePr>
            <w:numRestart w:val="eachPage"/>
          </w:footnotePr>
          <w:type w:val="oddPage"/>
          <w:pgSz w:w="11907" w:h="16840" w:code="9"/>
          <w:pgMar w:top="2837" w:right="2218" w:bottom="2664" w:left="2218" w:header="2275" w:footer="0" w:gutter="0"/>
          <w:cols w:space="720"/>
          <w:titlePg/>
          <w:docGrid w:linePitch="360"/>
        </w:sectPr>
      </w:pPr>
    </w:p>
    <w:p w14:paraId="512CE513" w14:textId="77777777" w:rsidR="00164CF7" w:rsidRDefault="00164CF7" w:rsidP="00164CF7">
      <w:pPr>
        <w:pStyle w:val="Space"/>
        <w:rPr>
          <w:sz w:val="70"/>
          <w:rtl/>
        </w:rPr>
      </w:pPr>
    </w:p>
    <w:p w14:paraId="7A83894C" w14:textId="77777777" w:rsidR="00164CF7" w:rsidRDefault="00164CF7" w:rsidP="00164CF7">
      <w:pPr>
        <w:pStyle w:val="Space"/>
        <w:rPr>
          <w:sz w:val="70"/>
          <w:rtl/>
        </w:rPr>
      </w:pPr>
    </w:p>
    <w:p w14:paraId="4003A077" w14:textId="05953CD7" w:rsidR="00164CF7" w:rsidRPr="0051407F" w:rsidRDefault="00164CF7" w:rsidP="0051407F">
      <w:pPr>
        <w:pStyle w:val="Heading1"/>
        <w:spacing w:line="216" w:lineRule="auto"/>
        <w:rPr>
          <w:rtl/>
        </w:rPr>
      </w:pPr>
      <w:bookmarkStart w:id="258" w:name="_Toc143804400"/>
      <w:bookmarkStart w:id="259" w:name="_Toc238123333"/>
      <w:r w:rsidRPr="00B909F0">
        <w:rPr>
          <w:sz w:val="70"/>
          <w:rtl/>
        </w:rPr>
        <w:t xml:space="preserve">فهرس </w:t>
      </w:r>
      <w:r w:rsidRPr="0051407F">
        <w:rPr>
          <w:rtl/>
        </w:rPr>
        <w:t>المحتويات</w:t>
      </w:r>
      <w:bookmarkEnd w:id="258"/>
      <w:bookmarkEnd w:id="259"/>
    </w:p>
    <w:p w14:paraId="1BF30991" w14:textId="77777777" w:rsidR="00164CF7" w:rsidRPr="0051407F" w:rsidRDefault="00164CF7" w:rsidP="0051407F">
      <w:pPr>
        <w:pStyle w:val="Space2"/>
        <w:spacing w:line="216" w:lineRule="auto"/>
        <w:rPr>
          <w:rFonts w:ascii="Mosawi" w:eastAsia="Calibri" w:hAnsi="Mosawi"/>
          <w:rtl/>
        </w:rPr>
        <w:sectPr w:rsidR="00164CF7" w:rsidRPr="0051407F" w:rsidSect="002C4AA9">
          <w:footnotePr>
            <w:numRestart w:val="eachPage"/>
          </w:footnotePr>
          <w:type w:val="oddPage"/>
          <w:pgSz w:w="11907" w:h="16840" w:code="9"/>
          <w:pgMar w:top="2837" w:right="2218" w:bottom="2664" w:left="2218" w:header="2275" w:footer="0" w:gutter="0"/>
          <w:cols w:space="720"/>
          <w:titlePg/>
          <w:docGrid w:linePitch="360"/>
        </w:sectPr>
      </w:pPr>
    </w:p>
    <w:bookmarkEnd w:id="257"/>
    <w:p w14:paraId="39CC0955" w14:textId="4FA2B3FB" w:rsidR="008253E6" w:rsidRPr="008253E6" w:rsidRDefault="00164CF7" w:rsidP="008253E6">
      <w:pPr>
        <w:pStyle w:val="TOC2"/>
        <w:tabs>
          <w:tab w:val="right" w:leader="dot" w:pos="7461"/>
        </w:tabs>
        <w:bidi/>
        <w:rPr>
          <w:rFonts w:ascii="Mosawi" w:eastAsiaTheme="minorEastAsia" w:hAnsi="Mosawi" w:cs="Mosawi"/>
          <w:b w:val="0"/>
          <w:bCs w:val="0"/>
          <w:noProof/>
          <w:kern w:val="2"/>
          <w:sz w:val="24"/>
          <w14:ligatures w14:val="standardContextual"/>
        </w:rPr>
      </w:pPr>
      <w:r w:rsidRPr="008253E6">
        <w:rPr>
          <w:rFonts w:ascii="Mosawi" w:hAnsi="Mosawi" w:cs="Mosawi"/>
          <w:sz w:val="24"/>
          <w:rtl/>
        </w:rPr>
        <w:lastRenderedPageBreak/>
        <w:fldChar w:fldCharType="begin"/>
      </w:r>
      <w:r w:rsidRPr="008253E6">
        <w:rPr>
          <w:rFonts w:ascii="Mosawi" w:hAnsi="Mosawi" w:cs="Mosawi"/>
          <w:sz w:val="24"/>
          <w:rtl/>
        </w:rPr>
        <w:instrText xml:space="preserve"> </w:instrText>
      </w:r>
      <w:r w:rsidRPr="008253E6">
        <w:rPr>
          <w:rFonts w:ascii="Mosawi" w:hAnsi="Mosawi" w:cs="Mosawi"/>
          <w:sz w:val="24"/>
        </w:rPr>
        <w:instrText>TOC</w:instrText>
      </w:r>
      <w:r w:rsidRPr="008253E6">
        <w:rPr>
          <w:rFonts w:ascii="Mosawi" w:hAnsi="Mosawi" w:cs="Mosawi"/>
          <w:sz w:val="24"/>
          <w:rtl/>
        </w:rPr>
        <w:instrText xml:space="preserve"> \</w:instrText>
      </w:r>
      <w:r w:rsidRPr="008253E6">
        <w:rPr>
          <w:rFonts w:ascii="Mosawi" w:hAnsi="Mosawi" w:cs="Mosawi"/>
          <w:sz w:val="24"/>
        </w:rPr>
        <w:instrText>o "</w:instrText>
      </w:r>
      <w:r w:rsidRPr="008253E6">
        <w:rPr>
          <w:rFonts w:ascii="Mosawi" w:hAnsi="Mosawi" w:cs="Mosawi"/>
          <w:sz w:val="24"/>
          <w:rtl/>
        </w:rPr>
        <w:instrText>1-7</w:instrText>
      </w:r>
      <w:r w:rsidRPr="008253E6">
        <w:rPr>
          <w:rFonts w:ascii="Mosawi" w:hAnsi="Mosawi" w:cs="Mosawi"/>
          <w:sz w:val="24"/>
        </w:rPr>
        <w:instrText>" \h \z \u</w:instrText>
      </w:r>
      <w:r w:rsidRPr="008253E6">
        <w:rPr>
          <w:rFonts w:ascii="Mosawi" w:hAnsi="Mosawi" w:cs="Mosawi"/>
          <w:sz w:val="24"/>
          <w:rtl/>
        </w:rPr>
        <w:instrText xml:space="preserve"> </w:instrText>
      </w:r>
      <w:r w:rsidRPr="008253E6">
        <w:rPr>
          <w:rFonts w:ascii="Mosawi" w:hAnsi="Mosawi" w:cs="Mosawi"/>
          <w:sz w:val="24"/>
          <w:rtl/>
        </w:rPr>
        <w:fldChar w:fldCharType="separate"/>
      </w:r>
      <w:hyperlink w:anchor="_Toc238123217" w:history="1">
        <w:r w:rsidR="008253E6" w:rsidRPr="008253E6">
          <w:rPr>
            <w:rStyle w:val="Hyperlink"/>
            <w:rFonts w:ascii="Mosawi" w:hAnsi="Mosawi" w:cs="Mosawi"/>
            <w:noProof/>
            <w:sz w:val="24"/>
            <w:rtl/>
          </w:rPr>
          <w:t>تمهيد</w:t>
        </w:r>
        <w:r w:rsidR="008253E6" w:rsidRPr="008253E6">
          <w:rPr>
            <w:rFonts w:ascii="Mosawi" w:hAnsi="Mosawi" w:cs="Mosawi"/>
            <w:noProof/>
            <w:webHidden/>
            <w:sz w:val="24"/>
          </w:rPr>
          <w:tab/>
        </w:r>
        <w:r w:rsidR="008253E6" w:rsidRPr="008253E6">
          <w:rPr>
            <w:rFonts w:ascii="Mosawi" w:hAnsi="Mosawi" w:cs="Mosawi"/>
            <w:noProof/>
            <w:webHidden/>
            <w:sz w:val="24"/>
          </w:rPr>
          <w:fldChar w:fldCharType="begin"/>
        </w:r>
        <w:r w:rsidR="008253E6" w:rsidRPr="008253E6">
          <w:rPr>
            <w:rFonts w:ascii="Mosawi" w:hAnsi="Mosawi" w:cs="Mosawi"/>
            <w:noProof/>
            <w:webHidden/>
            <w:sz w:val="24"/>
          </w:rPr>
          <w:instrText xml:space="preserve"> PAGEREF _Toc238123217 \h </w:instrText>
        </w:r>
        <w:r w:rsidR="008253E6" w:rsidRPr="008253E6">
          <w:rPr>
            <w:rFonts w:ascii="Mosawi" w:hAnsi="Mosawi" w:cs="Mosawi"/>
            <w:noProof/>
            <w:webHidden/>
            <w:sz w:val="24"/>
          </w:rPr>
        </w:r>
        <w:r w:rsidR="008253E6" w:rsidRPr="008253E6">
          <w:rPr>
            <w:rFonts w:ascii="Mosawi" w:hAnsi="Mosawi" w:cs="Mosawi"/>
            <w:noProof/>
            <w:webHidden/>
            <w:sz w:val="24"/>
          </w:rPr>
          <w:fldChar w:fldCharType="separate"/>
        </w:r>
        <w:r w:rsidR="008253E6" w:rsidRPr="008253E6">
          <w:rPr>
            <w:rFonts w:ascii="Mosawi" w:hAnsi="Mosawi" w:cs="Mosawi"/>
            <w:noProof/>
            <w:webHidden/>
            <w:sz w:val="24"/>
          </w:rPr>
          <w:t>1</w:t>
        </w:r>
        <w:r w:rsidR="008253E6" w:rsidRPr="008253E6">
          <w:rPr>
            <w:rFonts w:ascii="Mosawi" w:hAnsi="Mosawi" w:cs="Mosawi"/>
            <w:noProof/>
            <w:webHidden/>
            <w:sz w:val="24"/>
          </w:rPr>
          <w:fldChar w:fldCharType="end"/>
        </w:r>
      </w:hyperlink>
    </w:p>
    <w:p w14:paraId="638EC65D" w14:textId="42CD0A0B"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18" w:history="1">
        <w:r w:rsidRPr="008253E6">
          <w:rPr>
            <w:rStyle w:val="Hyperlink"/>
            <w:rFonts w:ascii="Mosawi" w:hAnsi="Mosawi" w:cs="Mosawi"/>
            <w:noProof/>
            <w:sz w:val="24"/>
            <w:rtl/>
          </w:rPr>
          <w:t>ضرورة التمييز بين مفهومَي: إقامة الدولة الدينيّة وجهاد الطغاة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_Toc238123218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2</w:t>
        </w:r>
        <w:r w:rsidRPr="008253E6">
          <w:rPr>
            <w:rFonts w:ascii="Mosawi" w:hAnsi="Mosawi" w:cs="Mosawi"/>
            <w:noProof/>
            <w:webHidden/>
            <w:sz w:val="24"/>
          </w:rPr>
          <w:fldChar w:fldCharType="end"/>
        </w:r>
      </w:hyperlink>
    </w:p>
    <w:p w14:paraId="775CB85F" w14:textId="60C393BD"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19" w:history="1">
        <w:r w:rsidRPr="008253E6">
          <w:rPr>
            <w:rStyle w:val="Hyperlink"/>
            <w:rFonts w:ascii="Mosawi" w:hAnsi="Mosawi" w:cs="Mosawi"/>
            <w:noProof/>
            <w:sz w:val="24"/>
            <w:rtl/>
          </w:rPr>
          <w:t>استعراض تاريخي موجز للموقف من الثورة المسلّحة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_Toc238123219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4</w:t>
        </w:r>
        <w:r w:rsidRPr="008253E6">
          <w:rPr>
            <w:rFonts w:ascii="Mosawi" w:hAnsi="Mosawi" w:cs="Mosawi"/>
            <w:noProof/>
            <w:webHidden/>
            <w:sz w:val="24"/>
          </w:rPr>
          <w:fldChar w:fldCharType="end"/>
        </w:r>
      </w:hyperlink>
    </w:p>
    <w:p w14:paraId="3B1A0581" w14:textId="0733E662" w:rsidR="008253E6" w:rsidRPr="008253E6" w:rsidRDefault="008253E6" w:rsidP="008253E6">
      <w:pPr>
        <w:pStyle w:val="TOC2"/>
        <w:tabs>
          <w:tab w:val="right" w:leader="dot" w:pos="7461"/>
        </w:tabs>
        <w:bidi/>
        <w:jc w:val="center"/>
        <w:rPr>
          <w:rFonts w:ascii="Mosawi" w:eastAsiaTheme="minorEastAsia" w:hAnsi="Mosawi" w:cs="Mosawi"/>
          <w:b w:val="0"/>
          <w:bCs w:val="0"/>
          <w:noProof/>
          <w:kern w:val="2"/>
          <w:sz w:val="24"/>
          <w14:ligatures w14:val="standardContextual"/>
        </w:rPr>
      </w:pPr>
      <w:hyperlink w:anchor="_Toc238123220" w:history="1">
        <w:r w:rsidRPr="008253E6">
          <w:rPr>
            <w:rStyle w:val="Hyperlink"/>
            <w:rFonts w:ascii="Mosawi" w:hAnsi="Mosawi" w:cs="Mosawi"/>
            <w:noProof/>
            <w:sz w:val="24"/>
            <w:rtl/>
          </w:rPr>
          <w:t>النظريّة الأولى</w:t>
        </w:r>
      </w:hyperlink>
    </w:p>
    <w:p w14:paraId="7051FC67" w14:textId="6D19EFE0" w:rsidR="008253E6" w:rsidRPr="008253E6" w:rsidRDefault="008253E6" w:rsidP="008253E6">
      <w:pPr>
        <w:pStyle w:val="TOC2"/>
        <w:tabs>
          <w:tab w:val="right" w:leader="dot" w:pos="7461"/>
        </w:tabs>
        <w:bidi/>
        <w:jc w:val="center"/>
        <w:rPr>
          <w:rFonts w:ascii="Mosawi" w:eastAsiaTheme="minorEastAsia" w:hAnsi="Mosawi" w:cs="Mosawi"/>
          <w:b w:val="0"/>
          <w:bCs w:val="0"/>
          <w:noProof/>
          <w:kern w:val="2"/>
          <w:sz w:val="24"/>
          <w14:ligatures w14:val="standardContextual"/>
        </w:rPr>
      </w:pPr>
      <w:hyperlink w:anchor="_Toc238123221" w:history="1">
        <w:r w:rsidRPr="008253E6">
          <w:rPr>
            <w:rStyle w:val="Hyperlink"/>
            <w:rFonts w:ascii="Mosawi" w:hAnsi="Mosawi" w:cs="Mosawi"/>
            <w:noProof/>
            <w:sz w:val="24"/>
            <w:rtl/>
          </w:rPr>
          <w:t>نظريّة شرعيّة الثورة المسلّحة ضدّ الأنظمة</w:t>
        </w:r>
      </w:hyperlink>
    </w:p>
    <w:p w14:paraId="144CF3C1" w14:textId="75F7306C"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22" w:history="1">
        <w:r w:rsidRPr="008253E6">
          <w:rPr>
            <w:rStyle w:val="Hyperlink"/>
            <w:rFonts w:ascii="Mosawi" w:hAnsi="Mosawi" w:cs="Mosawi"/>
            <w:noProof/>
            <w:sz w:val="24"/>
            <w:rtl/>
          </w:rPr>
          <w:t>1 ـ مبدأ الكفر بالطاغوت ودوره في إنتاج الثورات غير السلميّة، قراءة نقديّة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_Toc238123222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9</w:t>
        </w:r>
        <w:r w:rsidRPr="008253E6">
          <w:rPr>
            <w:rFonts w:ascii="Mosawi" w:hAnsi="Mosawi" w:cs="Mosawi"/>
            <w:noProof/>
            <w:webHidden/>
            <w:sz w:val="24"/>
          </w:rPr>
          <w:fldChar w:fldCharType="end"/>
        </w:r>
      </w:hyperlink>
    </w:p>
    <w:p w14:paraId="67300229" w14:textId="358730D6"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23" w:history="1">
        <w:r w:rsidRPr="008253E6">
          <w:rPr>
            <w:rStyle w:val="Hyperlink"/>
            <w:rFonts w:ascii="Mosawi" w:hAnsi="Mosawi" w:cs="Mosawi"/>
            <w:noProof/>
            <w:sz w:val="24"/>
            <w:rtl/>
          </w:rPr>
          <w:t>2 ـ مبدأ النهي عن الركون للظالمين وإنتاج فقه الثورة، تعليق ونقد</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_Toc238123223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10</w:t>
        </w:r>
        <w:r w:rsidRPr="008253E6">
          <w:rPr>
            <w:rFonts w:ascii="Mosawi" w:hAnsi="Mosawi" w:cs="Mosawi"/>
            <w:noProof/>
            <w:webHidden/>
            <w:sz w:val="24"/>
          </w:rPr>
          <w:fldChar w:fldCharType="end"/>
        </w:r>
      </w:hyperlink>
    </w:p>
    <w:p w14:paraId="37CFD0F0" w14:textId="46CC4443"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24" w:history="1">
        <w:r w:rsidRPr="008253E6">
          <w:rPr>
            <w:rStyle w:val="Hyperlink"/>
            <w:rFonts w:ascii="Mosawi" w:hAnsi="Mosawi" w:cs="Mosawi"/>
            <w:noProof/>
            <w:sz w:val="24"/>
            <w:rtl/>
          </w:rPr>
          <w:t>3 ـ مرجعيّة الأمر بالمعروف والنهي عن المنكر في تأصيل التفكير الثوري، وقفة تأمّل</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_Toc238123224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11</w:t>
        </w:r>
        <w:r w:rsidRPr="008253E6">
          <w:rPr>
            <w:rFonts w:ascii="Mosawi" w:hAnsi="Mosawi" w:cs="Mosawi"/>
            <w:noProof/>
            <w:webHidden/>
            <w:sz w:val="24"/>
          </w:rPr>
          <w:fldChar w:fldCharType="end"/>
        </w:r>
      </w:hyperlink>
    </w:p>
    <w:p w14:paraId="3A8F4C32" w14:textId="7B307317"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25" w:history="1">
        <w:r w:rsidRPr="008253E6">
          <w:rPr>
            <w:rStyle w:val="Hyperlink"/>
            <w:rFonts w:ascii="Mosawi" w:hAnsi="Mosawi" w:cs="Mosawi"/>
            <w:noProof/>
            <w:sz w:val="24"/>
            <w:rtl/>
          </w:rPr>
          <w:t>4 ـ تنزيل فقه جهاد البغاة على جهاد الطغاة، ملاحظات تقويميّة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_Toc238123225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15</w:t>
        </w:r>
        <w:r w:rsidRPr="008253E6">
          <w:rPr>
            <w:rFonts w:ascii="Mosawi" w:hAnsi="Mosawi" w:cs="Mosawi"/>
            <w:noProof/>
            <w:webHidden/>
            <w:sz w:val="24"/>
          </w:rPr>
          <w:fldChar w:fldCharType="end"/>
        </w:r>
      </w:hyperlink>
    </w:p>
    <w:p w14:paraId="266AFF2B" w14:textId="2DD33F49"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26" w:history="1">
        <w:r w:rsidRPr="008253E6">
          <w:rPr>
            <w:rStyle w:val="Hyperlink"/>
            <w:rFonts w:ascii="Mosawi" w:hAnsi="Mosawi" w:cs="Mosawi"/>
            <w:noProof/>
            <w:sz w:val="24"/>
            <w:rtl/>
          </w:rPr>
          <w:t>5 ـ مرجعيّة لزوم الاهتمام بأمور المسلمين وإعانة المظلومين، تأمّلات ومراجعات</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_Toc238123226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19</w:t>
        </w:r>
        <w:r w:rsidRPr="008253E6">
          <w:rPr>
            <w:rFonts w:ascii="Mosawi" w:hAnsi="Mosawi" w:cs="Mosawi"/>
            <w:noProof/>
            <w:webHidden/>
            <w:sz w:val="24"/>
          </w:rPr>
          <w:fldChar w:fldCharType="end"/>
        </w:r>
      </w:hyperlink>
    </w:p>
    <w:p w14:paraId="71CBE8C3" w14:textId="67DEC4D9"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27" w:history="1">
        <w:r w:rsidRPr="008253E6">
          <w:rPr>
            <w:rStyle w:val="Hyperlink"/>
            <w:rFonts w:ascii="Mosawi" w:hAnsi="Mosawi" w:cs="Mosawi"/>
            <w:noProof/>
            <w:sz w:val="24"/>
            <w:rtl/>
          </w:rPr>
          <w:t>6 ـ مرجعيّة التحليل العقلاني لمنظومة التشريع الإسلامي، مراجعة نقديّة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_Toc238123227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20</w:t>
        </w:r>
        <w:r w:rsidRPr="008253E6">
          <w:rPr>
            <w:rFonts w:ascii="Mosawi" w:hAnsi="Mosawi" w:cs="Mosawi"/>
            <w:noProof/>
            <w:webHidden/>
            <w:sz w:val="24"/>
          </w:rPr>
          <w:fldChar w:fldCharType="end"/>
        </w:r>
      </w:hyperlink>
    </w:p>
    <w:p w14:paraId="36AD805E" w14:textId="79FD61F3"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28" w:history="1">
        <w:r w:rsidRPr="008253E6">
          <w:rPr>
            <w:rStyle w:val="Hyperlink"/>
            <w:rFonts w:ascii="Mosawi" w:hAnsi="Mosawi" w:cs="Mosawi"/>
            <w:noProof/>
            <w:sz w:val="24"/>
            <w:rtl/>
          </w:rPr>
          <w:t>7 ـ مبدأ تحريم إعانة الظالم وحبّ بقائه في تشييد المنطق الثوري، نقدٌ وتأمّل</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_Toc238123228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21</w:t>
        </w:r>
        <w:r w:rsidRPr="008253E6">
          <w:rPr>
            <w:rFonts w:ascii="Mosawi" w:hAnsi="Mosawi" w:cs="Mosawi"/>
            <w:noProof/>
            <w:webHidden/>
            <w:sz w:val="24"/>
          </w:rPr>
          <w:fldChar w:fldCharType="end"/>
        </w:r>
      </w:hyperlink>
    </w:p>
    <w:p w14:paraId="392275FC" w14:textId="0ABE7B9A"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29" w:history="1">
        <w:r w:rsidRPr="008253E6">
          <w:rPr>
            <w:rStyle w:val="Hyperlink"/>
            <w:rFonts w:ascii="Mosawi" w:hAnsi="Mosawi" w:cs="Mosawi"/>
            <w:noProof/>
            <w:sz w:val="24"/>
            <w:rtl/>
          </w:rPr>
          <w:t>8 ـ مرجعيّة نصوص وجوب مجاهدة أهل البدع، نقد المستندات</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_Toc238123229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25</w:t>
        </w:r>
        <w:r w:rsidRPr="008253E6">
          <w:rPr>
            <w:rFonts w:ascii="Mosawi" w:hAnsi="Mosawi" w:cs="Mosawi"/>
            <w:noProof/>
            <w:webHidden/>
            <w:sz w:val="24"/>
          </w:rPr>
          <w:fldChar w:fldCharType="end"/>
        </w:r>
      </w:hyperlink>
    </w:p>
    <w:p w14:paraId="7A15043C" w14:textId="1CCFF5BA"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30" w:history="1">
        <w:r w:rsidRPr="008253E6">
          <w:rPr>
            <w:rStyle w:val="Hyperlink"/>
            <w:rFonts w:ascii="Mosawi" w:hAnsi="Mosawi" w:cs="Mosawi"/>
            <w:noProof/>
            <w:sz w:val="24"/>
            <w:rtl/>
          </w:rPr>
          <w:t>9 ـ فلسفة وجود الدولة الإسلاميّة بمثابة تبرير للثورة غير السلميّة، وقفات نقديّة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_Toc238123230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27</w:t>
        </w:r>
        <w:r w:rsidRPr="008253E6">
          <w:rPr>
            <w:rFonts w:ascii="Mosawi" w:hAnsi="Mosawi" w:cs="Mosawi"/>
            <w:noProof/>
            <w:webHidden/>
            <w:sz w:val="24"/>
          </w:rPr>
          <w:fldChar w:fldCharType="end"/>
        </w:r>
      </w:hyperlink>
    </w:p>
    <w:p w14:paraId="13505AC6" w14:textId="72DA2A1A"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31" w:history="1">
        <w:r w:rsidRPr="008253E6">
          <w:rPr>
            <w:rStyle w:val="Hyperlink"/>
            <w:rFonts w:ascii="Mosawi" w:hAnsi="Mosawi" w:cs="Mosawi"/>
            <w:noProof/>
            <w:sz w:val="24"/>
            <w:rtl/>
          </w:rPr>
          <w:t>10 ـ مرجعيّة حدّ المحارب في مواجهة السلطة غير الشرعيّة، نقد وتفنيد</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_Toc238123231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29</w:t>
        </w:r>
        <w:r w:rsidRPr="008253E6">
          <w:rPr>
            <w:rFonts w:ascii="Mosawi" w:hAnsi="Mosawi" w:cs="Mosawi"/>
            <w:noProof/>
            <w:webHidden/>
            <w:sz w:val="24"/>
          </w:rPr>
          <w:fldChar w:fldCharType="end"/>
        </w:r>
      </w:hyperlink>
    </w:p>
    <w:p w14:paraId="0CB723D7" w14:textId="0740554C"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32" w:history="1">
        <w:r w:rsidRPr="008253E6">
          <w:rPr>
            <w:rStyle w:val="Hyperlink"/>
            <w:rFonts w:ascii="Mosawi" w:hAnsi="Mosawi" w:cs="Mosawi"/>
            <w:noProof/>
            <w:sz w:val="24"/>
            <w:rtl/>
          </w:rPr>
          <w:t>11 ـ ثورة الإمام زيد بن علي بمثابة منطلق محكم للتبرير، دراسة وتحليل</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_Toc238123232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31</w:t>
        </w:r>
        <w:r w:rsidRPr="008253E6">
          <w:rPr>
            <w:rFonts w:ascii="Mosawi" w:hAnsi="Mosawi" w:cs="Mosawi"/>
            <w:noProof/>
            <w:webHidden/>
            <w:sz w:val="24"/>
          </w:rPr>
          <w:fldChar w:fldCharType="end"/>
        </w:r>
      </w:hyperlink>
    </w:p>
    <w:p w14:paraId="68E6B4A3" w14:textId="1FE8E7E7"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33" w:history="1">
        <w:r w:rsidRPr="008253E6">
          <w:rPr>
            <w:rStyle w:val="Hyperlink"/>
            <w:rFonts w:ascii="Mosawi" w:hAnsi="Mosawi" w:cs="Mosawi"/>
            <w:noProof/>
            <w:sz w:val="24"/>
            <w:rtl/>
          </w:rPr>
          <w:t>إشكاليّات وعوائق أمام توظيف قيام زيد في التبرير الفقهي الثوري، رصد وتأمّل</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_Toc238123233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31</w:t>
        </w:r>
        <w:r w:rsidRPr="008253E6">
          <w:rPr>
            <w:rFonts w:ascii="Mosawi" w:hAnsi="Mosawi" w:cs="Mosawi"/>
            <w:noProof/>
            <w:webHidden/>
            <w:sz w:val="24"/>
          </w:rPr>
          <w:fldChar w:fldCharType="end"/>
        </w:r>
      </w:hyperlink>
    </w:p>
    <w:p w14:paraId="75ACC0A1" w14:textId="5B811770"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234" w:history="1">
        <w:r w:rsidRPr="008253E6">
          <w:rPr>
            <w:rStyle w:val="Hyperlink"/>
            <w:rFonts w:ascii="Mosawi" w:hAnsi="Mosawi" w:cs="Mosawi"/>
            <w:noProof/>
            <w:sz w:val="24"/>
            <w:rtl/>
          </w:rPr>
          <w:t>11 ـ 1 ـ معضلة تعارض المعطيات في الموقف من ثورة زيد</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_Toc238123234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31</w:t>
        </w:r>
        <w:r w:rsidRPr="008253E6">
          <w:rPr>
            <w:rFonts w:ascii="Mosawi" w:hAnsi="Mosawi" w:cs="Mosawi"/>
            <w:noProof/>
            <w:webHidden/>
            <w:sz w:val="24"/>
          </w:rPr>
          <w:fldChar w:fldCharType="end"/>
        </w:r>
      </w:hyperlink>
    </w:p>
    <w:p w14:paraId="7F66E482" w14:textId="2D96EF91"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235" w:history="1">
        <w:r w:rsidRPr="008253E6">
          <w:rPr>
            <w:rStyle w:val="Hyperlink"/>
            <w:rFonts w:ascii="Mosawi" w:hAnsi="Mosawi" w:cs="Mosawi"/>
            <w:noProof/>
            <w:sz w:val="24"/>
            <w:rtl/>
          </w:rPr>
          <w:t>المجموعة الأولى: النصوص المؤيّدة لثورة زيد الشهيد</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_Toc238123235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32</w:t>
        </w:r>
        <w:r w:rsidRPr="008253E6">
          <w:rPr>
            <w:rFonts w:ascii="Mosawi" w:hAnsi="Mosawi" w:cs="Mosawi"/>
            <w:noProof/>
            <w:webHidden/>
            <w:sz w:val="24"/>
          </w:rPr>
          <w:fldChar w:fldCharType="end"/>
        </w:r>
      </w:hyperlink>
    </w:p>
    <w:p w14:paraId="29595187" w14:textId="1F952A0F"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236" w:history="1">
        <w:r w:rsidRPr="008253E6">
          <w:rPr>
            <w:rStyle w:val="Hyperlink"/>
            <w:rFonts w:ascii="Mosawi" w:hAnsi="Mosawi" w:cs="Mosawi"/>
            <w:noProof/>
            <w:sz w:val="24"/>
            <w:rtl/>
          </w:rPr>
          <w:t>المجموعة الثانية: النصوص الرافضة لثورة زيد بن عليّ</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_Toc238123236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43</w:t>
        </w:r>
        <w:r w:rsidRPr="008253E6">
          <w:rPr>
            <w:rFonts w:ascii="Mosawi" w:hAnsi="Mosawi" w:cs="Mosawi"/>
            <w:noProof/>
            <w:webHidden/>
            <w:sz w:val="24"/>
          </w:rPr>
          <w:fldChar w:fldCharType="end"/>
        </w:r>
      </w:hyperlink>
    </w:p>
    <w:p w14:paraId="62997D16" w14:textId="6B7BE4D1"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237" w:history="1">
        <w:r w:rsidRPr="008253E6">
          <w:rPr>
            <w:rStyle w:val="Hyperlink"/>
            <w:rFonts w:ascii="Mosawi" w:hAnsi="Mosawi" w:cs="Mosawi"/>
            <w:noProof/>
            <w:sz w:val="24"/>
            <w:rtl/>
          </w:rPr>
          <w:t>وقفة مع حوار الإمامين: زيد والباقر</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_Toc238123237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43</w:t>
        </w:r>
        <w:r w:rsidRPr="008253E6">
          <w:rPr>
            <w:rFonts w:ascii="Mosawi" w:hAnsi="Mosawi" w:cs="Mosawi"/>
            <w:noProof/>
            <w:webHidden/>
            <w:sz w:val="24"/>
          </w:rPr>
          <w:fldChar w:fldCharType="end"/>
        </w:r>
      </w:hyperlink>
    </w:p>
    <w:p w14:paraId="3560950D" w14:textId="03902D28"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238" w:history="1">
        <w:r w:rsidRPr="008253E6">
          <w:rPr>
            <w:rStyle w:val="Hyperlink"/>
            <w:rFonts w:ascii="Mosawi" w:hAnsi="Mosawi" w:cs="Mosawi"/>
            <w:noProof/>
            <w:sz w:val="24"/>
            <w:rtl/>
          </w:rPr>
          <w:t>مع حواريّة زيد ومؤمن الطاق، القيمة والدلالات</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_Toc238123238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47</w:t>
        </w:r>
        <w:r w:rsidRPr="008253E6">
          <w:rPr>
            <w:rFonts w:ascii="Mosawi" w:hAnsi="Mosawi" w:cs="Mosawi"/>
            <w:noProof/>
            <w:webHidden/>
            <w:sz w:val="24"/>
          </w:rPr>
          <w:fldChar w:fldCharType="end"/>
        </w:r>
      </w:hyperlink>
    </w:p>
    <w:p w14:paraId="5542E851" w14:textId="075CC127"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239" w:history="1">
        <w:r w:rsidRPr="008253E6">
          <w:rPr>
            <w:rStyle w:val="Hyperlink"/>
            <w:rFonts w:ascii="Mosawi" w:hAnsi="Mosawi" w:cs="Mosawi"/>
            <w:noProof/>
            <w:sz w:val="24"/>
            <w:rtl/>
          </w:rPr>
          <w:t>المقارنة الخاطفة لنتائج المجموعتين</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_Toc238123239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56</w:t>
        </w:r>
        <w:r w:rsidRPr="008253E6">
          <w:rPr>
            <w:rFonts w:ascii="Mosawi" w:hAnsi="Mosawi" w:cs="Mosawi"/>
            <w:noProof/>
            <w:webHidden/>
            <w:sz w:val="24"/>
          </w:rPr>
          <w:fldChar w:fldCharType="end"/>
        </w:r>
      </w:hyperlink>
    </w:p>
    <w:p w14:paraId="02D7480B" w14:textId="736CECC2"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240" w:history="1">
        <w:r w:rsidRPr="008253E6">
          <w:rPr>
            <w:rStyle w:val="Hyperlink"/>
            <w:rFonts w:ascii="Mosawi" w:hAnsi="Mosawi" w:cs="Mosawi"/>
            <w:noProof/>
            <w:sz w:val="24"/>
            <w:rtl/>
          </w:rPr>
          <w:t>11 ـ 2 ـ محاولات في تفسير الموقف وفكّ الاشتباك بين النصوص</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_Toc238123240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56</w:t>
        </w:r>
        <w:r w:rsidRPr="008253E6">
          <w:rPr>
            <w:rFonts w:ascii="Mosawi" w:hAnsi="Mosawi" w:cs="Mosawi"/>
            <w:noProof/>
            <w:webHidden/>
            <w:sz w:val="24"/>
          </w:rPr>
          <w:fldChar w:fldCharType="end"/>
        </w:r>
      </w:hyperlink>
    </w:p>
    <w:p w14:paraId="17F36E98" w14:textId="52CF09B8"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241" w:history="1">
        <w:r w:rsidRPr="008253E6">
          <w:rPr>
            <w:rStyle w:val="Hyperlink"/>
            <w:rFonts w:ascii="Mosawi" w:hAnsi="Mosawi" w:cs="Mosawi"/>
            <w:noProof/>
            <w:sz w:val="24"/>
            <w:rtl/>
          </w:rPr>
          <w:t>11 ـ 2 ـ 1 ـ الكثرة الروائيّة العدديّة بوصفها مرجّحاً للمجموعة المؤيّدة، نقد وتعليق</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_Toc238123241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57</w:t>
        </w:r>
        <w:r w:rsidRPr="008253E6">
          <w:rPr>
            <w:rFonts w:ascii="Mosawi" w:hAnsi="Mosawi" w:cs="Mosawi"/>
            <w:noProof/>
            <w:webHidden/>
            <w:sz w:val="24"/>
          </w:rPr>
          <w:fldChar w:fldCharType="end"/>
        </w:r>
      </w:hyperlink>
    </w:p>
    <w:p w14:paraId="70E67138" w14:textId="0ED1EF96"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242" w:history="1">
        <w:r w:rsidRPr="008253E6">
          <w:rPr>
            <w:rStyle w:val="Hyperlink"/>
            <w:rFonts w:ascii="Mosawi" w:hAnsi="Mosawi" w:cs="Mosawi"/>
            <w:noProof/>
            <w:sz w:val="24"/>
            <w:rtl/>
          </w:rPr>
          <w:t>11 ـ 2 ـ 2 ـ الترجيح بفرضيّة اختلاق الأمويّين والعباسيّين نصوص الذمّ، إشكال وترقٍّ</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_Toc238123242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57</w:t>
        </w:r>
        <w:r w:rsidRPr="008253E6">
          <w:rPr>
            <w:rFonts w:ascii="Mosawi" w:hAnsi="Mosawi" w:cs="Mosawi"/>
            <w:noProof/>
            <w:webHidden/>
            <w:sz w:val="24"/>
          </w:rPr>
          <w:fldChar w:fldCharType="end"/>
        </w:r>
      </w:hyperlink>
    </w:p>
    <w:p w14:paraId="5392646F" w14:textId="1FBE497A"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243" w:history="1">
        <w:r w:rsidRPr="008253E6">
          <w:rPr>
            <w:rStyle w:val="Hyperlink"/>
            <w:rFonts w:ascii="Mosawi" w:hAnsi="Mosawi" w:cs="Mosawi"/>
            <w:noProof/>
            <w:sz w:val="24"/>
            <w:rtl/>
          </w:rPr>
          <w:t>11 ـ 2 ـ 3 ـ الترجيح بشهرة مدح زيد بين الإماميّة، عرض وتفنيد</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_Toc238123243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58</w:t>
        </w:r>
        <w:r w:rsidRPr="008253E6">
          <w:rPr>
            <w:rFonts w:ascii="Mosawi" w:hAnsi="Mosawi" w:cs="Mosawi"/>
            <w:noProof/>
            <w:webHidden/>
            <w:sz w:val="24"/>
          </w:rPr>
          <w:fldChar w:fldCharType="end"/>
        </w:r>
      </w:hyperlink>
    </w:p>
    <w:p w14:paraId="3223D02A" w14:textId="7022CAF3"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244" w:history="1">
        <w:r w:rsidRPr="008253E6">
          <w:rPr>
            <w:rStyle w:val="Hyperlink"/>
            <w:rFonts w:ascii="Mosawi" w:hAnsi="Mosawi" w:cs="Mosawi"/>
            <w:noProof/>
            <w:sz w:val="24"/>
            <w:rtl/>
          </w:rPr>
          <w:t>11 ـ 2 ـ 4 ـ ترجيح نصوص التأييد عبر توظيف نظريّة التقيّة، مشاكل وعوائق</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_Toc238123244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61</w:t>
        </w:r>
        <w:r w:rsidRPr="008253E6">
          <w:rPr>
            <w:rFonts w:ascii="Mosawi" w:hAnsi="Mosawi" w:cs="Mosawi"/>
            <w:noProof/>
            <w:webHidden/>
            <w:sz w:val="24"/>
          </w:rPr>
          <w:fldChar w:fldCharType="end"/>
        </w:r>
      </w:hyperlink>
    </w:p>
    <w:p w14:paraId="22F5ACEF" w14:textId="3E984697"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245" w:history="1">
        <w:r w:rsidRPr="008253E6">
          <w:rPr>
            <w:rStyle w:val="Hyperlink"/>
            <w:rFonts w:ascii="Mosawi" w:hAnsi="Mosawi" w:cs="Mosawi"/>
            <w:noProof/>
            <w:sz w:val="24"/>
            <w:rtl/>
          </w:rPr>
          <w:t>11 ـ 2 ـ 5 ـ النصوص بين الذمّ والإشفاق، قراءة منقوصة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_Toc238123245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65</w:t>
        </w:r>
        <w:r w:rsidRPr="008253E6">
          <w:rPr>
            <w:rFonts w:ascii="Mosawi" w:hAnsi="Mosawi" w:cs="Mosawi"/>
            <w:noProof/>
            <w:webHidden/>
            <w:sz w:val="24"/>
          </w:rPr>
          <w:fldChar w:fldCharType="end"/>
        </w:r>
      </w:hyperlink>
    </w:p>
    <w:p w14:paraId="45F7FFDA" w14:textId="077AB0CC"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246" w:history="1">
        <w:r w:rsidRPr="008253E6">
          <w:rPr>
            <w:rStyle w:val="Hyperlink"/>
            <w:rFonts w:ascii="Mosawi" w:hAnsi="Mosawi" w:cs="Mosawi"/>
            <w:noProof/>
            <w:sz w:val="24"/>
            <w:rtl/>
          </w:rPr>
          <w:t>11 ـ (3 ـ 4) ـ مشكلة القصور في دلالة الإقرار على الفعل من حيث الجواز والوجوب</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_Toc238123246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65</w:t>
        </w:r>
        <w:r w:rsidRPr="008253E6">
          <w:rPr>
            <w:rFonts w:ascii="Mosawi" w:hAnsi="Mosawi" w:cs="Mosawi"/>
            <w:noProof/>
            <w:webHidden/>
            <w:sz w:val="24"/>
          </w:rPr>
          <w:fldChar w:fldCharType="end"/>
        </w:r>
      </w:hyperlink>
    </w:p>
    <w:p w14:paraId="561F1C6B" w14:textId="2B4BF6EC"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247" w:history="1">
        <w:r w:rsidRPr="008253E6">
          <w:rPr>
            <w:rStyle w:val="Hyperlink"/>
            <w:rFonts w:ascii="Mosawi" w:hAnsi="Mosawi" w:cs="Mosawi"/>
            <w:noProof/>
            <w:sz w:val="24"/>
            <w:rtl/>
          </w:rPr>
          <w:t>11 ـ 5 ـ قصور الإقرار بثورة زيد عن مواجهة نصوص الحظر في "عصر الغيبة"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_Toc238123247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66</w:t>
        </w:r>
        <w:r w:rsidRPr="008253E6">
          <w:rPr>
            <w:rFonts w:ascii="Mosawi" w:hAnsi="Mosawi" w:cs="Mosawi"/>
            <w:noProof/>
            <w:webHidden/>
            <w:sz w:val="24"/>
          </w:rPr>
          <w:fldChar w:fldCharType="end"/>
        </w:r>
      </w:hyperlink>
    </w:p>
    <w:p w14:paraId="029226FE" w14:textId="3E445A68"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48" w:history="1">
        <w:r w:rsidRPr="008253E6">
          <w:rPr>
            <w:rStyle w:val="Hyperlink"/>
            <w:rFonts w:ascii="Mosawi" w:hAnsi="Mosawi" w:cs="Mosawi"/>
            <w:noProof/>
            <w:sz w:val="24"/>
            <w:rtl/>
          </w:rPr>
          <w:t>12 ـ مرجعيّة نصوص الجهاد العامّة في الشريعة الإسلاميّة، نقدٌ وتعليق</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_Toc238123248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66</w:t>
        </w:r>
        <w:r w:rsidRPr="008253E6">
          <w:rPr>
            <w:rFonts w:ascii="Mosawi" w:hAnsi="Mosawi" w:cs="Mosawi"/>
            <w:noProof/>
            <w:webHidden/>
            <w:sz w:val="24"/>
          </w:rPr>
          <w:fldChar w:fldCharType="end"/>
        </w:r>
      </w:hyperlink>
    </w:p>
    <w:p w14:paraId="3BEE83E3" w14:textId="2C29ACC8"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49" w:history="1">
        <w:r w:rsidRPr="008253E6">
          <w:rPr>
            <w:rStyle w:val="Hyperlink"/>
            <w:rFonts w:ascii="Mosawi" w:hAnsi="Mosawi" w:cs="Mosawi"/>
            <w:noProof/>
            <w:sz w:val="24"/>
            <w:rtl/>
          </w:rPr>
          <w:t>13 ـ المجموعات الحديثيّة المبرّرة لعدم خروج أهل البيت بقلّة الناصر</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_Toc238123249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67</w:t>
        </w:r>
        <w:r w:rsidRPr="008253E6">
          <w:rPr>
            <w:rFonts w:ascii="Mosawi" w:hAnsi="Mosawi" w:cs="Mosawi"/>
            <w:noProof/>
            <w:webHidden/>
            <w:sz w:val="24"/>
          </w:rPr>
          <w:fldChar w:fldCharType="end"/>
        </w:r>
      </w:hyperlink>
    </w:p>
    <w:p w14:paraId="48467C59" w14:textId="17270B7D"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50" w:history="1">
        <w:r w:rsidRPr="008253E6">
          <w:rPr>
            <w:rStyle w:val="Hyperlink"/>
            <w:rFonts w:ascii="Mosawi" w:hAnsi="Mosawi" w:cs="Mosawi"/>
            <w:noProof/>
            <w:sz w:val="24"/>
            <w:rtl/>
          </w:rPr>
          <w:t>14 ـ موقف أهل البيت من ثورة صاحب فَخّ بوصفه دليلَ الشرعيّة، وقفات وتأمّلات</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_Toc238123250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69</w:t>
        </w:r>
        <w:r w:rsidRPr="008253E6">
          <w:rPr>
            <w:rFonts w:ascii="Mosawi" w:hAnsi="Mosawi" w:cs="Mosawi"/>
            <w:noProof/>
            <w:webHidden/>
            <w:sz w:val="24"/>
          </w:rPr>
          <w:fldChar w:fldCharType="end"/>
        </w:r>
      </w:hyperlink>
    </w:p>
    <w:p w14:paraId="531D4DDA" w14:textId="5591F0B0"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51" w:history="1">
        <w:r w:rsidRPr="008253E6">
          <w:rPr>
            <w:rStyle w:val="Hyperlink"/>
            <w:rFonts w:ascii="Mosawi" w:hAnsi="Mosawi" w:cs="Mosawi"/>
            <w:noProof/>
            <w:sz w:val="24"/>
            <w:rtl/>
          </w:rPr>
          <w:t>النصوص المؤيّدة لحركة صاحب فخّ، تفكيك وتفنيد</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_Toc238123251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71</w:t>
        </w:r>
        <w:r w:rsidRPr="008253E6">
          <w:rPr>
            <w:rFonts w:ascii="Mosawi" w:hAnsi="Mosawi" w:cs="Mosawi"/>
            <w:noProof/>
            <w:webHidden/>
            <w:sz w:val="24"/>
          </w:rPr>
          <w:fldChar w:fldCharType="end"/>
        </w:r>
      </w:hyperlink>
    </w:p>
    <w:p w14:paraId="26409723" w14:textId="4A3DF69A"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52" w:history="1">
        <w:r w:rsidRPr="008253E6">
          <w:rPr>
            <w:rStyle w:val="Hyperlink"/>
            <w:rFonts w:ascii="Mosawi" w:hAnsi="Mosawi" w:cs="Mosawi"/>
            <w:noProof/>
            <w:sz w:val="24"/>
            <w:rtl/>
          </w:rPr>
          <w:t>عناصر التشكيك في موقف أهل البيت ـ إماميّاً ـ من حركة صاحب فخّ</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_Toc238123252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73</w:t>
        </w:r>
        <w:r w:rsidRPr="008253E6">
          <w:rPr>
            <w:rFonts w:ascii="Mosawi" w:hAnsi="Mosawi" w:cs="Mosawi"/>
            <w:noProof/>
            <w:webHidden/>
            <w:sz w:val="24"/>
          </w:rPr>
          <w:fldChar w:fldCharType="end"/>
        </w:r>
      </w:hyperlink>
    </w:p>
    <w:p w14:paraId="16F2E59F" w14:textId="5E234147"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53" w:history="1">
        <w:r w:rsidRPr="008253E6">
          <w:rPr>
            <w:rStyle w:val="Hyperlink"/>
            <w:rFonts w:ascii="Mosawi" w:hAnsi="Mosawi" w:cs="Mosawi"/>
            <w:noProof/>
            <w:sz w:val="24"/>
            <w:rtl/>
          </w:rPr>
          <w:t>15 ـ الاستناد إلى حركة الإمام الحسين بن علي</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_Toc238123253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75</w:t>
        </w:r>
        <w:r w:rsidRPr="008253E6">
          <w:rPr>
            <w:rFonts w:ascii="Mosawi" w:hAnsi="Mosawi" w:cs="Mosawi"/>
            <w:noProof/>
            <w:webHidden/>
            <w:sz w:val="24"/>
          </w:rPr>
          <w:fldChar w:fldCharType="end"/>
        </w:r>
      </w:hyperlink>
    </w:p>
    <w:p w14:paraId="7F5FB84F" w14:textId="625622F3"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54" w:history="1">
        <w:r w:rsidRPr="008253E6">
          <w:rPr>
            <w:rStyle w:val="Hyperlink"/>
            <w:rFonts w:ascii="Mosawi" w:hAnsi="Mosawi" w:cs="Mosawi"/>
            <w:noProof/>
            <w:sz w:val="24"/>
            <w:rtl/>
          </w:rPr>
          <w:t>المبرّرات الموضوعية لدراسة فلسفة الحركة الحسينيّة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_Toc238123254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77</w:t>
        </w:r>
        <w:r w:rsidRPr="008253E6">
          <w:rPr>
            <w:rFonts w:ascii="Mosawi" w:hAnsi="Mosawi" w:cs="Mosawi"/>
            <w:noProof/>
            <w:webHidden/>
            <w:sz w:val="24"/>
          </w:rPr>
          <w:fldChar w:fldCharType="end"/>
        </w:r>
      </w:hyperlink>
    </w:p>
    <w:p w14:paraId="162EADB5" w14:textId="77762ECF"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55" w:history="1">
        <w:r w:rsidRPr="008253E6">
          <w:rPr>
            <w:rStyle w:val="Hyperlink"/>
            <w:rFonts w:ascii="Mosawi" w:hAnsi="Mosawi" w:cs="Mosawi"/>
            <w:noProof/>
            <w:sz w:val="24"/>
            <w:rtl/>
          </w:rPr>
          <w:t>لمحة حول المشهد الشيعي التاريخي إزاء قراءة الحركة الحسينيّة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_Toc238123255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78</w:t>
        </w:r>
        <w:r w:rsidRPr="008253E6">
          <w:rPr>
            <w:rFonts w:ascii="Mosawi" w:hAnsi="Mosawi" w:cs="Mosawi"/>
            <w:noProof/>
            <w:webHidden/>
            <w:sz w:val="24"/>
          </w:rPr>
          <w:fldChar w:fldCharType="end"/>
        </w:r>
      </w:hyperlink>
    </w:p>
    <w:p w14:paraId="17CAA7BD" w14:textId="5DF78E6D"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56" w:history="1">
        <w:r w:rsidRPr="008253E6">
          <w:rPr>
            <w:rStyle w:val="Hyperlink"/>
            <w:rFonts w:ascii="Mosawi" w:hAnsi="Mosawi" w:cs="Mosawi"/>
            <w:noProof/>
            <w:sz w:val="24"/>
            <w:rtl/>
          </w:rPr>
          <w:t>المرحلة الأولى: النظريّات التفسيريّة والتحليلية للحركة الحسينيّة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_Toc238123256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80</w:t>
        </w:r>
        <w:r w:rsidRPr="008253E6">
          <w:rPr>
            <w:rFonts w:ascii="Mosawi" w:hAnsi="Mosawi" w:cs="Mosawi"/>
            <w:noProof/>
            <w:webHidden/>
            <w:sz w:val="24"/>
          </w:rPr>
          <w:fldChar w:fldCharType="end"/>
        </w:r>
      </w:hyperlink>
    </w:p>
    <w:p w14:paraId="5491ACDD" w14:textId="48A9770E"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57" w:history="1">
        <w:r w:rsidRPr="008253E6">
          <w:rPr>
            <w:rStyle w:val="Hyperlink"/>
            <w:rFonts w:ascii="Mosawi" w:hAnsi="Mosawi" w:cs="Mosawi"/>
            <w:noProof/>
            <w:sz w:val="24"/>
            <w:rtl/>
          </w:rPr>
          <w:t>النظريّة الأولى: النظرية الغيبية الاختصاصية، أو اللامعقول الحسيني</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_Toc238123257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81</w:t>
        </w:r>
        <w:r w:rsidRPr="008253E6">
          <w:rPr>
            <w:rFonts w:ascii="Mosawi" w:hAnsi="Mosawi" w:cs="Mosawi"/>
            <w:noProof/>
            <w:webHidden/>
            <w:sz w:val="24"/>
          </w:rPr>
          <w:fldChar w:fldCharType="end"/>
        </w:r>
      </w:hyperlink>
    </w:p>
    <w:p w14:paraId="73A184C1" w14:textId="1B2BA67F"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258" w:history="1">
        <w:r w:rsidRPr="008253E6">
          <w:rPr>
            <w:rStyle w:val="Hyperlink"/>
            <w:rFonts w:ascii="Mosawi" w:hAnsi="Mosawi" w:cs="Mosawi"/>
            <w:noProof/>
            <w:sz w:val="24"/>
            <w:rtl/>
          </w:rPr>
          <w:t>أوّلاً: نظريّة اللامعقول الحسيني، الأدلّة والوثائق</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_Toc238123258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82</w:t>
        </w:r>
        <w:r w:rsidRPr="008253E6">
          <w:rPr>
            <w:rFonts w:ascii="Mosawi" w:hAnsi="Mosawi" w:cs="Mosawi"/>
            <w:noProof/>
            <w:webHidden/>
            <w:sz w:val="24"/>
          </w:rPr>
          <w:fldChar w:fldCharType="end"/>
        </w:r>
      </w:hyperlink>
    </w:p>
    <w:p w14:paraId="166EE497" w14:textId="14E75636"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259" w:history="1">
        <w:r w:rsidRPr="008253E6">
          <w:rPr>
            <w:rStyle w:val="Hyperlink"/>
            <w:rFonts w:ascii="Mosawi" w:hAnsi="Mosawi" w:cs="Mosawi"/>
            <w:noProof/>
            <w:sz w:val="24"/>
            <w:rtl/>
          </w:rPr>
          <w:t>ثانياً: قراءة نقديّة في نظرية التخصيص واللامعقول الحسيني</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_Toc238123259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85</w:t>
        </w:r>
        <w:r w:rsidRPr="008253E6">
          <w:rPr>
            <w:rFonts w:ascii="Mosawi" w:hAnsi="Mosawi" w:cs="Mosawi"/>
            <w:noProof/>
            <w:webHidden/>
            <w:sz w:val="24"/>
          </w:rPr>
          <w:fldChar w:fldCharType="end"/>
        </w:r>
      </w:hyperlink>
    </w:p>
    <w:p w14:paraId="37442DBA" w14:textId="647C3F6D"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260" w:history="1">
        <w:r w:rsidRPr="008253E6">
          <w:rPr>
            <w:rStyle w:val="Hyperlink"/>
            <w:rFonts w:ascii="Mosawi" w:hAnsi="Mosawi" w:cs="Mosawi"/>
            <w:noProof/>
            <w:sz w:val="24"/>
            <w:rtl/>
          </w:rPr>
          <w:t>أ ـ معارضة بعض النصوص التاريخيّة لمعطيات نظريّة التخصيص (إشكالية الانتقائيّة)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_Toc238123260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85</w:t>
        </w:r>
        <w:r w:rsidRPr="008253E6">
          <w:rPr>
            <w:rFonts w:ascii="Mosawi" w:hAnsi="Mosawi" w:cs="Mosawi"/>
            <w:noProof/>
            <w:webHidden/>
            <w:sz w:val="24"/>
          </w:rPr>
          <w:fldChar w:fldCharType="end"/>
        </w:r>
      </w:hyperlink>
    </w:p>
    <w:p w14:paraId="4D9B0D3D" w14:textId="6C884FEC"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261" w:history="1">
        <w:r w:rsidRPr="008253E6">
          <w:rPr>
            <w:rStyle w:val="Hyperlink"/>
            <w:rFonts w:ascii="Mosawi" w:hAnsi="Mosawi" w:cs="Mosawi"/>
            <w:noProof/>
            <w:sz w:val="24"/>
            <w:rtl/>
          </w:rPr>
          <w:t>ب ـ فقدان التجسير الصحيح بين الشهادة ولامعقوليّة الحركة الحسينيّة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_Toc238123261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87</w:t>
        </w:r>
        <w:r w:rsidRPr="008253E6">
          <w:rPr>
            <w:rFonts w:ascii="Mosawi" w:hAnsi="Mosawi" w:cs="Mosawi"/>
            <w:noProof/>
            <w:webHidden/>
            <w:sz w:val="24"/>
          </w:rPr>
          <w:fldChar w:fldCharType="end"/>
        </w:r>
      </w:hyperlink>
    </w:p>
    <w:p w14:paraId="5057C0BD" w14:textId="740097E6"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262" w:history="1">
        <w:r w:rsidRPr="008253E6">
          <w:rPr>
            <w:rStyle w:val="Hyperlink"/>
            <w:rFonts w:ascii="Mosawi" w:hAnsi="Mosawi" w:cs="Mosawi"/>
            <w:noProof/>
            <w:sz w:val="24"/>
            <w:rtl/>
          </w:rPr>
          <w:t>ج ـ غياب التبرير الأصولي (أصول الفقه) لنظريّة الاختصاص المدّعاة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_Toc238123262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88</w:t>
        </w:r>
        <w:r w:rsidRPr="008253E6">
          <w:rPr>
            <w:rFonts w:ascii="Mosawi" w:hAnsi="Mosawi" w:cs="Mosawi"/>
            <w:noProof/>
            <w:webHidden/>
            <w:sz w:val="24"/>
          </w:rPr>
          <w:fldChar w:fldCharType="end"/>
        </w:r>
      </w:hyperlink>
    </w:p>
    <w:p w14:paraId="5189FBDC" w14:textId="300CFBF4"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263" w:history="1">
        <w:r w:rsidRPr="008253E6">
          <w:rPr>
            <w:rStyle w:val="Hyperlink"/>
            <w:rFonts w:ascii="Mosawi" w:hAnsi="Mosawi" w:cs="Mosawi"/>
            <w:noProof/>
            <w:sz w:val="24"/>
            <w:rtl/>
          </w:rPr>
          <w:t>د ـ عجز نصوص الاستخارة الحسينيّة عن تأكيد نظريّة الاختصاص</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_Toc238123263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90</w:t>
        </w:r>
        <w:r w:rsidRPr="008253E6">
          <w:rPr>
            <w:rFonts w:ascii="Mosawi" w:hAnsi="Mosawi" w:cs="Mosawi"/>
            <w:noProof/>
            <w:webHidden/>
            <w:sz w:val="24"/>
          </w:rPr>
          <w:fldChar w:fldCharType="end"/>
        </w:r>
      </w:hyperlink>
    </w:p>
    <w:p w14:paraId="359001A9" w14:textId="621EA598"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264" w:history="1">
        <w:r w:rsidRPr="008253E6">
          <w:rPr>
            <w:rStyle w:val="Hyperlink"/>
            <w:rFonts w:ascii="Mosawi" w:hAnsi="Mosawi" w:cs="Mosawi"/>
            <w:noProof/>
            <w:sz w:val="24"/>
            <w:rtl/>
          </w:rPr>
          <w:t>هـ ـ مشكلة تواجه توظيف "إلقاء النفس في التهلكة" في تكريس نظريّة الاختصاص</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_Toc238123264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90</w:t>
        </w:r>
        <w:r w:rsidRPr="008253E6">
          <w:rPr>
            <w:rFonts w:ascii="Mosawi" w:hAnsi="Mosawi" w:cs="Mosawi"/>
            <w:noProof/>
            <w:webHidden/>
            <w:sz w:val="24"/>
          </w:rPr>
          <w:fldChar w:fldCharType="end"/>
        </w:r>
      </w:hyperlink>
    </w:p>
    <w:p w14:paraId="709C88F5" w14:textId="061D573F"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265" w:history="1">
        <w:r w:rsidRPr="008253E6">
          <w:rPr>
            <w:rStyle w:val="Hyperlink"/>
            <w:rFonts w:ascii="Mosawi" w:hAnsi="Mosawi" w:cs="Mosawi"/>
            <w:noProof/>
            <w:sz w:val="24"/>
            <w:rtl/>
          </w:rPr>
          <w:t>و ـ عدم دلالة تمايز الأحكام على تمايز الحركة الحسينيّة عن فقه الجهاد</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_Toc238123265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91</w:t>
        </w:r>
        <w:r w:rsidRPr="008253E6">
          <w:rPr>
            <w:rFonts w:ascii="Mosawi" w:hAnsi="Mosawi" w:cs="Mosawi"/>
            <w:noProof/>
            <w:webHidden/>
            <w:sz w:val="24"/>
          </w:rPr>
          <w:fldChar w:fldCharType="end"/>
        </w:r>
      </w:hyperlink>
    </w:p>
    <w:p w14:paraId="403F13AB" w14:textId="196933FB"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266" w:history="1">
        <w:r w:rsidRPr="008253E6">
          <w:rPr>
            <w:rStyle w:val="Hyperlink"/>
            <w:rFonts w:ascii="Mosawi" w:hAnsi="Mosawi" w:cs="Mosawi"/>
            <w:noProof/>
            <w:sz w:val="24"/>
            <w:rtl/>
          </w:rPr>
          <w:t>ز ـ نقد صدوري لبعض الشواهد التاريخيّة الجزئيّة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_Toc238123266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92</w:t>
        </w:r>
        <w:r w:rsidRPr="008253E6">
          <w:rPr>
            <w:rFonts w:ascii="Mosawi" w:hAnsi="Mosawi" w:cs="Mosawi"/>
            <w:noProof/>
            <w:webHidden/>
            <w:sz w:val="24"/>
          </w:rPr>
          <w:fldChar w:fldCharType="end"/>
        </w:r>
      </w:hyperlink>
    </w:p>
    <w:p w14:paraId="4EE259EB" w14:textId="1EDB0816"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67" w:history="1">
        <w:r w:rsidRPr="008253E6">
          <w:rPr>
            <w:rStyle w:val="Hyperlink"/>
            <w:rFonts w:ascii="Mosawi" w:hAnsi="Mosawi" w:cs="Mosawi"/>
            <w:noProof/>
            <w:sz w:val="24"/>
            <w:rtl/>
          </w:rPr>
          <w:t>النظريّة الثانية: نظريّة تجنّب البيعة المفضي إلى المواجهة المفروضة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_Toc238123267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93</w:t>
        </w:r>
        <w:r w:rsidRPr="008253E6">
          <w:rPr>
            <w:rFonts w:ascii="Mosawi" w:hAnsi="Mosawi" w:cs="Mosawi"/>
            <w:noProof/>
            <w:webHidden/>
            <w:sz w:val="24"/>
          </w:rPr>
          <w:fldChar w:fldCharType="end"/>
        </w:r>
      </w:hyperlink>
    </w:p>
    <w:p w14:paraId="5CA05B32" w14:textId="3A640D54"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268" w:history="1">
        <w:r w:rsidRPr="008253E6">
          <w:rPr>
            <w:rStyle w:val="Hyperlink"/>
            <w:rFonts w:ascii="Mosawi" w:hAnsi="Mosawi" w:cs="Mosawi"/>
            <w:noProof/>
            <w:sz w:val="24"/>
            <w:rtl/>
          </w:rPr>
          <w:t>أوّلاً: نظرية المواجهة المفروضة، الشواهد والمستندات</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_Toc238123268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94</w:t>
        </w:r>
        <w:r w:rsidRPr="008253E6">
          <w:rPr>
            <w:rFonts w:ascii="Mosawi" w:hAnsi="Mosawi" w:cs="Mosawi"/>
            <w:noProof/>
            <w:webHidden/>
            <w:sz w:val="24"/>
          </w:rPr>
          <w:fldChar w:fldCharType="end"/>
        </w:r>
      </w:hyperlink>
    </w:p>
    <w:p w14:paraId="0ED76A4E" w14:textId="24FC8444"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269" w:history="1">
        <w:r w:rsidRPr="008253E6">
          <w:rPr>
            <w:rStyle w:val="Hyperlink"/>
            <w:rFonts w:ascii="Mosawi" w:hAnsi="Mosawi" w:cs="Mosawi"/>
            <w:noProof/>
            <w:sz w:val="24"/>
            <w:rtl/>
          </w:rPr>
          <w:t>ثانياً: مطالعة نقدية في نظرية المواجهة المفروضة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_Toc238123269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99</w:t>
        </w:r>
        <w:r w:rsidRPr="008253E6">
          <w:rPr>
            <w:rFonts w:ascii="Mosawi" w:hAnsi="Mosawi" w:cs="Mosawi"/>
            <w:noProof/>
            <w:webHidden/>
            <w:sz w:val="24"/>
          </w:rPr>
          <w:fldChar w:fldCharType="end"/>
        </w:r>
      </w:hyperlink>
    </w:p>
    <w:p w14:paraId="7915DD57" w14:textId="4CDA2409"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70" w:history="1">
        <w:r w:rsidRPr="008253E6">
          <w:rPr>
            <w:rStyle w:val="Hyperlink"/>
            <w:rFonts w:ascii="Mosawi" w:hAnsi="Mosawi" w:cs="Mosawi"/>
            <w:noProof/>
            <w:sz w:val="24"/>
            <w:rtl/>
          </w:rPr>
          <w:t>النظريّة الثالثة: النظرية السياسيّة ومحاولات التعقيل</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_Toc238123270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101</w:t>
        </w:r>
        <w:r w:rsidRPr="008253E6">
          <w:rPr>
            <w:rFonts w:ascii="Mosawi" w:hAnsi="Mosawi" w:cs="Mosawi"/>
            <w:noProof/>
            <w:webHidden/>
            <w:sz w:val="24"/>
          </w:rPr>
          <w:fldChar w:fldCharType="end"/>
        </w:r>
      </w:hyperlink>
    </w:p>
    <w:p w14:paraId="56D95CD9" w14:textId="4CEA74B8"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271" w:history="1">
        <w:r w:rsidRPr="008253E6">
          <w:rPr>
            <w:rStyle w:val="Hyperlink"/>
            <w:rFonts w:ascii="Mosawi" w:hAnsi="Mosawi" w:cs="Mosawi"/>
            <w:noProof/>
            <w:sz w:val="24"/>
            <w:rtl/>
          </w:rPr>
          <w:t>كتاب "الشهيد الخالد" ونقطة التحوّل باتجاه النظريّة السياسيّة الكاملة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_Toc238123271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104</w:t>
        </w:r>
        <w:r w:rsidRPr="008253E6">
          <w:rPr>
            <w:rFonts w:ascii="Mosawi" w:hAnsi="Mosawi" w:cs="Mosawi"/>
            <w:noProof/>
            <w:webHidden/>
            <w:sz w:val="24"/>
          </w:rPr>
          <w:fldChar w:fldCharType="end"/>
        </w:r>
      </w:hyperlink>
    </w:p>
    <w:p w14:paraId="6BCBCF9D" w14:textId="0240C81C"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272" w:history="1">
        <w:r w:rsidRPr="008253E6">
          <w:rPr>
            <w:rStyle w:val="Hyperlink"/>
            <w:rFonts w:ascii="Mosawi" w:hAnsi="Mosawi" w:cs="Mosawi"/>
            <w:noProof/>
            <w:sz w:val="24"/>
            <w:rtl/>
          </w:rPr>
          <w:t>مطالعة تقويمية في التفسير السياسي</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_Toc238123272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111</w:t>
        </w:r>
        <w:r w:rsidRPr="008253E6">
          <w:rPr>
            <w:rFonts w:ascii="Mosawi" w:hAnsi="Mosawi" w:cs="Mosawi"/>
            <w:noProof/>
            <w:webHidden/>
            <w:sz w:val="24"/>
          </w:rPr>
          <w:fldChar w:fldCharType="end"/>
        </w:r>
      </w:hyperlink>
    </w:p>
    <w:p w14:paraId="04E8B1A0" w14:textId="43502508"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273" w:history="1">
        <w:r w:rsidRPr="008253E6">
          <w:rPr>
            <w:rStyle w:val="Hyperlink"/>
            <w:rFonts w:ascii="Mosawi" w:hAnsi="Mosawi" w:cs="Mosawi"/>
            <w:noProof/>
            <w:sz w:val="24"/>
            <w:rtl/>
          </w:rPr>
          <w:t>أ ـ القراءة النقدية الكلامية ـ الأيديولوجية لنظرية التعقيل السياسي، عرضٌ وردّ</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_Toc238123273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111</w:t>
        </w:r>
        <w:r w:rsidRPr="008253E6">
          <w:rPr>
            <w:rFonts w:ascii="Mosawi" w:hAnsi="Mosawi" w:cs="Mosawi"/>
            <w:noProof/>
            <w:webHidden/>
            <w:sz w:val="24"/>
          </w:rPr>
          <w:fldChar w:fldCharType="end"/>
        </w:r>
      </w:hyperlink>
    </w:p>
    <w:p w14:paraId="6DF2F6B4" w14:textId="23413575"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274" w:history="1">
        <w:r w:rsidRPr="008253E6">
          <w:rPr>
            <w:rStyle w:val="Hyperlink"/>
            <w:rFonts w:ascii="Mosawi" w:hAnsi="Mosawi" w:cs="Mosawi"/>
            <w:noProof/>
            <w:sz w:val="24"/>
            <w:rtl/>
          </w:rPr>
          <w:t>ب ـ القراءة النقديّة التاريخية ـ التحليليّة للتفسير السياسي، وقفات وتأمّلات</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_Toc238123274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116</w:t>
        </w:r>
        <w:r w:rsidRPr="008253E6">
          <w:rPr>
            <w:rFonts w:ascii="Mosawi" w:hAnsi="Mosawi" w:cs="Mosawi"/>
            <w:noProof/>
            <w:webHidden/>
            <w:sz w:val="24"/>
          </w:rPr>
          <w:fldChar w:fldCharType="end"/>
        </w:r>
      </w:hyperlink>
    </w:p>
    <w:p w14:paraId="1CEF3E58" w14:textId="517121C4" w:rsidR="008253E6" w:rsidRPr="008253E6" w:rsidRDefault="008253E6" w:rsidP="008253E6">
      <w:pPr>
        <w:pStyle w:val="TOC5"/>
        <w:rPr>
          <w:rFonts w:eastAsiaTheme="minorEastAsia"/>
          <w:kern w:val="2"/>
          <w:sz w:val="24"/>
          <w:szCs w:val="24"/>
          <w14:ligatures w14:val="standardContextual"/>
        </w:rPr>
      </w:pPr>
      <w:hyperlink w:anchor="_Toc238123275" w:history="1">
        <w:r w:rsidRPr="008253E6">
          <w:rPr>
            <w:rStyle w:val="Hyperlink"/>
            <w:rFonts w:cs="Mosawi"/>
            <w:sz w:val="24"/>
            <w:szCs w:val="24"/>
            <w:rtl/>
          </w:rPr>
          <w:t>أً ـ عدم منطقيّة تصوّر إمكان سقوط الدولة الأمويّة في عصر الحسين، نقد وتعليقات</w:t>
        </w:r>
        <w:r w:rsidRPr="008253E6">
          <w:rPr>
            <w:webHidden/>
            <w:sz w:val="24"/>
            <w:szCs w:val="24"/>
          </w:rPr>
          <w:tab/>
        </w:r>
        <w:r w:rsidRPr="008253E6">
          <w:rPr>
            <w:webHidden/>
            <w:sz w:val="24"/>
            <w:szCs w:val="24"/>
          </w:rPr>
          <w:fldChar w:fldCharType="begin"/>
        </w:r>
        <w:r w:rsidRPr="008253E6">
          <w:rPr>
            <w:webHidden/>
            <w:sz w:val="24"/>
            <w:szCs w:val="24"/>
          </w:rPr>
          <w:instrText xml:space="preserve"> PAGEREF _Toc238123275 \h </w:instrText>
        </w:r>
        <w:r w:rsidRPr="008253E6">
          <w:rPr>
            <w:webHidden/>
            <w:sz w:val="24"/>
            <w:szCs w:val="24"/>
          </w:rPr>
        </w:r>
        <w:r w:rsidRPr="008253E6">
          <w:rPr>
            <w:webHidden/>
            <w:sz w:val="24"/>
            <w:szCs w:val="24"/>
          </w:rPr>
          <w:fldChar w:fldCharType="separate"/>
        </w:r>
        <w:r w:rsidRPr="008253E6">
          <w:rPr>
            <w:webHidden/>
            <w:sz w:val="24"/>
            <w:szCs w:val="24"/>
          </w:rPr>
          <w:t>117</w:t>
        </w:r>
        <w:r w:rsidRPr="008253E6">
          <w:rPr>
            <w:webHidden/>
            <w:sz w:val="24"/>
            <w:szCs w:val="24"/>
          </w:rPr>
          <w:fldChar w:fldCharType="end"/>
        </w:r>
      </w:hyperlink>
    </w:p>
    <w:p w14:paraId="21377FA0" w14:textId="54E58BD7" w:rsidR="008253E6" w:rsidRPr="008253E6" w:rsidRDefault="008253E6" w:rsidP="008253E6">
      <w:pPr>
        <w:pStyle w:val="TOC5"/>
        <w:rPr>
          <w:rFonts w:eastAsiaTheme="minorEastAsia"/>
          <w:kern w:val="2"/>
          <w:sz w:val="24"/>
          <w:szCs w:val="24"/>
          <w14:ligatures w14:val="standardContextual"/>
        </w:rPr>
      </w:pPr>
      <w:hyperlink w:anchor="_Toc238123276" w:history="1">
        <w:r w:rsidRPr="008253E6">
          <w:rPr>
            <w:rStyle w:val="Hyperlink"/>
            <w:rFonts w:cs="Mosawi"/>
            <w:sz w:val="24"/>
            <w:szCs w:val="24"/>
            <w:rtl/>
          </w:rPr>
          <w:t>بً ـ إخراج الحسين للأهل والعيال بين التفسير السياسي والتفسير الرسالي</w:t>
        </w:r>
        <w:r w:rsidRPr="008253E6">
          <w:rPr>
            <w:webHidden/>
            <w:sz w:val="24"/>
            <w:szCs w:val="24"/>
          </w:rPr>
          <w:tab/>
        </w:r>
        <w:r w:rsidRPr="008253E6">
          <w:rPr>
            <w:webHidden/>
            <w:sz w:val="24"/>
            <w:szCs w:val="24"/>
          </w:rPr>
          <w:fldChar w:fldCharType="begin"/>
        </w:r>
        <w:r w:rsidRPr="008253E6">
          <w:rPr>
            <w:webHidden/>
            <w:sz w:val="24"/>
            <w:szCs w:val="24"/>
          </w:rPr>
          <w:instrText xml:space="preserve"> PAGEREF _Toc238123276 \h </w:instrText>
        </w:r>
        <w:r w:rsidRPr="008253E6">
          <w:rPr>
            <w:webHidden/>
            <w:sz w:val="24"/>
            <w:szCs w:val="24"/>
          </w:rPr>
        </w:r>
        <w:r w:rsidRPr="008253E6">
          <w:rPr>
            <w:webHidden/>
            <w:sz w:val="24"/>
            <w:szCs w:val="24"/>
          </w:rPr>
          <w:fldChar w:fldCharType="separate"/>
        </w:r>
        <w:r w:rsidRPr="008253E6">
          <w:rPr>
            <w:webHidden/>
            <w:sz w:val="24"/>
            <w:szCs w:val="24"/>
          </w:rPr>
          <w:t>119</w:t>
        </w:r>
        <w:r w:rsidRPr="008253E6">
          <w:rPr>
            <w:webHidden/>
            <w:sz w:val="24"/>
            <w:szCs w:val="24"/>
          </w:rPr>
          <w:fldChar w:fldCharType="end"/>
        </w:r>
      </w:hyperlink>
    </w:p>
    <w:p w14:paraId="6927E5CE" w14:textId="7EF270F7" w:rsidR="008253E6" w:rsidRPr="008253E6" w:rsidRDefault="008253E6" w:rsidP="008253E6">
      <w:pPr>
        <w:pStyle w:val="TOC5"/>
        <w:rPr>
          <w:rFonts w:eastAsiaTheme="minorEastAsia"/>
          <w:kern w:val="2"/>
          <w:sz w:val="24"/>
          <w:szCs w:val="24"/>
          <w14:ligatures w14:val="standardContextual"/>
        </w:rPr>
      </w:pPr>
      <w:hyperlink w:anchor="_Toc238123277" w:history="1">
        <w:r w:rsidRPr="008253E6">
          <w:rPr>
            <w:rStyle w:val="Hyperlink"/>
            <w:rFonts w:cs="Mosawi"/>
            <w:sz w:val="24"/>
            <w:szCs w:val="24"/>
            <w:rtl/>
          </w:rPr>
          <w:t>جً ـ غياب التبرير السياسي عن كلمات الإمام الحسين، عرض وتفنيد</w:t>
        </w:r>
        <w:r w:rsidRPr="008253E6">
          <w:rPr>
            <w:webHidden/>
            <w:sz w:val="24"/>
            <w:szCs w:val="24"/>
          </w:rPr>
          <w:tab/>
        </w:r>
        <w:r w:rsidRPr="008253E6">
          <w:rPr>
            <w:webHidden/>
            <w:sz w:val="24"/>
            <w:szCs w:val="24"/>
          </w:rPr>
          <w:fldChar w:fldCharType="begin"/>
        </w:r>
        <w:r w:rsidRPr="008253E6">
          <w:rPr>
            <w:webHidden/>
            <w:sz w:val="24"/>
            <w:szCs w:val="24"/>
          </w:rPr>
          <w:instrText xml:space="preserve"> PAGEREF _Toc238123277 \h </w:instrText>
        </w:r>
        <w:r w:rsidRPr="008253E6">
          <w:rPr>
            <w:webHidden/>
            <w:sz w:val="24"/>
            <w:szCs w:val="24"/>
          </w:rPr>
        </w:r>
        <w:r w:rsidRPr="008253E6">
          <w:rPr>
            <w:webHidden/>
            <w:sz w:val="24"/>
            <w:szCs w:val="24"/>
          </w:rPr>
          <w:fldChar w:fldCharType="separate"/>
        </w:r>
        <w:r w:rsidRPr="008253E6">
          <w:rPr>
            <w:webHidden/>
            <w:sz w:val="24"/>
            <w:szCs w:val="24"/>
          </w:rPr>
          <w:t>120</w:t>
        </w:r>
        <w:r w:rsidRPr="008253E6">
          <w:rPr>
            <w:webHidden/>
            <w:sz w:val="24"/>
            <w:szCs w:val="24"/>
          </w:rPr>
          <w:fldChar w:fldCharType="end"/>
        </w:r>
      </w:hyperlink>
    </w:p>
    <w:p w14:paraId="3AA7F105" w14:textId="1EA18E8F" w:rsidR="008253E6" w:rsidRPr="008253E6" w:rsidRDefault="008253E6" w:rsidP="008253E6">
      <w:pPr>
        <w:pStyle w:val="TOC5"/>
        <w:rPr>
          <w:rFonts w:eastAsiaTheme="minorEastAsia"/>
          <w:kern w:val="2"/>
          <w:sz w:val="24"/>
          <w:szCs w:val="24"/>
          <w14:ligatures w14:val="standardContextual"/>
        </w:rPr>
      </w:pPr>
      <w:hyperlink w:anchor="_Toc238123278" w:history="1">
        <w:r w:rsidRPr="008253E6">
          <w:rPr>
            <w:rStyle w:val="Hyperlink"/>
            <w:rFonts w:cs="Mosawi"/>
            <w:sz w:val="24"/>
            <w:szCs w:val="24"/>
            <w:rtl/>
          </w:rPr>
          <w:t>دً ـ استبعاد خطأ الحسين في قراءته السياسيّة مقابل رموز إسلامية عارضت خروجه</w:t>
        </w:r>
        <w:r w:rsidRPr="008253E6">
          <w:rPr>
            <w:webHidden/>
            <w:sz w:val="24"/>
            <w:szCs w:val="24"/>
          </w:rPr>
          <w:tab/>
        </w:r>
        <w:r w:rsidRPr="008253E6">
          <w:rPr>
            <w:webHidden/>
            <w:sz w:val="24"/>
            <w:szCs w:val="24"/>
          </w:rPr>
          <w:fldChar w:fldCharType="begin"/>
        </w:r>
        <w:r w:rsidRPr="008253E6">
          <w:rPr>
            <w:webHidden/>
            <w:sz w:val="24"/>
            <w:szCs w:val="24"/>
          </w:rPr>
          <w:instrText xml:space="preserve"> PAGEREF _Toc238123278 \h </w:instrText>
        </w:r>
        <w:r w:rsidRPr="008253E6">
          <w:rPr>
            <w:webHidden/>
            <w:sz w:val="24"/>
            <w:szCs w:val="24"/>
          </w:rPr>
        </w:r>
        <w:r w:rsidRPr="008253E6">
          <w:rPr>
            <w:webHidden/>
            <w:sz w:val="24"/>
            <w:szCs w:val="24"/>
          </w:rPr>
          <w:fldChar w:fldCharType="separate"/>
        </w:r>
        <w:r w:rsidRPr="008253E6">
          <w:rPr>
            <w:webHidden/>
            <w:sz w:val="24"/>
            <w:szCs w:val="24"/>
          </w:rPr>
          <w:t>121</w:t>
        </w:r>
        <w:r w:rsidRPr="008253E6">
          <w:rPr>
            <w:webHidden/>
            <w:sz w:val="24"/>
            <w:szCs w:val="24"/>
          </w:rPr>
          <w:fldChar w:fldCharType="end"/>
        </w:r>
      </w:hyperlink>
    </w:p>
    <w:p w14:paraId="57D616D8" w14:textId="5139472B" w:rsidR="008253E6" w:rsidRPr="008253E6" w:rsidRDefault="008253E6" w:rsidP="008253E6">
      <w:pPr>
        <w:pStyle w:val="TOC5"/>
        <w:rPr>
          <w:rFonts w:eastAsiaTheme="minorEastAsia"/>
          <w:kern w:val="2"/>
          <w:sz w:val="24"/>
          <w:szCs w:val="24"/>
          <w14:ligatures w14:val="standardContextual"/>
        </w:rPr>
      </w:pPr>
      <w:hyperlink w:anchor="_Toc238123279" w:history="1">
        <w:r w:rsidRPr="008253E6">
          <w:rPr>
            <w:rStyle w:val="Hyperlink"/>
            <w:rFonts w:cs="Mosawi"/>
            <w:sz w:val="24"/>
            <w:szCs w:val="24"/>
            <w:rtl/>
          </w:rPr>
          <w:t>هـً ـ استمرار الحسين في المسير شمالاً بوصفه نقداً على التفسير السياسي، قراءة وردّ</w:t>
        </w:r>
        <w:r w:rsidRPr="008253E6">
          <w:rPr>
            <w:webHidden/>
            <w:sz w:val="24"/>
            <w:szCs w:val="24"/>
          </w:rPr>
          <w:tab/>
        </w:r>
        <w:r w:rsidRPr="008253E6">
          <w:rPr>
            <w:webHidden/>
            <w:sz w:val="24"/>
            <w:szCs w:val="24"/>
          </w:rPr>
          <w:fldChar w:fldCharType="begin"/>
        </w:r>
        <w:r w:rsidRPr="008253E6">
          <w:rPr>
            <w:webHidden/>
            <w:sz w:val="24"/>
            <w:szCs w:val="24"/>
          </w:rPr>
          <w:instrText xml:space="preserve"> PAGEREF _Toc238123279 \h </w:instrText>
        </w:r>
        <w:r w:rsidRPr="008253E6">
          <w:rPr>
            <w:webHidden/>
            <w:sz w:val="24"/>
            <w:szCs w:val="24"/>
          </w:rPr>
        </w:r>
        <w:r w:rsidRPr="008253E6">
          <w:rPr>
            <w:webHidden/>
            <w:sz w:val="24"/>
            <w:szCs w:val="24"/>
          </w:rPr>
          <w:fldChar w:fldCharType="separate"/>
        </w:r>
        <w:r w:rsidRPr="008253E6">
          <w:rPr>
            <w:webHidden/>
            <w:sz w:val="24"/>
            <w:szCs w:val="24"/>
          </w:rPr>
          <w:t>124</w:t>
        </w:r>
        <w:r w:rsidRPr="008253E6">
          <w:rPr>
            <w:webHidden/>
            <w:sz w:val="24"/>
            <w:szCs w:val="24"/>
          </w:rPr>
          <w:fldChar w:fldCharType="end"/>
        </w:r>
      </w:hyperlink>
    </w:p>
    <w:p w14:paraId="4B3747FE" w14:textId="560E2564" w:rsidR="008253E6" w:rsidRPr="008253E6" w:rsidRDefault="008253E6" w:rsidP="008253E6">
      <w:pPr>
        <w:pStyle w:val="TOC5"/>
        <w:rPr>
          <w:rFonts w:eastAsiaTheme="minorEastAsia"/>
          <w:kern w:val="2"/>
          <w:sz w:val="24"/>
          <w:szCs w:val="24"/>
          <w14:ligatures w14:val="standardContextual"/>
        </w:rPr>
      </w:pPr>
      <w:hyperlink w:anchor="_Toc238123280" w:history="1">
        <w:r w:rsidRPr="008253E6">
          <w:rPr>
            <w:rStyle w:val="Hyperlink"/>
            <w:rFonts w:cs="Mosawi"/>
            <w:sz w:val="24"/>
            <w:szCs w:val="24"/>
            <w:rtl/>
          </w:rPr>
          <w:t>توظيف قراءة المطهري لنظريّة تعدّد العوامل والأسباب في تحقيب مسيرة الحسين زمنيّاً</w:t>
        </w:r>
        <w:r w:rsidRPr="008253E6">
          <w:rPr>
            <w:webHidden/>
            <w:sz w:val="24"/>
            <w:szCs w:val="24"/>
          </w:rPr>
          <w:tab/>
        </w:r>
        <w:r w:rsidRPr="008253E6">
          <w:rPr>
            <w:webHidden/>
            <w:sz w:val="24"/>
            <w:szCs w:val="24"/>
          </w:rPr>
          <w:fldChar w:fldCharType="begin"/>
        </w:r>
        <w:r w:rsidRPr="008253E6">
          <w:rPr>
            <w:webHidden/>
            <w:sz w:val="24"/>
            <w:szCs w:val="24"/>
          </w:rPr>
          <w:instrText xml:space="preserve"> PAGEREF _Toc238123280 \h </w:instrText>
        </w:r>
        <w:r w:rsidRPr="008253E6">
          <w:rPr>
            <w:webHidden/>
            <w:sz w:val="24"/>
            <w:szCs w:val="24"/>
          </w:rPr>
        </w:r>
        <w:r w:rsidRPr="008253E6">
          <w:rPr>
            <w:webHidden/>
            <w:sz w:val="24"/>
            <w:szCs w:val="24"/>
          </w:rPr>
          <w:fldChar w:fldCharType="separate"/>
        </w:r>
        <w:r w:rsidRPr="008253E6">
          <w:rPr>
            <w:webHidden/>
            <w:sz w:val="24"/>
            <w:szCs w:val="24"/>
          </w:rPr>
          <w:t>126</w:t>
        </w:r>
        <w:r w:rsidRPr="008253E6">
          <w:rPr>
            <w:webHidden/>
            <w:sz w:val="24"/>
            <w:szCs w:val="24"/>
          </w:rPr>
          <w:fldChar w:fldCharType="end"/>
        </w:r>
      </w:hyperlink>
    </w:p>
    <w:p w14:paraId="22D1A7DA" w14:textId="374B4129"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81" w:history="1">
        <w:r w:rsidRPr="008253E6">
          <w:rPr>
            <w:rStyle w:val="Hyperlink"/>
            <w:rFonts w:ascii="Mosawi" w:hAnsi="Mosawi" w:cs="Mosawi"/>
            <w:noProof/>
            <w:sz w:val="24"/>
            <w:rtl/>
          </w:rPr>
          <w:t>النظريّة الرابعة: النظريّة الرسالية الإحيائية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_Toc238123281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128</w:t>
        </w:r>
        <w:r w:rsidRPr="008253E6">
          <w:rPr>
            <w:rFonts w:ascii="Mosawi" w:hAnsi="Mosawi" w:cs="Mosawi"/>
            <w:noProof/>
            <w:webHidden/>
            <w:sz w:val="24"/>
          </w:rPr>
          <w:fldChar w:fldCharType="end"/>
        </w:r>
      </w:hyperlink>
    </w:p>
    <w:p w14:paraId="60212219" w14:textId="37F66E14"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282" w:history="1">
        <w:r w:rsidRPr="008253E6">
          <w:rPr>
            <w:rStyle w:val="Hyperlink"/>
            <w:rFonts w:ascii="Mosawi" w:hAnsi="Mosawi" w:cs="Mosawi"/>
            <w:noProof/>
            <w:sz w:val="24"/>
            <w:rtl/>
          </w:rPr>
          <w:t>من جوانب الضعف والقصور في النظريّة الإحيائيّة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_Toc238123282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129</w:t>
        </w:r>
        <w:r w:rsidRPr="008253E6">
          <w:rPr>
            <w:rFonts w:ascii="Mosawi" w:hAnsi="Mosawi" w:cs="Mosawi"/>
            <w:noProof/>
            <w:webHidden/>
            <w:sz w:val="24"/>
          </w:rPr>
          <w:fldChar w:fldCharType="end"/>
        </w:r>
      </w:hyperlink>
    </w:p>
    <w:p w14:paraId="7225F2FE" w14:textId="38C9F25D"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283" w:history="1">
        <w:r w:rsidRPr="008253E6">
          <w:rPr>
            <w:rStyle w:val="Hyperlink"/>
            <w:rFonts w:ascii="Mosawi" w:hAnsi="Mosawi" w:cs="Mosawi"/>
            <w:noProof/>
            <w:sz w:val="24"/>
            <w:rtl/>
          </w:rPr>
          <w:t>وقفة تقويميّة مختصرة مع محاولة السيد علي الخامنئي</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_Toc238123283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130</w:t>
        </w:r>
        <w:r w:rsidRPr="008253E6">
          <w:rPr>
            <w:rFonts w:ascii="Mosawi" w:hAnsi="Mosawi" w:cs="Mosawi"/>
            <w:noProof/>
            <w:webHidden/>
            <w:sz w:val="24"/>
          </w:rPr>
          <w:fldChar w:fldCharType="end"/>
        </w:r>
      </w:hyperlink>
    </w:p>
    <w:p w14:paraId="34E7F947" w14:textId="2AB24A01"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84" w:history="1">
        <w:r w:rsidRPr="008253E6">
          <w:rPr>
            <w:rStyle w:val="Hyperlink"/>
            <w:rFonts w:ascii="Mosawi" w:hAnsi="Mosawi" w:cs="Mosawi"/>
            <w:noProof/>
            <w:sz w:val="24"/>
            <w:rtl/>
          </w:rPr>
          <w:t>خلاصة التصوّر الراجح في الحركة الحسينيّة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_Toc238123284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131</w:t>
        </w:r>
        <w:r w:rsidRPr="008253E6">
          <w:rPr>
            <w:rFonts w:ascii="Mosawi" w:hAnsi="Mosawi" w:cs="Mosawi"/>
            <w:noProof/>
            <w:webHidden/>
            <w:sz w:val="24"/>
          </w:rPr>
          <w:fldChar w:fldCharType="end"/>
        </w:r>
      </w:hyperlink>
    </w:p>
    <w:p w14:paraId="4252EE23" w14:textId="379A0B84"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85" w:history="1">
        <w:r w:rsidRPr="008253E6">
          <w:rPr>
            <w:rStyle w:val="Hyperlink"/>
            <w:rFonts w:ascii="Mosawi" w:hAnsi="Mosawi" w:cs="Mosawi"/>
            <w:noProof/>
            <w:sz w:val="24"/>
            <w:rtl/>
          </w:rPr>
          <w:t>تأجيل البحث في النظريّات الخارج ـ دينيّة، والخارج ـ شيعيّة في تفسير حركة الحسين</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_Toc238123285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133</w:t>
        </w:r>
        <w:r w:rsidRPr="008253E6">
          <w:rPr>
            <w:rFonts w:ascii="Mosawi" w:hAnsi="Mosawi" w:cs="Mosawi"/>
            <w:noProof/>
            <w:webHidden/>
            <w:sz w:val="24"/>
          </w:rPr>
          <w:fldChar w:fldCharType="end"/>
        </w:r>
      </w:hyperlink>
    </w:p>
    <w:p w14:paraId="02868A49" w14:textId="617C85C4"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86" w:history="1">
        <w:r w:rsidRPr="008253E6">
          <w:rPr>
            <w:rStyle w:val="Hyperlink"/>
            <w:rFonts w:ascii="Mosawi" w:hAnsi="Mosawi" w:cs="Mosawi"/>
            <w:noProof/>
            <w:sz w:val="24"/>
            <w:rtl/>
          </w:rPr>
          <w:t>المرحلة الثانية: التأثيرات الفقهيّة وإشكاليّات الاستنتاج والتوظيف</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_Toc238123286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134</w:t>
        </w:r>
        <w:r w:rsidRPr="008253E6">
          <w:rPr>
            <w:rFonts w:ascii="Mosawi" w:hAnsi="Mosawi" w:cs="Mosawi"/>
            <w:noProof/>
            <w:webHidden/>
            <w:sz w:val="24"/>
          </w:rPr>
          <w:fldChar w:fldCharType="end"/>
        </w:r>
      </w:hyperlink>
    </w:p>
    <w:p w14:paraId="7E73D6A0" w14:textId="74B6384D"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287" w:history="1">
        <w:r w:rsidRPr="008253E6">
          <w:rPr>
            <w:rStyle w:val="Hyperlink"/>
            <w:rFonts w:ascii="Mosawi" w:hAnsi="Mosawi" w:cs="Mosawi"/>
            <w:noProof/>
            <w:sz w:val="24"/>
            <w:rtl/>
          </w:rPr>
          <w:t>أ ـ إشكاليّة البُعد اللاديني في السلطة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_Toc238123287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135</w:t>
        </w:r>
        <w:r w:rsidRPr="008253E6">
          <w:rPr>
            <w:rFonts w:ascii="Mosawi" w:hAnsi="Mosawi" w:cs="Mosawi"/>
            <w:noProof/>
            <w:webHidden/>
            <w:sz w:val="24"/>
          </w:rPr>
          <w:fldChar w:fldCharType="end"/>
        </w:r>
      </w:hyperlink>
    </w:p>
    <w:p w14:paraId="3CFDBC9A" w14:textId="05B665BF"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288" w:history="1">
        <w:r w:rsidRPr="008253E6">
          <w:rPr>
            <w:rStyle w:val="Hyperlink"/>
            <w:rFonts w:ascii="Mosawi" w:hAnsi="Mosawi" w:cs="Mosawi"/>
            <w:noProof/>
            <w:sz w:val="24"/>
            <w:rtl/>
          </w:rPr>
          <w:t>ب ـ إشكاليّة الصمت في دلالة الأفعال</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_Toc238123288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136</w:t>
        </w:r>
        <w:r w:rsidRPr="008253E6">
          <w:rPr>
            <w:rFonts w:ascii="Mosawi" w:hAnsi="Mosawi" w:cs="Mosawi"/>
            <w:noProof/>
            <w:webHidden/>
            <w:sz w:val="24"/>
          </w:rPr>
          <w:fldChar w:fldCharType="end"/>
        </w:r>
      </w:hyperlink>
    </w:p>
    <w:p w14:paraId="6D392FE4" w14:textId="1BBB601B"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289" w:history="1">
        <w:r w:rsidRPr="008253E6">
          <w:rPr>
            <w:rStyle w:val="Hyperlink"/>
            <w:rFonts w:ascii="Mosawi" w:hAnsi="Mosawi" w:cs="Mosawi"/>
            <w:noProof/>
            <w:sz w:val="24"/>
            <w:rtl/>
          </w:rPr>
          <w:t>ج ـ إشكاليّة التعارض في أفعال الأئمّة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_Toc238123289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137</w:t>
        </w:r>
        <w:r w:rsidRPr="008253E6">
          <w:rPr>
            <w:rFonts w:ascii="Mosawi" w:hAnsi="Mosawi" w:cs="Mosawi"/>
            <w:noProof/>
            <w:webHidden/>
            <w:sz w:val="24"/>
          </w:rPr>
          <w:fldChar w:fldCharType="end"/>
        </w:r>
      </w:hyperlink>
    </w:p>
    <w:p w14:paraId="45EF36C3" w14:textId="2A3791AA"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290" w:history="1">
        <w:r w:rsidRPr="008253E6">
          <w:rPr>
            <w:rStyle w:val="Hyperlink"/>
            <w:rFonts w:ascii="Mosawi" w:hAnsi="Mosawi" w:cs="Mosawi"/>
            <w:noProof/>
            <w:sz w:val="24"/>
            <w:rtl/>
          </w:rPr>
          <w:t>د ـ إشكاليّة اللاثوريّة في الحركة الحسينيّة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_Toc238123290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138</w:t>
        </w:r>
        <w:r w:rsidRPr="008253E6">
          <w:rPr>
            <w:rFonts w:ascii="Mosawi" w:hAnsi="Mosawi" w:cs="Mosawi"/>
            <w:noProof/>
            <w:webHidden/>
            <w:sz w:val="24"/>
          </w:rPr>
          <w:fldChar w:fldCharType="end"/>
        </w:r>
      </w:hyperlink>
    </w:p>
    <w:p w14:paraId="0514B747" w14:textId="01BC8E85"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291" w:history="1">
        <w:r w:rsidRPr="008253E6">
          <w:rPr>
            <w:rStyle w:val="Hyperlink"/>
            <w:rFonts w:ascii="Mosawi" w:hAnsi="Mosawi" w:cs="Mosawi"/>
            <w:noProof/>
            <w:sz w:val="24"/>
            <w:rtl/>
          </w:rPr>
          <w:t>هـ ـ من اللاثوريّة إلى فكرة صلح الإمام الحسين</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_Toc238123291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139</w:t>
        </w:r>
        <w:r w:rsidRPr="008253E6">
          <w:rPr>
            <w:rFonts w:ascii="Mosawi" w:hAnsi="Mosawi" w:cs="Mosawi"/>
            <w:noProof/>
            <w:webHidden/>
            <w:sz w:val="24"/>
          </w:rPr>
          <w:fldChar w:fldCharType="end"/>
        </w:r>
      </w:hyperlink>
    </w:p>
    <w:p w14:paraId="06C7C982" w14:textId="4FDECEAA"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92" w:history="1">
        <w:r w:rsidRPr="008253E6">
          <w:rPr>
            <w:rStyle w:val="Hyperlink"/>
            <w:rFonts w:ascii="Mosawi" w:hAnsi="Mosawi" w:cs="Mosawi"/>
            <w:noProof/>
            <w:sz w:val="24"/>
            <w:rtl/>
          </w:rPr>
          <w:t>خاتمة واستنتاج</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_Toc238123292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145</w:t>
        </w:r>
        <w:r w:rsidRPr="008253E6">
          <w:rPr>
            <w:rFonts w:ascii="Mosawi" w:hAnsi="Mosawi" w:cs="Mosawi"/>
            <w:noProof/>
            <w:webHidden/>
            <w:sz w:val="24"/>
          </w:rPr>
          <w:fldChar w:fldCharType="end"/>
        </w:r>
      </w:hyperlink>
    </w:p>
    <w:p w14:paraId="398A21DF" w14:textId="0EC67FFD"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93" w:history="1">
        <w:r w:rsidRPr="008253E6">
          <w:rPr>
            <w:rStyle w:val="Hyperlink"/>
            <w:rFonts w:ascii="Mosawi" w:hAnsi="Mosawi" w:cs="Mosawi"/>
            <w:noProof/>
            <w:sz w:val="24"/>
            <w:rtl/>
          </w:rPr>
          <w:t>16 ـ مقاتلة الظلمة بوصفها شكلاً من أشكال الدفاع عن الإسلام</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_Toc238123293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146</w:t>
        </w:r>
        <w:r w:rsidRPr="008253E6">
          <w:rPr>
            <w:rFonts w:ascii="Mosawi" w:hAnsi="Mosawi" w:cs="Mosawi"/>
            <w:noProof/>
            <w:webHidden/>
            <w:sz w:val="24"/>
          </w:rPr>
          <w:fldChar w:fldCharType="end"/>
        </w:r>
      </w:hyperlink>
    </w:p>
    <w:p w14:paraId="034230D9" w14:textId="68F5EA47"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94" w:history="1">
        <w:r w:rsidRPr="008253E6">
          <w:rPr>
            <w:rStyle w:val="Hyperlink"/>
            <w:rFonts w:ascii="Mosawi" w:hAnsi="Mosawi" w:cs="Mosawi"/>
            <w:noProof/>
            <w:sz w:val="24"/>
            <w:rtl/>
          </w:rPr>
          <w:t>17 ـ الدفاع عن النفس أساساً لشرعنة الثورات، ملاحظات ناقدة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_Toc238123294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150</w:t>
        </w:r>
        <w:r w:rsidRPr="008253E6">
          <w:rPr>
            <w:rFonts w:ascii="Mosawi" w:hAnsi="Mosawi" w:cs="Mosawi"/>
            <w:noProof/>
            <w:webHidden/>
            <w:sz w:val="24"/>
          </w:rPr>
          <w:fldChar w:fldCharType="end"/>
        </w:r>
      </w:hyperlink>
    </w:p>
    <w:p w14:paraId="1D58973A" w14:textId="7F8D536E"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95" w:history="1">
        <w:r w:rsidRPr="008253E6">
          <w:rPr>
            <w:rStyle w:val="Hyperlink"/>
            <w:rFonts w:ascii="Mosawi" w:hAnsi="Mosawi" w:cs="Mosawi"/>
            <w:noProof/>
            <w:sz w:val="24"/>
            <w:rtl/>
          </w:rPr>
          <w:t>وقفة تحليلٍ وتأمّل مع رؤية العلامة شمس الدين للعنف المسلّح</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_Toc238123295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151</w:t>
        </w:r>
        <w:r w:rsidRPr="008253E6">
          <w:rPr>
            <w:rFonts w:ascii="Mosawi" w:hAnsi="Mosawi" w:cs="Mosawi"/>
            <w:noProof/>
            <w:webHidden/>
            <w:sz w:val="24"/>
          </w:rPr>
          <w:fldChar w:fldCharType="end"/>
        </w:r>
      </w:hyperlink>
    </w:p>
    <w:p w14:paraId="6AAE4DDB" w14:textId="3CA268B2"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296" w:history="1">
        <w:r w:rsidRPr="008253E6">
          <w:rPr>
            <w:rStyle w:val="Hyperlink"/>
            <w:rFonts w:ascii="Mosawi" w:hAnsi="Mosawi" w:cs="Mosawi"/>
            <w:noProof/>
            <w:sz w:val="24"/>
            <w:rtl/>
          </w:rPr>
          <w:t>أ ـ العنف الدفاعي المحض</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_Toc238123296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151</w:t>
        </w:r>
        <w:r w:rsidRPr="008253E6">
          <w:rPr>
            <w:rFonts w:ascii="Mosawi" w:hAnsi="Mosawi" w:cs="Mosawi"/>
            <w:noProof/>
            <w:webHidden/>
            <w:sz w:val="24"/>
          </w:rPr>
          <w:fldChar w:fldCharType="end"/>
        </w:r>
      </w:hyperlink>
    </w:p>
    <w:p w14:paraId="3BEDCDD5" w14:textId="72BC64BD"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297" w:history="1">
        <w:r w:rsidRPr="008253E6">
          <w:rPr>
            <w:rStyle w:val="Hyperlink"/>
            <w:rFonts w:ascii="Mosawi" w:hAnsi="Mosawi" w:cs="Mosawi"/>
            <w:noProof/>
            <w:sz w:val="24"/>
            <w:rtl/>
          </w:rPr>
          <w:t>ب ـ العنف الدفاعي الناتج عن استفزاز</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_Toc238123297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156</w:t>
        </w:r>
        <w:r w:rsidRPr="008253E6">
          <w:rPr>
            <w:rFonts w:ascii="Mosawi" w:hAnsi="Mosawi" w:cs="Mosawi"/>
            <w:noProof/>
            <w:webHidden/>
            <w:sz w:val="24"/>
          </w:rPr>
          <w:fldChar w:fldCharType="end"/>
        </w:r>
      </w:hyperlink>
    </w:p>
    <w:p w14:paraId="2CFE4736" w14:textId="5EA33181"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298" w:history="1">
        <w:r w:rsidRPr="008253E6">
          <w:rPr>
            <w:rStyle w:val="Hyperlink"/>
            <w:rFonts w:ascii="Mosawi" w:hAnsi="Mosawi" w:cs="Mosawi"/>
            <w:noProof/>
            <w:sz w:val="24"/>
            <w:rtl/>
          </w:rPr>
          <w:t>ج ـ العنف الدفاعي الناتج عن عنفٍ مسبَق</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_Toc238123298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156</w:t>
        </w:r>
        <w:r w:rsidRPr="008253E6">
          <w:rPr>
            <w:rFonts w:ascii="Mosawi" w:hAnsi="Mosawi" w:cs="Mosawi"/>
            <w:noProof/>
            <w:webHidden/>
            <w:sz w:val="24"/>
          </w:rPr>
          <w:fldChar w:fldCharType="end"/>
        </w:r>
      </w:hyperlink>
    </w:p>
    <w:p w14:paraId="31FEAC7F" w14:textId="148ADF1C"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299" w:history="1">
        <w:r w:rsidRPr="008253E6">
          <w:rPr>
            <w:rStyle w:val="Hyperlink"/>
            <w:rFonts w:ascii="Mosawi" w:hAnsi="Mosawi" w:cs="Mosawi"/>
            <w:noProof/>
            <w:sz w:val="24"/>
            <w:rtl/>
          </w:rPr>
          <w:t>نتائج البحث الأوّليّة في مدارك نظريّة شرعيّة الثورات غير السلميّة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_Toc238123299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156</w:t>
        </w:r>
        <w:r w:rsidRPr="008253E6">
          <w:rPr>
            <w:rFonts w:ascii="Mosawi" w:hAnsi="Mosawi" w:cs="Mosawi"/>
            <w:noProof/>
            <w:webHidden/>
            <w:sz w:val="24"/>
          </w:rPr>
          <w:fldChar w:fldCharType="end"/>
        </w:r>
      </w:hyperlink>
    </w:p>
    <w:p w14:paraId="122C61BA" w14:textId="250CD7F8" w:rsidR="008253E6" w:rsidRPr="008253E6" w:rsidRDefault="008253E6" w:rsidP="008253E6">
      <w:pPr>
        <w:pStyle w:val="TOC2"/>
        <w:tabs>
          <w:tab w:val="right" w:leader="dot" w:pos="7461"/>
        </w:tabs>
        <w:bidi/>
        <w:jc w:val="center"/>
        <w:rPr>
          <w:rFonts w:ascii="Mosawi" w:eastAsiaTheme="minorEastAsia" w:hAnsi="Mosawi" w:cs="Mosawi"/>
          <w:b w:val="0"/>
          <w:bCs w:val="0"/>
          <w:noProof/>
          <w:kern w:val="2"/>
          <w:sz w:val="24"/>
          <w14:ligatures w14:val="standardContextual"/>
        </w:rPr>
      </w:pPr>
      <w:hyperlink w:anchor="_Toc238123300" w:history="1">
        <w:r w:rsidRPr="008253E6">
          <w:rPr>
            <w:rStyle w:val="Hyperlink"/>
            <w:rFonts w:ascii="Mosawi" w:hAnsi="Mosawi" w:cs="Mosawi"/>
            <w:noProof/>
            <w:sz w:val="24"/>
            <w:rtl/>
          </w:rPr>
          <w:t>النظريّة الثانية</w:t>
        </w:r>
      </w:hyperlink>
    </w:p>
    <w:p w14:paraId="4BADCB07" w14:textId="6ACF2588" w:rsidR="008253E6" w:rsidRPr="008253E6" w:rsidRDefault="008253E6" w:rsidP="008253E6">
      <w:pPr>
        <w:pStyle w:val="TOC2"/>
        <w:tabs>
          <w:tab w:val="right" w:leader="dot" w:pos="7461"/>
        </w:tabs>
        <w:bidi/>
        <w:jc w:val="center"/>
        <w:rPr>
          <w:rFonts w:ascii="Mosawi" w:eastAsiaTheme="minorEastAsia" w:hAnsi="Mosawi" w:cs="Mosawi"/>
          <w:b w:val="0"/>
          <w:bCs w:val="0"/>
          <w:noProof/>
          <w:kern w:val="2"/>
          <w:sz w:val="24"/>
          <w14:ligatures w14:val="standardContextual"/>
        </w:rPr>
      </w:pPr>
      <w:hyperlink w:anchor="_Toc238123301" w:history="1">
        <w:r w:rsidRPr="008253E6">
          <w:rPr>
            <w:rStyle w:val="Hyperlink"/>
            <w:rFonts w:ascii="Mosawi" w:hAnsi="Mosawi" w:cs="Mosawi"/>
            <w:noProof/>
            <w:sz w:val="24"/>
            <w:rtl/>
          </w:rPr>
          <w:t>نظريّة عدم شرعيّة الثورة غير السلميّة ضدّ الأنظمة الفاسدة</w:t>
        </w:r>
      </w:hyperlink>
    </w:p>
    <w:p w14:paraId="655296B2" w14:textId="7F94072B"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302" w:history="1">
        <w:r w:rsidRPr="008253E6">
          <w:rPr>
            <w:rStyle w:val="Hyperlink"/>
            <w:rFonts w:ascii="Mosawi" w:hAnsi="Mosawi" w:cs="Mosawi"/>
            <w:noProof/>
            <w:sz w:val="24"/>
            <w:rtl/>
          </w:rPr>
          <w:t>تمهيد</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_Toc238123302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159</w:t>
        </w:r>
        <w:r w:rsidRPr="008253E6">
          <w:rPr>
            <w:rFonts w:ascii="Mosawi" w:hAnsi="Mosawi" w:cs="Mosawi"/>
            <w:noProof/>
            <w:webHidden/>
            <w:sz w:val="24"/>
          </w:rPr>
          <w:fldChar w:fldCharType="end"/>
        </w:r>
      </w:hyperlink>
    </w:p>
    <w:p w14:paraId="2C6C0B9F" w14:textId="7F41F506"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303" w:history="1">
        <w:r w:rsidRPr="008253E6">
          <w:rPr>
            <w:rStyle w:val="Hyperlink"/>
            <w:rFonts w:ascii="Mosawi" w:hAnsi="Mosawi" w:cs="Mosawi"/>
            <w:noProof/>
            <w:sz w:val="24"/>
            <w:rtl/>
          </w:rPr>
          <w:t>1 ـ نظريّة التحريم انطلاقاً من لزوم طاعة مطلق الحاكم، الأدلّة والملاحظات</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_Toc238123303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160</w:t>
        </w:r>
        <w:r w:rsidRPr="008253E6">
          <w:rPr>
            <w:rFonts w:ascii="Mosawi" w:hAnsi="Mosawi" w:cs="Mosawi"/>
            <w:noProof/>
            <w:webHidden/>
            <w:sz w:val="24"/>
          </w:rPr>
          <w:fldChar w:fldCharType="end"/>
        </w:r>
      </w:hyperlink>
    </w:p>
    <w:p w14:paraId="4806AE40" w14:textId="64220CF0"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304" w:history="1">
        <w:r w:rsidRPr="008253E6">
          <w:rPr>
            <w:rStyle w:val="Hyperlink"/>
            <w:rFonts w:ascii="Mosawi" w:hAnsi="Mosawi" w:cs="Mosawi"/>
            <w:noProof/>
            <w:sz w:val="24"/>
            <w:rtl/>
          </w:rPr>
          <w:t>1 ـ 1 ـ النصوص الحديثيّة والتأسيس للطاعة المطلقة للحكّام، عرض وتحليل وتعليق</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_Toc238123304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160</w:t>
        </w:r>
        <w:r w:rsidRPr="008253E6">
          <w:rPr>
            <w:rFonts w:ascii="Mosawi" w:hAnsi="Mosawi" w:cs="Mosawi"/>
            <w:noProof/>
            <w:webHidden/>
            <w:sz w:val="24"/>
          </w:rPr>
          <w:fldChar w:fldCharType="end"/>
        </w:r>
      </w:hyperlink>
    </w:p>
    <w:p w14:paraId="43579EC6" w14:textId="71C8C74E"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305" w:history="1">
        <w:r w:rsidRPr="008253E6">
          <w:rPr>
            <w:rStyle w:val="Hyperlink"/>
            <w:rFonts w:ascii="Mosawi" w:hAnsi="Mosawi" w:cs="Mosawi"/>
            <w:noProof/>
            <w:sz w:val="24"/>
            <w:rtl/>
          </w:rPr>
          <w:t>1 ـ 2 ـ مرجعيّتا: الإجماع وهتك الحرمات في تأسيس الطاعة المطلقة للحكّام</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_Toc238123305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173</w:t>
        </w:r>
        <w:r w:rsidRPr="008253E6">
          <w:rPr>
            <w:rFonts w:ascii="Mosawi" w:hAnsi="Mosawi" w:cs="Mosawi"/>
            <w:noProof/>
            <w:webHidden/>
            <w:sz w:val="24"/>
          </w:rPr>
          <w:fldChar w:fldCharType="end"/>
        </w:r>
      </w:hyperlink>
    </w:p>
    <w:p w14:paraId="1372DD63" w14:textId="267E1DAE"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306" w:history="1">
        <w:r w:rsidRPr="008253E6">
          <w:rPr>
            <w:rStyle w:val="Hyperlink"/>
            <w:rFonts w:ascii="Mosawi" w:hAnsi="Mosawi" w:cs="Mosawi"/>
            <w:noProof/>
            <w:sz w:val="24"/>
            <w:rtl/>
          </w:rPr>
          <w:t>1 ـ 3 ـ وقفات نقديّة حول توظيف الروايات والإجماع و.. لتكريس الطاعة المطلقة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_Toc238123306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175</w:t>
        </w:r>
        <w:r w:rsidRPr="008253E6">
          <w:rPr>
            <w:rFonts w:ascii="Mosawi" w:hAnsi="Mosawi" w:cs="Mosawi"/>
            <w:noProof/>
            <w:webHidden/>
            <w:sz w:val="24"/>
          </w:rPr>
          <w:fldChar w:fldCharType="end"/>
        </w:r>
      </w:hyperlink>
    </w:p>
    <w:p w14:paraId="38A3CF12" w14:textId="3305EDFA"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307" w:history="1">
        <w:r w:rsidRPr="008253E6">
          <w:rPr>
            <w:rStyle w:val="Hyperlink"/>
            <w:rFonts w:ascii="Mosawi" w:hAnsi="Mosawi" w:cs="Mosawi"/>
            <w:noProof/>
            <w:sz w:val="24"/>
            <w:rtl/>
          </w:rPr>
          <w:t>1 ـ 3 ـ 1 ـ علاقة التخصيص والتقييد بين النصوص المانعة والمرخّصة في الثورة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_Toc238123307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175</w:t>
        </w:r>
        <w:r w:rsidRPr="008253E6">
          <w:rPr>
            <w:rFonts w:ascii="Mosawi" w:hAnsi="Mosawi" w:cs="Mosawi"/>
            <w:noProof/>
            <w:webHidden/>
            <w:sz w:val="24"/>
          </w:rPr>
          <w:fldChar w:fldCharType="end"/>
        </w:r>
      </w:hyperlink>
    </w:p>
    <w:p w14:paraId="7F4BB08A" w14:textId="38041D86"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308" w:history="1">
        <w:r w:rsidRPr="008253E6">
          <w:rPr>
            <w:rStyle w:val="Hyperlink"/>
            <w:rFonts w:ascii="Mosawi" w:hAnsi="Mosawi" w:cs="Mosawi"/>
            <w:noProof/>
            <w:sz w:val="24"/>
            <w:rtl/>
          </w:rPr>
          <w:t>1 ـ 3 ـ 2 ـ إضعاف قوّة الدلالة في النصوص من خلال فهم وتجربة الصحابة و..</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_Toc238123308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175</w:t>
        </w:r>
        <w:r w:rsidRPr="008253E6">
          <w:rPr>
            <w:rFonts w:ascii="Mosawi" w:hAnsi="Mosawi" w:cs="Mosawi"/>
            <w:noProof/>
            <w:webHidden/>
            <w:sz w:val="24"/>
          </w:rPr>
          <w:fldChar w:fldCharType="end"/>
        </w:r>
      </w:hyperlink>
    </w:p>
    <w:p w14:paraId="15C09785" w14:textId="7E93B791"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309" w:history="1">
        <w:r w:rsidRPr="008253E6">
          <w:rPr>
            <w:rStyle w:val="Hyperlink"/>
            <w:rFonts w:ascii="Mosawi" w:hAnsi="Mosawi" w:cs="Mosawi"/>
            <w:noProof/>
            <w:sz w:val="24"/>
            <w:rtl/>
          </w:rPr>
          <w:t>1 ـ 3 ـ 3 ـ وقفةٌ نقديّة مع ادّعاء الإجماع في موضوعٍ خلافيّ بامتياز!</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_Toc238123309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176</w:t>
        </w:r>
        <w:r w:rsidRPr="008253E6">
          <w:rPr>
            <w:rFonts w:ascii="Mosawi" w:hAnsi="Mosawi" w:cs="Mosawi"/>
            <w:noProof/>
            <w:webHidden/>
            <w:sz w:val="24"/>
          </w:rPr>
          <w:fldChar w:fldCharType="end"/>
        </w:r>
      </w:hyperlink>
    </w:p>
    <w:p w14:paraId="188186AF" w14:textId="15EE3C64"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310" w:history="1">
        <w:r w:rsidRPr="008253E6">
          <w:rPr>
            <w:rStyle w:val="Hyperlink"/>
            <w:rFonts w:ascii="Mosawi" w:hAnsi="Mosawi" w:cs="Mosawi"/>
            <w:noProof/>
            <w:sz w:val="24"/>
            <w:rtl/>
          </w:rPr>
          <w:t>1 ـ 3 ـ 4 ـ وقفة نقديّة مع منطلقات فقه المصلحة في تحريم الخروج مطلقاً</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_Toc238123310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178</w:t>
        </w:r>
        <w:r w:rsidRPr="008253E6">
          <w:rPr>
            <w:rFonts w:ascii="Mosawi" w:hAnsi="Mosawi" w:cs="Mosawi"/>
            <w:noProof/>
            <w:webHidden/>
            <w:sz w:val="24"/>
          </w:rPr>
          <w:fldChar w:fldCharType="end"/>
        </w:r>
      </w:hyperlink>
    </w:p>
    <w:p w14:paraId="3C18B859" w14:textId="6E1784CF"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311" w:history="1">
        <w:r w:rsidRPr="008253E6">
          <w:rPr>
            <w:rStyle w:val="Hyperlink"/>
            <w:rFonts w:ascii="Mosawi" w:hAnsi="Mosawi" w:cs="Mosawi"/>
            <w:noProof/>
            <w:sz w:val="24"/>
            <w:rtl/>
          </w:rPr>
          <w:t>1 ـ 3 ـ 5 ـ تطبيق مقولة نسخ التحريم بنصوص الجهاد، نقدُ رأيِ ابن حزم الأندلسي</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_Toc238123311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179</w:t>
        </w:r>
        <w:r w:rsidRPr="008253E6">
          <w:rPr>
            <w:rFonts w:ascii="Mosawi" w:hAnsi="Mosawi" w:cs="Mosawi"/>
            <w:noProof/>
            <w:webHidden/>
            <w:sz w:val="24"/>
          </w:rPr>
          <w:fldChar w:fldCharType="end"/>
        </w:r>
      </w:hyperlink>
    </w:p>
    <w:p w14:paraId="1B6500D5" w14:textId="48479E41"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312" w:history="1">
        <w:r w:rsidRPr="008253E6">
          <w:rPr>
            <w:rStyle w:val="Hyperlink"/>
            <w:rFonts w:ascii="Mosawi" w:hAnsi="Mosawi" w:cs="Mosawi"/>
            <w:noProof/>
            <w:sz w:val="24"/>
            <w:rtl/>
          </w:rPr>
          <w:t>1 ـ 3 ـ 6 ـ توليفة ملاحظات تُضعف الوثوق بنصوص التحريم المطلق</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_Toc238123312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180</w:t>
        </w:r>
        <w:r w:rsidRPr="008253E6">
          <w:rPr>
            <w:rFonts w:ascii="Mosawi" w:hAnsi="Mosawi" w:cs="Mosawi"/>
            <w:noProof/>
            <w:webHidden/>
            <w:sz w:val="24"/>
          </w:rPr>
          <w:fldChar w:fldCharType="end"/>
        </w:r>
      </w:hyperlink>
    </w:p>
    <w:p w14:paraId="0CDD9E55" w14:textId="5152DDA5"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313" w:history="1">
        <w:r w:rsidRPr="008253E6">
          <w:rPr>
            <w:rStyle w:val="Hyperlink"/>
            <w:rFonts w:ascii="Mosawi" w:hAnsi="Mosawi" w:cs="Mosawi"/>
            <w:noProof/>
            <w:sz w:val="24"/>
            <w:rtl/>
          </w:rPr>
          <w:t>نتيجة البحث في حرمة الخروج على الحاكم مطلقاً ولزوم الطاعة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_Toc238123313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182</w:t>
        </w:r>
        <w:r w:rsidRPr="008253E6">
          <w:rPr>
            <w:rFonts w:ascii="Mosawi" w:hAnsi="Mosawi" w:cs="Mosawi"/>
            <w:noProof/>
            <w:webHidden/>
            <w:sz w:val="24"/>
          </w:rPr>
          <w:fldChar w:fldCharType="end"/>
        </w:r>
      </w:hyperlink>
    </w:p>
    <w:p w14:paraId="2D0FEA23" w14:textId="76712F9A" w:rsidR="008253E6" w:rsidRPr="008253E6" w:rsidRDefault="008253E6" w:rsidP="008253E6">
      <w:pPr>
        <w:pStyle w:val="TOC2"/>
        <w:tabs>
          <w:tab w:val="right" w:leader="dot" w:pos="7461"/>
        </w:tabs>
        <w:bidi/>
        <w:rPr>
          <w:rFonts w:ascii="Mosawi" w:eastAsiaTheme="minorEastAsia" w:hAnsi="Mosawi" w:cs="Mosawi"/>
          <w:b w:val="0"/>
          <w:bCs w:val="0"/>
          <w:noProof/>
          <w:kern w:val="2"/>
          <w:sz w:val="24"/>
          <w14:ligatures w14:val="standardContextual"/>
        </w:rPr>
      </w:pPr>
      <w:hyperlink w:anchor="_Toc238123314" w:history="1">
        <w:r w:rsidRPr="008253E6">
          <w:rPr>
            <w:rStyle w:val="Hyperlink"/>
            <w:rFonts w:ascii="Mosawi" w:hAnsi="Mosawi" w:cs="Mosawi"/>
            <w:noProof/>
            <w:sz w:val="24"/>
            <w:rtl/>
          </w:rPr>
          <w:t>2 ـ نظريّة حرمة الخروج في عصر الغيبة، الأدلّة والمداخلات</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_Toc238123314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182</w:t>
        </w:r>
        <w:r w:rsidRPr="008253E6">
          <w:rPr>
            <w:rFonts w:ascii="Mosawi" w:hAnsi="Mosawi" w:cs="Mosawi"/>
            <w:noProof/>
            <w:webHidden/>
            <w:sz w:val="24"/>
          </w:rPr>
          <w:fldChar w:fldCharType="end"/>
        </w:r>
      </w:hyperlink>
    </w:p>
    <w:p w14:paraId="56961096" w14:textId="6E4CD5DD"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315" w:history="1">
        <w:r w:rsidRPr="008253E6">
          <w:rPr>
            <w:rStyle w:val="Hyperlink"/>
            <w:rFonts w:ascii="Mosawi" w:hAnsi="Mosawi" w:cs="Mosawi"/>
            <w:noProof/>
            <w:sz w:val="24"/>
            <w:rtl/>
          </w:rPr>
          <w:t>2 ـ 1 ـ نصوص حرمة الخروج في عصر الغَيبة أو قبل قيام الإمام المهدي</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_Toc238123315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182</w:t>
        </w:r>
        <w:r w:rsidRPr="008253E6">
          <w:rPr>
            <w:rFonts w:ascii="Mosawi" w:hAnsi="Mosawi" w:cs="Mosawi"/>
            <w:noProof/>
            <w:webHidden/>
            <w:sz w:val="24"/>
          </w:rPr>
          <w:fldChar w:fldCharType="end"/>
        </w:r>
      </w:hyperlink>
    </w:p>
    <w:p w14:paraId="56073C75" w14:textId="10EBBB8A"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316" w:history="1">
        <w:r w:rsidRPr="008253E6">
          <w:rPr>
            <w:rStyle w:val="Hyperlink"/>
            <w:rFonts w:ascii="Mosawi" w:hAnsi="Mosawi" w:cs="Mosawi"/>
            <w:noProof/>
            <w:sz w:val="24"/>
            <w:rtl/>
          </w:rPr>
          <w:t>2 ـ 1 ـ 1 ـ التحليل التفكيكي التجزيئي لنصوص المنع عن الثورة في عصر الغَيبة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_Toc238123316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183</w:t>
        </w:r>
        <w:r w:rsidRPr="008253E6">
          <w:rPr>
            <w:rFonts w:ascii="Mosawi" w:hAnsi="Mosawi" w:cs="Mosawi"/>
            <w:noProof/>
            <w:webHidden/>
            <w:sz w:val="24"/>
          </w:rPr>
          <w:fldChar w:fldCharType="end"/>
        </w:r>
      </w:hyperlink>
    </w:p>
    <w:p w14:paraId="6EA738E8" w14:textId="45643917"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317" w:history="1">
        <w:r w:rsidRPr="008253E6">
          <w:rPr>
            <w:rStyle w:val="Hyperlink"/>
            <w:rFonts w:ascii="Mosawi" w:hAnsi="Mosawi" w:cs="Mosawi"/>
            <w:noProof/>
            <w:sz w:val="24"/>
            <w:rtl/>
          </w:rPr>
          <w:t>حول البعد التاريخي لرواية العِيص المشهورة وملابسات ظهور اسم السفياني فيها</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_Toc238123317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184</w:t>
        </w:r>
        <w:r w:rsidRPr="008253E6">
          <w:rPr>
            <w:rFonts w:ascii="Mosawi" w:hAnsi="Mosawi" w:cs="Mosawi"/>
            <w:noProof/>
            <w:webHidden/>
            <w:sz w:val="24"/>
          </w:rPr>
          <w:fldChar w:fldCharType="end"/>
        </w:r>
      </w:hyperlink>
    </w:p>
    <w:p w14:paraId="203F0568" w14:textId="5A729F54"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318" w:history="1">
        <w:r w:rsidRPr="008253E6">
          <w:rPr>
            <w:rStyle w:val="Hyperlink"/>
            <w:rFonts w:ascii="Mosawi" w:hAnsi="Mosawi" w:cs="Mosawi"/>
            <w:noProof/>
            <w:sz w:val="24"/>
            <w:rtl/>
          </w:rPr>
          <w:t>وقفات نقاش مع المنتظري والحائري والآصفي في رواية سدير المشهورة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_Toc238123318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188</w:t>
        </w:r>
        <w:r w:rsidRPr="008253E6">
          <w:rPr>
            <w:rFonts w:ascii="Mosawi" w:hAnsi="Mosawi" w:cs="Mosawi"/>
            <w:noProof/>
            <w:webHidden/>
            <w:sz w:val="24"/>
          </w:rPr>
          <w:fldChar w:fldCharType="end"/>
        </w:r>
      </w:hyperlink>
    </w:p>
    <w:p w14:paraId="2CBF3AA1" w14:textId="005C8496"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319" w:history="1">
        <w:r w:rsidRPr="008253E6">
          <w:rPr>
            <w:rStyle w:val="Hyperlink"/>
            <w:rFonts w:ascii="Mosawi" w:hAnsi="Mosawi" w:cs="Mosawi"/>
            <w:noProof/>
            <w:sz w:val="24"/>
            <w:rtl/>
          </w:rPr>
          <w:t>وقفة مع روايات توصيف الخروج بالفرخ الطائر الواقع من وكره، دلالات ومعانٍ</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_Toc238123319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191</w:t>
        </w:r>
        <w:r w:rsidRPr="008253E6">
          <w:rPr>
            <w:rFonts w:ascii="Mosawi" w:hAnsi="Mosawi" w:cs="Mosawi"/>
            <w:noProof/>
            <w:webHidden/>
            <w:sz w:val="24"/>
          </w:rPr>
          <w:fldChar w:fldCharType="end"/>
        </w:r>
      </w:hyperlink>
    </w:p>
    <w:p w14:paraId="3F38EFC8" w14:textId="4060488C"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320" w:history="1">
        <w:r w:rsidRPr="008253E6">
          <w:rPr>
            <w:rStyle w:val="Hyperlink"/>
            <w:rFonts w:ascii="Mosawi" w:hAnsi="Mosawi" w:cs="Mosawi"/>
            <w:noProof/>
            <w:sz w:val="24"/>
            <w:rtl/>
          </w:rPr>
          <w:t>مع رواية "الغبرة على من أثارها" والنهي عن الاستعجال</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_Toc238123320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194</w:t>
        </w:r>
        <w:r w:rsidRPr="008253E6">
          <w:rPr>
            <w:rFonts w:ascii="Mosawi" w:hAnsi="Mosawi" w:cs="Mosawi"/>
            <w:noProof/>
            <w:webHidden/>
            <w:sz w:val="24"/>
          </w:rPr>
          <w:fldChar w:fldCharType="end"/>
        </w:r>
      </w:hyperlink>
    </w:p>
    <w:p w14:paraId="06539577" w14:textId="519C53E0"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321" w:history="1">
        <w:r w:rsidRPr="008253E6">
          <w:rPr>
            <w:rStyle w:val="Hyperlink"/>
            <w:rFonts w:ascii="Mosawi" w:hAnsi="Mosawi" w:cs="Mosawi"/>
            <w:noProof/>
            <w:sz w:val="24"/>
            <w:rtl/>
          </w:rPr>
          <w:t>موقف الإمام الصادق من كتاب أبي مسلم الخراساني ودلالاته</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_Toc238123321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195</w:t>
        </w:r>
        <w:r w:rsidRPr="008253E6">
          <w:rPr>
            <w:rFonts w:ascii="Mosawi" w:hAnsi="Mosawi" w:cs="Mosawi"/>
            <w:noProof/>
            <w:webHidden/>
            <w:sz w:val="24"/>
          </w:rPr>
          <w:fldChar w:fldCharType="end"/>
        </w:r>
      </w:hyperlink>
    </w:p>
    <w:p w14:paraId="4F99A67C" w14:textId="4A08CBF2"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322" w:history="1">
        <w:r w:rsidRPr="008253E6">
          <w:rPr>
            <w:rStyle w:val="Hyperlink"/>
            <w:rFonts w:ascii="Mosawi" w:hAnsi="Mosawi" w:cs="Mosawi"/>
            <w:noProof/>
            <w:sz w:val="24"/>
            <w:rtl/>
          </w:rPr>
          <w:t>تأمّلات فاحصة في "كلّ راية قبل المهديّ فهي راية ضلال وطاغوت"</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_Toc238123322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199</w:t>
        </w:r>
        <w:r w:rsidRPr="008253E6">
          <w:rPr>
            <w:rFonts w:ascii="Mosawi" w:hAnsi="Mosawi" w:cs="Mosawi"/>
            <w:noProof/>
            <w:webHidden/>
            <w:sz w:val="24"/>
          </w:rPr>
          <w:fldChar w:fldCharType="end"/>
        </w:r>
      </w:hyperlink>
    </w:p>
    <w:p w14:paraId="5494BBFC" w14:textId="57CB442B"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323" w:history="1">
        <w:r w:rsidRPr="008253E6">
          <w:rPr>
            <w:rStyle w:val="Hyperlink"/>
            <w:rFonts w:ascii="Mosawi" w:hAnsi="Mosawi" w:cs="Mosawi"/>
            <w:noProof/>
            <w:sz w:val="24"/>
            <w:rtl/>
          </w:rPr>
          <w:t>موقف الإمام الصادق من كتُب جماعةٍ من الثوريّين زمان ظهور المسوِّدة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_Toc238123323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206</w:t>
        </w:r>
        <w:r w:rsidRPr="008253E6">
          <w:rPr>
            <w:rFonts w:ascii="Mosawi" w:hAnsi="Mosawi" w:cs="Mosawi"/>
            <w:noProof/>
            <w:webHidden/>
            <w:sz w:val="24"/>
          </w:rPr>
          <w:fldChar w:fldCharType="end"/>
        </w:r>
      </w:hyperlink>
    </w:p>
    <w:p w14:paraId="68FCA3B0" w14:textId="097F6A02"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324" w:history="1">
        <w:r w:rsidRPr="008253E6">
          <w:rPr>
            <w:rStyle w:val="Hyperlink"/>
            <w:rFonts w:ascii="Mosawi" w:hAnsi="Mosawi" w:cs="Mosawi"/>
            <w:noProof/>
            <w:sz w:val="24"/>
            <w:rtl/>
          </w:rPr>
          <w:t>وقفات مع الحائري والمنتظري و.. في رفض الثورة قبل "العلامات"</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_Toc238123324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213</w:t>
        </w:r>
        <w:r w:rsidRPr="008253E6">
          <w:rPr>
            <w:rFonts w:ascii="Mosawi" w:hAnsi="Mosawi" w:cs="Mosawi"/>
            <w:noProof/>
            <w:webHidden/>
            <w:sz w:val="24"/>
          </w:rPr>
          <w:fldChar w:fldCharType="end"/>
        </w:r>
      </w:hyperlink>
    </w:p>
    <w:p w14:paraId="3F207B6B" w14:textId="7B2ABEC3"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325" w:history="1">
        <w:r w:rsidRPr="008253E6">
          <w:rPr>
            <w:rStyle w:val="Hyperlink"/>
            <w:rFonts w:ascii="Mosawi" w:hAnsi="Mosawi" w:cs="Mosawi"/>
            <w:noProof/>
            <w:sz w:val="24"/>
            <w:rtl/>
          </w:rPr>
          <w:t>وقفات مختصرة دلاليّة وإسناديّة مع خبر الصحيفة السجّادية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_Toc238123325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221</w:t>
        </w:r>
        <w:r w:rsidRPr="008253E6">
          <w:rPr>
            <w:rFonts w:ascii="Mosawi" w:hAnsi="Mosawi" w:cs="Mosawi"/>
            <w:noProof/>
            <w:webHidden/>
            <w:sz w:val="24"/>
          </w:rPr>
          <w:fldChar w:fldCharType="end"/>
        </w:r>
      </w:hyperlink>
    </w:p>
    <w:p w14:paraId="5C2B8199" w14:textId="43FDCBBE"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326" w:history="1">
        <w:r w:rsidRPr="008253E6">
          <w:rPr>
            <w:rStyle w:val="Hyperlink"/>
            <w:rFonts w:ascii="Mosawi" w:hAnsi="Mosawi" w:cs="Mosawi"/>
            <w:noProof/>
            <w:sz w:val="24"/>
            <w:rtl/>
          </w:rPr>
          <w:t>مع رواية "نار آذربيجان" في دلالاتها وتطبيقاتها التاريخيّة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_Toc238123326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225</w:t>
        </w:r>
        <w:r w:rsidRPr="008253E6">
          <w:rPr>
            <w:rFonts w:ascii="Mosawi" w:hAnsi="Mosawi" w:cs="Mosawi"/>
            <w:noProof/>
            <w:webHidden/>
            <w:sz w:val="24"/>
          </w:rPr>
          <w:fldChar w:fldCharType="end"/>
        </w:r>
      </w:hyperlink>
    </w:p>
    <w:p w14:paraId="0C17C099" w14:textId="4FD3D03A" w:rsidR="008253E6" w:rsidRPr="008253E6" w:rsidRDefault="008253E6" w:rsidP="008253E6">
      <w:pPr>
        <w:pStyle w:val="TOC4"/>
        <w:tabs>
          <w:tab w:val="right" w:leader="dot" w:pos="7461"/>
        </w:tabs>
        <w:bidi/>
        <w:rPr>
          <w:rFonts w:ascii="Mosawi" w:eastAsiaTheme="minorEastAsia" w:hAnsi="Mosawi" w:cs="Mosawi"/>
          <w:noProof/>
          <w:kern w:val="2"/>
          <w:sz w:val="24"/>
          <w14:ligatures w14:val="standardContextual"/>
        </w:rPr>
      </w:pPr>
      <w:hyperlink w:anchor="_Toc238123327" w:history="1">
        <w:r w:rsidRPr="008253E6">
          <w:rPr>
            <w:rStyle w:val="Hyperlink"/>
            <w:rFonts w:ascii="Mosawi" w:hAnsi="Mosawi" w:cs="Mosawi"/>
            <w:noProof/>
            <w:sz w:val="24"/>
            <w:rtl/>
          </w:rPr>
          <w:t>2 ـ 1 ـ 2 ـ التقويم الإجمالي لنصوص التحريم، وحلول مشكلة التعارض</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_Toc238123327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229</w:t>
        </w:r>
        <w:r w:rsidRPr="008253E6">
          <w:rPr>
            <w:rFonts w:ascii="Mosawi" w:hAnsi="Mosawi" w:cs="Mosawi"/>
            <w:noProof/>
            <w:webHidden/>
            <w:sz w:val="24"/>
          </w:rPr>
          <w:fldChar w:fldCharType="end"/>
        </w:r>
      </w:hyperlink>
    </w:p>
    <w:p w14:paraId="06446449" w14:textId="62576E93" w:rsidR="008253E6" w:rsidRPr="008253E6" w:rsidRDefault="008253E6" w:rsidP="008253E6">
      <w:pPr>
        <w:pStyle w:val="TOC5"/>
        <w:rPr>
          <w:rFonts w:eastAsiaTheme="minorEastAsia"/>
          <w:kern w:val="2"/>
          <w:sz w:val="24"/>
          <w:szCs w:val="24"/>
          <w14:ligatures w14:val="standardContextual"/>
        </w:rPr>
      </w:pPr>
      <w:hyperlink w:anchor="_Toc238123328" w:history="1">
        <w:r w:rsidRPr="008253E6">
          <w:rPr>
            <w:rStyle w:val="Hyperlink"/>
            <w:rFonts w:cs="Mosawi"/>
            <w:sz w:val="24"/>
            <w:szCs w:val="24"/>
            <w:rtl/>
          </w:rPr>
          <w:t>الحلّ الأوّل: التمييز بالتحقيب الزمني (العصر العباسي) أو بفرص النجاح وعدمها</w:t>
        </w:r>
        <w:r w:rsidRPr="008253E6">
          <w:rPr>
            <w:webHidden/>
            <w:sz w:val="24"/>
            <w:szCs w:val="24"/>
          </w:rPr>
          <w:tab/>
        </w:r>
        <w:r w:rsidRPr="008253E6">
          <w:rPr>
            <w:webHidden/>
            <w:sz w:val="24"/>
            <w:szCs w:val="24"/>
          </w:rPr>
          <w:fldChar w:fldCharType="begin"/>
        </w:r>
        <w:r w:rsidRPr="008253E6">
          <w:rPr>
            <w:webHidden/>
            <w:sz w:val="24"/>
            <w:szCs w:val="24"/>
          </w:rPr>
          <w:instrText xml:space="preserve"> PAGEREF _Toc238123328 \h </w:instrText>
        </w:r>
        <w:r w:rsidRPr="008253E6">
          <w:rPr>
            <w:webHidden/>
            <w:sz w:val="24"/>
            <w:szCs w:val="24"/>
          </w:rPr>
        </w:r>
        <w:r w:rsidRPr="008253E6">
          <w:rPr>
            <w:webHidden/>
            <w:sz w:val="24"/>
            <w:szCs w:val="24"/>
          </w:rPr>
          <w:fldChar w:fldCharType="separate"/>
        </w:r>
        <w:r w:rsidRPr="008253E6">
          <w:rPr>
            <w:webHidden/>
            <w:sz w:val="24"/>
            <w:szCs w:val="24"/>
          </w:rPr>
          <w:t>231</w:t>
        </w:r>
        <w:r w:rsidRPr="008253E6">
          <w:rPr>
            <w:webHidden/>
            <w:sz w:val="24"/>
            <w:szCs w:val="24"/>
          </w:rPr>
          <w:fldChar w:fldCharType="end"/>
        </w:r>
      </w:hyperlink>
    </w:p>
    <w:p w14:paraId="08C7E890" w14:textId="7A2E29BE" w:rsidR="008253E6" w:rsidRPr="008253E6" w:rsidRDefault="008253E6" w:rsidP="008253E6">
      <w:pPr>
        <w:pStyle w:val="TOC5"/>
        <w:rPr>
          <w:rFonts w:eastAsiaTheme="minorEastAsia"/>
          <w:kern w:val="2"/>
          <w:sz w:val="24"/>
          <w:szCs w:val="24"/>
          <w14:ligatures w14:val="standardContextual"/>
        </w:rPr>
      </w:pPr>
      <w:hyperlink w:anchor="_Toc238123329" w:history="1">
        <w:r w:rsidRPr="008253E6">
          <w:rPr>
            <w:rStyle w:val="Hyperlink"/>
            <w:rFonts w:cs="Mosawi"/>
            <w:sz w:val="24"/>
            <w:szCs w:val="24"/>
            <w:rtl/>
          </w:rPr>
          <w:t>الحلّ الثاني: حمل نصوص النهي عن الثورات على التقية، تحليل وتعليق</w:t>
        </w:r>
        <w:r w:rsidRPr="008253E6">
          <w:rPr>
            <w:webHidden/>
            <w:sz w:val="24"/>
            <w:szCs w:val="24"/>
          </w:rPr>
          <w:tab/>
        </w:r>
        <w:r w:rsidRPr="008253E6">
          <w:rPr>
            <w:webHidden/>
            <w:sz w:val="24"/>
            <w:szCs w:val="24"/>
          </w:rPr>
          <w:fldChar w:fldCharType="begin"/>
        </w:r>
        <w:r w:rsidRPr="008253E6">
          <w:rPr>
            <w:webHidden/>
            <w:sz w:val="24"/>
            <w:szCs w:val="24"/>
          </w:rPr>
          <w:instrText xml:space="preserve"> PAGEREF _Toc238123329 \h </w:instrText>
        </w:r>
        <w:r w:rsidRPr="008253E6">
          <w:rPr>
            <w:webHidden/>
            <w:sz w:val="24"/>
            <w:szCs w:val="24"/>
          </w:rPr>
        </w:r>
        <w:r w:rsidRPr="008253E6">
          <w:rPr>
            <w:webHidden/>
            <w:sz w:val="24"/>
            <w:szCs w:val="24"/>
          </w:rPr>
          <w:fldChar w:fldCharType="separate"/>
        </w:r>
        <w:r w:rsidRPr="008253E6">
          <w:rPr>
            <w:webHidden/>
            <w:sz w:val="24"/>
            <w:szCs w:val="24"/>
          </w:rPr>
          <w:t>231</w:t>
        </w:r>
        <w:r w:rsidRPr="008253E6">
          <w:rPr>
            <w:webHidden/>
            <w:sz w:val="24"/>
            <w:szCs w:val="24"/>
          </w:rPr>
          <w:fldChar w:fldCharType="end"/>
        </w:r>
      </w:hyperlink>
    </w:p>
    <w:p w14:paraId="78319DF2" w14:textId="399174F9" w:rsidR="008253E6" w:rsidRPr="008253E6" w:rsidRDefault="008253E6" w:rsidP="008253E6">
      <w:pPr>
        <w:pStyle w:val="TOC5"/>
        <w:rPr>
          <w:rFonts w:eastAsiaTheme="minorEastAsia"/>
          <w:kern w:val="2"/>
          <w:sz w:val="24"/>
          <w:szCs w:val="24"/>
          <w14:ligatures w14:val="standardContextual"/>
        </w:rPr>
      </w:pPr>
      <w:hyperlink w:anchor="_Toc238123330" w:history="1">
        <w:r w:rsidRPr="008253E6">
          <w:rPr>
            <w:rStyle w:val="Hyperlink"/>
            <w:rFonts w:cs="Mosawi"/>
            <w:sz w:val="24"/>
            <w:szCs w:val="24"/>
            <w:rtl/>
          </w:rPr>
          <w:t>الحلّ الثالث: إجراء قانون التخصيص والتقييد، مداخلات وردود ومناقشات</w:t>
        </w:r>
        <w:r w:rsidRPr="008253E6">
          <w:rPr>
            <w:webHidden/>
            <w:sz w:val="24"/>
            <w:szCs w:val="24"/>
          </w:rPr>
          <w:tab/>
        </w:r>
        <w:r w:rsidRPr="008253E6">
          <w:rPr>
            <w:webHidden/>
            <w:sz w:val="24"/>
            <w:szCs w:val="24"/>
          </w:rPr>
          <w:fldChar w:fldCharType="begin"/>
        </w:r>
        <w:r w:rsidRPr="008253E6">
          <w:rPr>
            <w:webHidden/>
            <w:sz w:val="24"/>
            <w:szCs w:val="24"/>
          </w:rPr>
          <w:instrText xml:space="preserve"> PAGEREF _Toc238123330 \h </w:instrText>
        </w:r>
        <w:r w:rsidRPr="008253E6">
          <w:rPr>
            <w:webHidden/>
            <w:sz w:val="24"/>
            <w:szCs w:val="24"/>
          </w:rPr>
        </w:r>
        <w:r w:rsidRPr="008253E6">
          <w:rPr>
            <w:webHidden/>
            <w:sz w:val="24"/>
            <w:szCs w:val="24"/>
          </w:rPr>
          <w:fldChar w:fldCharType="separate"/>
        </w:r>
        <w:r w:rsidRPr="008253E6">
          <w:rPr>
            <w:webHidden/>
            <w:sz w:val="24"/>
            <w:szCs w:val="24"/>
          </w:rPr>
          <w:t>232</w:t>
        </w:r>
        <w:r w:rsidRPr="008253E6">
          <w:rPr>
            <w:webHidden/>
            <w:sz w:val="24"/>
            <w:szCs w:val="24"/>
          </w:rPr>
          <w:fldChar w:fldCharType="end"/>
        </w:r>
      </w:hyperlink>
    </w:p>
    <w:p w14:paraId="2285519D" w14:textId="11EF5991" w:rsidR="008253E6" w:rsidRPr="008253E6" w:rsidRDefault="008253E6" w:rsidP="008253E6">
      <w:pPr>
        <w:pStyle w:val="TOC5"/>
        <w:rPr>
          <w:rFonts w:eastAsiaTheme="minorEastAsia"/>
          <w:kern w:val="2"/>
          <w:sz w:val="24"/>
          <w:szCs w:val="24"/>
          <w14:ligatures w14:val="standardContextual"/>
        </w:rPr>
      </w:pPr>
      <w:hyperlink w:anchor="_Toc238123331" w:history="1">
        <w:r w:rsidRPr="008253E6">
          <w:rPr>
            <w:rStyle w:val="Hyperlink"/>
            <w:rFonts w:cs="Mosawi"/>
            <w:sz w:val="24"/>
            <w:szCs w:val="24"/>
            <w:rtl/>
          </w:rPr>
          <w:t>الحلّ الرابع: التوفيق على قاعدة الرأي المختار في حدود شرعيّة الثورة</w:t>
        </w:r>
        <w:r w:rsidRPr="008253E6">
          <w:rPr>
            <w:webHidden/>
            <w:sz w:val="24"/>
            <w:szCs w:val="24"/>
          </w:rPr>
          <w:tab/>
        </w:r>
        <w:r w:rsidRPr="008253E6">
          <w:rPr>
            <w:webHidden/>
            <w:sz w:val="24"/>
            <w:szCs w:val="24"/>
          </w:rPr>
          <w:fldChar w:fldCharType="begin"/>
        </w:r>
        <w:r w:rsidRPr="008253E6">
          <w:rPr>
            <w:webHidden/>
            <w:sz w:val="24"/>
            <w:szCs w:val="24"/>
          </w:rPr>
          <w:instrText xml:space="preserve"> PAGEREF _Toc238123331 \h </w:instrText>
        </w:r>
        <w:r w:rsidRPr="008253E6">
          <w:rPr>
            <w:webHidden/>
            <w:sz w:val="24"/>
            <w:szCs w:val="24"/>
          </w:rPr>
        </w:r>
        <w:r w:rsidRPr="008253E6">
          <w:rPr>
            <w:webHidden/>
            <w:sz w:val="24"/>
            <w:szCs w:val="24"/>
          </w:rPr>
          <w:fldChar w:fldCharType="separate"/>
        </w:r>
        <w:r w:rsidRPr="008253E6">
          <w:rPr>
            <w:webHidden/>
            <w:sz w:val="24"/>
            <w:szCs w:val="24"/>
          </w:rPr>
          <w:t>235</w:t>
        </w:r>
        <w:r w:rsidRPr="008253E6">
          <w:rPr>
            <w:webHidden/>
            <w:sz w:val="24"/>
            <w:szCs w:val="24"/>
          </w:rPr>
          <w:fldChar w:fldCharType="end"/>
        </w:r>
      </w:hyperlink>
    </w:p>
    <w:p w14:paraId="6F98C1E2" w14:textId="451A0EDD" w:rsidR="008253E6" w:rsidRPr="008253E6" w:rsidRDefault="008253E6" w:rsidP="008253E6">
      <w:pPr>
        <w:pStyle w:val="TOC3"/>
        <w:tabs>
          <w:tab w:val="right" w:leader="dot" w:pos="7461"/>
        </w:tabs>
        <w:bidi/>
        <w:rPr>
          <w:rFonts w:ascii="Mosawi" w:eastAsiaTheme="minorEastAsia" w:hAnsi="Mosawi" w:cs="Mosawi"/>
          <w:noProof/>
          <w:kern w:val="2"/>
          <w:sz w:val="24"/>
          <w14:ligatures w14:val="standardContextual"/>
        </w:rPr>
      </w:pPr>
      <w:hyperlink w:anchor="_Toc238123332" w:history="1">
        <w:r w:rsidRPr="008253E6">
          <w:rPr>
            <w:rStyle w:val="Hyperlink"/>
            <w:rFonts w:ascii="Mosawi" w:hAnsi="Mosawi" w:cs="Mosawi"/>
            <w:noProof/>
            <w:sz w:val="24"/>
            <w:rtl/>
          </w:rPr>
          <w:t>2 ـ 2 ـ الأدلّة المساعدة في إثبات نظريّة التحريم (الإجماع والشهرة والسيرة)</w:t>
        </w:r>
        <w:r w:rsidRPr="008253E6">
          <w:rPr>
            <w:rFonts w:ascii="Mosawi" w:hAnsi="Mosawi" w:cs="Mosawi"/>
            <w:noProof/>
            <w:webHidden/>
            <w:sz w:val="24"/>
          </w:rPr>
          <w:tab/>
        </w:r>
        <w:r w:rsidRPr="008253E6">
          <w:rPr>
            <w:rFonts w:ascii="Mosawi" w:hAnsi="Mosawi" w:cs="Mosawi"/>
            <w:noProof/>
            <w:webHidden/>
            <w:sz w:val="24"/>
          </w:rPr>
          <w:fldChar w:fldCharType="begin"/>
        </w:r>
        <w:r w:rsidRPr="008253E6">
          <w:rPr>
            <w:rFonts w:ascii="Mosawi" w:hAnsi="Mosawi" w:cs="Mosawi"/>
            <w:noProof/>
            <w:webHidden/>
            <w:sz w:val="24"/>
          </w:rPr>
          <w:instrText xml:space="preserve"> PAGEREF _Toc238123332 \h </w:instrText>
        </w:r>
        <w:r w:rsidRPr="008253E6">
          <w:rPr>
            <w:rFonts w:ascii="Mosawi" w:hAnsi="Mosawi" w:cs="Mosawi"/>
            <w:noProof/>
            <w:webHidden/>
            <w:sz w:val="24"/>
          </w:rPr>
        </w:r>
        <w:r w:rsidRPr="008253E6">
          <w:rPr>
            <w:rFonts w:ascii="Mosawi" w:hAnsi="Mosawi" w:cs="Mosawi"/>
            <w:noProof/>
            <w:webHidden/>
            <w:sz w:val="24"/>
          </w:rPr>
          <w:fldChar w:fldCharType="separate"/>
        </w:r>
        <w:r w:rsidRPr="008253E6">
          <w:rPr>
            <w:rFonts w:ascii="Mosawi" w:hAnsi="Mosawi" w:cs="Mosawi"/>
            <w:noProof/>
            <w:webHidden/>
            <w:sz w:val="24"/>
          </w:rPr>
          <w:t>236</w:t>
        </w:r>
        <w:r w:rsidRPr="008253E6">
          <w:rPr>
            <w:rFonts w:ascii="Mosawi" w:hAnsi="Mosawi" w:cs="Mosawi"/>
            <w:noProof/>
            <w:webHidden/>
            <w:sz w:val="24"/>
          </w:rPr>
          <w:fldChar w:fldCharType="end"/>
        </w:r>
      </w:hyperlink>
    </w:p>
    <w:p w14:paraId="5252F0BD" w14:textId="3DB30F8C" w:rsidR="008253E6" w:rsidRPr="008253E6" w:rsidRDefault="008253E6" w:rsidP="008253E6">
      <w:pPr>
        <w:pStyle w:val="TOC1"/>
        <w:tabs>
          <w:tab w:val="right" w:leader="dot" w:pos="7461"/>
        </w:tabs>
        <w:bidi/>
        <w:rPr>
          <w:rFonts w:ascii="Mosawi" w:eastAsiaTheme="minorEastAsia" w:hAnsi="Mosawi" w:cs="Mosawi"/>
          <w:b w:val="0"/>
          <w:bCs w:val="0"/>
          <w:caps w:val="0"/>
          <w:noProof/>
          <w:kern w:val="2"/>
          <w:szCs w:val="24"/>
          <w14:ligatures w14:val="standardContextual"/>
        </w:rPr>
      </w:pPr>
      <w:hyperlink w:anchor="_Toc238123333" w:history="1">
        <w:r w:rsidRPr="008253E6">
          <w:rPr>
            <w:rStyle w:val="Hyperlink"/>
            <w:rFonts w:ascii="Mosawi" w:hAnsi="Mosawi" w:cs="Mosawi"/>
            <w:noProof/>
            <w:szCs w:val="24"/>
            <w:rtl/>
          </w:rPr>
          <w:t>فهرس المحتويات</w:t>
        </w:r>
        <w:r w:rsidRPr="008253E6">
          <w:rPr>
            <w:rFonts w:ascii="Mosawi" w:hAnsi="Mosawi" w:cs="Mosawi"/>
            <w:noProof/>
            <w:webHidden/>
            <w:szCs w:val="24"/>
          </w:rPr>
          <w:tab/>
        </w:r>
        <w:r w:rsidRPr="008253E6">
          <w:rPr>
            <w:rFonts w:ascii="Mosawi" w:hAnsi="Mosawi" w:cs="Mosawi"/>
            <w:noProof/>
            <w:webHidden/>
            <w:szCs w:val="24"/>
          </w:rPr>
          <w:fldChar w:fldCharType="begin"/>
        </w:r>
        <w:r w:rsidRPr="008253E6">
          <w:rPr>
            <w:rFonts w:ascii="Mosawi" w:hAnsi="Mosawi" w:cs="Mosawi"/>
            <w:noProof/>
            <w:webHidden/>
            <w:szCs w:val="24"/>
          </w:rPr>
          <w:instrText xml:space="preserve"> PAGEREF _Toc238123333 \h </w:instrText>
        </w:r>
        <w:r w:rsidRPr="008253E6">
          <w:rPr>
            <w:rFonts w:ascii="Mosawi" w:hAnsi="Mosawi" w:cs="Mosawi"/>
            <w:noProof/>
            <w:webHidden/>
            <w:szCs w:val="24"/>
          </w:rPr>
        </w:r>
        <w:r w:rsidRPr="008253E6">
          <w:rPr>
            <w:rFonts w:ascii="Mosawi" w:hAnsi="Mosawi" w:cs="Mosawi"/>
            <w:noProof/>
            <w:webHidden/>
            <w:szCs w:val="24"/>
          </w:rPr>
          <w:fldChar w:fldCharType="separate"/>
        </w:r>
        <w:r w:rsidRPr="008253E6">
          <w:rPr>
            <w:rFonts w:ascii="Mosawi" w:hAnsi="Mosawi" w:cs="Mosawi"/>
            <w:noProof/>
            <w:webHidden/>
            <w:szCs w:val="24"/>
          </w:rPr>
          <w:t>239</w:t>
        </w:r>
        <w:r w:rsidRPr="008253E6">
          <w:rPr>
            <w:rFonts w:ascii="Mosawi" w:hAnsi="Mosawi" w:cs="Mosawi"/>
            <w:noProof/>
            <w:webHidden/>
            <w:szCs w:val="24"/>
          </w:rPr>
          <w:fldChar w:fldCharType="end"/>
        </w:r>
      </w:hyperlink>
    </w:p>
    <w:p w14:paraId="01925F57" w14:textId="52EA6364" w:rsidR="00BD5ADE" w:rsidRPr="008253E6" w:rsidRDefault="00164CF7" w:rsidP="001735DD">
      <w:pPr>
        <w:pStyle w:val="TOC1"/>
        <w:tabs>
          <w:tab w:val="right" w:leader="dot" w:pos="7461"/>
        </w:tabs>
        <w:bidi/>
        <w:spacing w:before="0" w:line="209" w:lineRule="auto"/>
        <w:rPr>
          <w:rFonts w:ascii="Mosawi" w:hAnsi="Mosawi" w:cs="Mosawi"/>
          <w:szCs w:val="24"/>
          <w:rtl/>
        </w:rPr>
      </w:pPr>
      <w:r w:rsidRPr="008253E6">
        <w:rPr>
          <w:rFonts w:ascii="Mosawi" w:hAnsi="Mosawi" w:cs="Mosawi"/>
          <w:szCs w:val="24"/>
          <w:rtl/>
        </w:rPr>
        <w:fldChar w:fldCharType="end"/>
      </w:r>
    </w:p>
    <w:sectPr w:rsidR="00BD5ADE" w:rsidRPr="008253E6" w:rsidSect="00F32F75">
      <w:headerReference w:type="even" r:id="rId12"/>
      <w:headerReference w:type="first" r:id="rId13"/>
      <w:footnotePr>
        <w:numRestart w:val="eachPage"/>
      </w:footnotePr>
      <w:type w:val="oddPage"/>
      <w:pgSz w:w="11907" w:h="16840" w:code="9"/>
      <w:pgMar w:top="2837" w:right="2218" w:bottom="2664" w:left="2218" w:header="2275" w:footer="11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EEA1C" w14:textId="77777777" w:rsidR="00026250" w:rsidRDefault="00026250" w:rsidP="00E63D8A">
      <w:pPr>
        <w:spacing w:line="240" w:lineRule="auto"/>
      </w:pPr>
      <w:r>
        <w:separator/>
      </w:r>
    </w:p>
  </w:endnote>
  <w:endnote w:type="continuationSeparator" w:id="0">
    <w:p w14:paraId="70020C34" w14:textId="77777777" w:rsidR="00026250" w:rsidRDefault="00026250" w:rsidP="00E63D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osawi">
    <w:panose1 w:val="02000000000000000000"/>
    <w:charset w:val="00"/>
    <w:family w:val="auto"/>
    <w:pitch w:val="variable"/>
    <w:sig w:usb0="00002007" w:usb1="80000000" w:usb2="00000008" w:usb3="00000000" w:csb0="00000043" w:csb1="00000000"/>
  </w:font>
  <w:font w:name="AL-Mateen">
    <w:panose1 w:val="00000000000000000000"/>
    <w:charset w:val="B2"/>
    <w:family w:val="auto"/>
    <w:pitch w:val="variable"/>
    <w:sig w:usb0="00002001" w:usb1="00000000" w:usb2="00000000" w:usb3="00000000" w:csb0="00000040" w:csb1="00000000"/>
  </w:font>
  <w:font w:name="Batang">
    <w:panose1 w:val="02030600000101010101"/>
    <w:charset w:val="81"/>
    <w:family w:val="roman"/>
    <w:pitch w:val="variable"/>
    <w:sig w:usb0="B00002AF" w:usb1="69D77CFB" w:usb2="00000030" w:usb3="00000000" w:csb0="0008009F" w:csb1="00000000"/>
  </w:font>
  <w:font w:name="AL-Mohanad">
    <w:altName w:val="Arial"/>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Ya-Ali">
    <w:altName w:val="Arial"/>
    <w:charset w:val="B2"/>
    <w:family w:val="auto"/>
    <w:pitch w:val="variable"/>
    <w:sig w:usb0="00002001" w:usb1="00000000" w:usb2="00000000" w:usb3="00000000" w:csb0="00000040" w:csb1="00000000"/>
  </w:font>
  <w:font w:name="Arno Pro Display">
    <w:altName w:val="Cambria"/>
    <w:panose1 w:val="02020502050506020403"/>
    <w:charset w:val="00"/>
    <w:family w:val="roman"/>
    <w:notTrueType/>
    <w:pitch w:val="variable"/>
    <w:sig w:usb0="60000287" w:usb1="00000001" w:usb2="00000000" w:usb3="00000000" w:csb0="0000019F" w:csb1="00000000"/>
  </w:font>
  <w:font w:name="HeshamNormal">
    <w:panose1 w:val="00000000000000000000"/>
    <w:charset w:val="B2"/>
    <w:family w:val="auto"/>
    <w:pitch w:val="variable"/>
    <w:sig w:usb0="00002001" w:usb1="00000000" w:usb2="00000000" w:usb3="00000000" w:csb0="00000040" w:csb1="00000000"/>
  </w:font>
  <w:font w:name="Abz-3 (Yagut)">
    <w:altName w:val="Arial"/>
    <w:panose1 w:val="000004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K Sina">
    <w:panose1 w:val="00000700000000000000"/>
    <w:charset w:val="B2"/>
    <w:family w:val="auto"/>
    <w:pitch w:val="variable"/>
    <w:sig w:usb0="00002001" w:usb1="00000000" w:usb2="00000000" w:usb3="00000000" w:csb0="00000040" w:csb1="00000000"/>
  </w:font>
  <w:font w:name="AF_Najed">
    <w:panose1 w:val="00000000000000000000"/>
    <w:charset w:val="B2"/>
    <w:family w:val="auto"/>
    <w:pitch w:val="variable"/>
    <w:sig w:usb0="00002001" w:usb1="00000000" w:usb2="00000000" w:usb3="00000000" w:csb0="00000040" w:csb1="00000000"/>
  </w:font>
  <w:font w:name="PT Bold Broken">
    <w:charset w:val="B2"/>
    <w:family w:val="auto"/>
    <w:pitch w:val="variable"/>
    <w:sig w:usb0="00002001" w:usb1="80000000" w:usb2="00000008" w:usb3="00000000" w:csb0="00000040" w:csb1="00000000"/>
  </w:font>
  <w:font w:name="Malik Lt BT">
    <w:charset w:val="B2"/>
    <w:family w:val="auto"/>
    <w:pitch w:val="variable"/>
    <w:sig w:usb0="00002001" w:usb1="00000000" w:usb2="00000000" w:usb3="00000000" w:csb0="00000040" w:csb1="00000000"/>
  </w:font>
  <w:font w:name="DanaFajr">
    <w:panose1 w:val="00000000000000000000"/>
    <w:charset w:val="B2"/>
    <w:family w:val="auto"/>
    <w:pitch w:val="variable"/>
    <w:sig w:usb0="00002001" w:usb1="00000000" w:usb2="00000000" w:usb3="00000000" w:csb0="00000040" w:csb1="00000000"/>
  </w:font>
  <w:font w:name="md_ameli">
    <w:charset w:val="B2"/>
    <w:family w:val="auto"/>
    <w:pitch w:val="variable"/>
    <w:sig w:usb0="00002001" w:usb1="00000000" w:usb2="00000000" w:usb3="00000000" w:csb0="00000040" w:csb1="00000000"/>
  </w:font>
  <w:font w:name="Taher">
    <w:panose1 w:val="00000400000000000000"/>
    <w:charset w:val="B2"/>
    <w:family w:val="auto"/>
    <w:pitch w:val="variable"/>
    <w:sig w:usb0="00002001" w:usb1="00000000" w:usb2="00000000" w:usb3="00000000" w:csb0="00000040" w:csb1="00000000"/>
  </w:font>
  <w:font w:name="SKR HEAD1">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Akhbar MT">
    <w:panose1 w:val="000000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Wasit5 Normal">
    <w:altName w:val="Times New Roman"/>
    <w:panose1 w:val="00000000000000000000"/>
    <w:charset w:val="B2"/>
    <w:family w:val="auto"/>
    <w:notTrueType/>
    <w:pitch w:val="variable"/>
    <w:sig w:usb0="00002001" w:usb1="00000000" w:usb2="00000000" w:usb3="00000000" w:csb0="00000040" w:csb1="00000000"/>
  </w:font>
  <w:font w:name="OthmaniNorm">
    <w:panose1 w:val="00000000000000000000"/>
    <w:charset w:val="B2"/>
    <w:family w:val="auto"/>
    <w:notTrueType/>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PT Bold Heading">
    <w:panose1 w:val="02010400000000000000"/>
    <w:charset w:val="B2"/>
    <w:family w:val="auto"/>
    <w:pitch w:val="variable"/>
    <w:sig w:usb0="00002001" w:usb1="80000000" w:usb2="00000008" w:usb3="00000000" w:csb0="00000040" w:csb1="00000000"/>
  </w:font>
  <w:font w:name="Al-Ghadeer Bold">
    <w:charset w:val="B2"/>
    <w:family w:val="auto"/>
    <w:pitch w:val="variable"/>
    <w:sig w:usb0="00002001" w:usb1="00000000" w:usb2="00000000" w:usb3="00000000" w:csb0="00000040" w:csb1="00000000"/>
  </w:font>
  <w:font w:name="ALAWI-3-62">
    <w:altName w:val="Times New Roman"/>
    <w:panose1 w:val="00000000000000000000"/>
    <w:charset w:val="B2"/>
    <w:family w:val="auto"/>
    <w:notTrueType/>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بدر">
    <w:panose1 w:val="00000400000000000000"/>
    <w:charset w:val="B2"/>
    <w:family w:val="auto"/>
    <w:pitch w:val="variable"/>
    <w:sig w:usb0="00002001" w:usb1="00000000" w:usb2="00000000" w:usb3="00000000" w:csb0="00000040" w:csb1="00000000"/>
  </w:font>
  <w:font w:name="AA  Safwa">
    <w:altName w:val="Times New Roman"/>
    <w:panose1 w:val="00000000000000000000"/>
    <w:charset w:val="B2"/>
    <w:family w:val="auto"/>
    <w:notTrueType/>
    <w:pitch w:val="variable"/>
    <w:sig w:usb0="00002001" w:usb1="00000000" w:usb2="00000000" w:usb3="00000000" w:csb0="00000040" w:csb1="00000000"/>
  </w:font>
  <w:font w:name="Lotus Linotype">
    <w:charset w:val="00"/>
    <w:family w:val="auto"/>
    <w:pitch w:val="variable"/>
    <w:sig w:usb0="00002007" w:usb1="80000000" w:usb2="00000008" w:usb3="00000000" w:csb0="00000043" w:csb1="00000000"/>
  </w:font>
  <w:font w:name="MCS Taybah S_U normal.">
    <w:altName w:val="Times New Roman"/>
    <w:charset w:val="B2"/>
    <w:family w:val="auto"/>
    <w:pitch w:val="variable"/>
    <w:sig w:usb0="00002000" w:usb1="00000000" w:usb2="00000000" w:usb3="00000000" w:csb0="00000040" w:csb1="00000000"/>
  </w:font>
  <w:font w:name="Al-SandHigh">
    <w:altName w:val="Times New Roman"/>
    <w:panose1 w:val="00000000000000000000"/>
    <w:charset w:val="B2"/>
    <w:family w:val="auto"/>
    <w:notTrueType/>
    <w:pitch w:val="variable"/>
    <w:sig w:usb0="00002001" w:usb1="00000000" w:usb2="00000000" w:usb3="00000000" w:csb0="00000040" w:csb1="00000000"/>
  </w:font>
  <w:font w:name="Sultan Medium">
    <w:charset w:val="B2"/>
    <w:family w:val="auto"/>
    <w:pitch w:val="variable"/>
    <w:sig w:usb0="00002001" w:usb1="00000000" w:usb2="00000000" w:usb3="00000000" w:csb0="00000040" w:csb1="00000000"/>
  </w:font>
  <w:font w:name="PMingLiU">
    <w:panose1 w:val="02010601000101010101"/>
    <w:charset w:val="88"/>
    <w:family w:val="roman"/>
    <w:pitch w:val="variable"/>
    <w:sig w:usb0="A00002FF" w:usb1="28CFFCFA" w:usb2="00000016" w:usb3="00000000" w:csb0="00100001" w:csb1="00000000"/>
  </w:font>
  <w:font w:name="Al-Hussain">
    <w:panose1 w:val="00000000000000000000"/>
    <w:charset w:val="B2"/>
    <w:family w:val="auto"/>
    <w:pitch w:val="variable"/>
    <w:sig w:usb0="00002001" w:usb1="00000000" w:usb2="00000000" w:usb3="00000000" w:csb0="00000040" w:csb1="00000000"/>
  </w:font>
  <w:font w:name="AGA Juhyna Regular">
    <w:charset w:val="B2"/>
    <w:family w:val="auto"/>
    <w:pitch w:val="variable"/>
    <w:sig w:usb0="00002001" w:usb1="00000000" w:usb2="00000000" w:usb3="00000000" w:csb0="00000040" w:csb1="00000000"/>
  </w:font>
  <w:font w:name="Bader">
    <w:charset w:val="B2"/>
    <w:family w:val="auto"/>
    <w:pitch w:val="variable"/>
    <w:sig w:usb0="00002001" w:usb1="00000000" w:usb2="00000000" w:usb3="00000000" w:csb0="00000040" w:csb1="00000000"/>
  </w:font>
  <w:font w:name="K Farnaz">
    <w:charset w:val="B2"/>
    <w:family w:val="auto"/>
    <w:pitch w:val="variable"/>
    <w:sig w:usb0="00002001" w:usb1="00000000" w:usb2="00000000" w:usb3="00000000" w:csb0="00000040" w:csb1="00000000"/>
  </w:font>
  <w:font w:name="JALAL">
    <w:altName w:val="Courier New"/>
    <w:panose1 w:val="00000000000000000000"/>
    <w:charset w:val="00"/>
    <w:family w:val="auto"/>
    <w:notTrueType/>
    <w:pitch w:val="variable"/>
    <w:sig w:usb0="00000003" w:usb1="00000000" w:usb2="00000000" w:usb3="00000000" w:csb0="00000001" w:csb1="00000000"/>
  </w:font>
  <w:font w:name="Muna">
    <w:charset w:val="00"/>
    <w:family w:val="auto"/>
    <w:pitch w:val="variable"/>
    <w:sig w:usb0="00000003" w:usb1="00000000" w:usb2="00000000" w:usb3="00000000" w:csb0="00000001" w:csb1="00000000"/>
  </w:font>
  <w:font w:name="Yagut-s">
    <w:charset w:val="00"/>
    <w:family w:val="auto"/>
    <w:pitch w:val="variable"/>
    <w:sig w:usb0="00000003" w:usb1="00000000" w:usb2="00000000" w:usb3="00000000" w:csb0="00000001" w:csb1="00000000"/>
  </w:font>
  <w:font w:name="Arabic11 BT">
    <w:panose1 w:val="00000000000000000000"/>
    <w:charset w:val="B2"/>
    <w:family w:val="auto"/>
    <w:notTrueType/>
    <w:pitch w:val="variable"/>
    <w:sig w:usb0="00002001" w:usb1="00000000" w:usb2="00000000" w:usb3="00000000" w:csb0="00000040" w:csb1="00000000"/>
  </w:font>
  <w:font w:name="B Yagut">
    <w:altName w:val="Times New Roman"/>
    <w:charset w:val="B2"/>
    <w:family w:val="auto"/>
    <w:pitch w:val="variable"/>
    <w:sig w:usb0="00002000" w:usb1="80000000" w:usb2="00000008" w:usb3="00000000" w:csb0="00000040" w:csb1="00000000"/>
  </w:font>
  <w:font w:name="Abz-2 (Badr)">
    <w:panose1 w:val="00000400000000000000"/>
    <w:charset w:val="B2"/>
    <w:family w:val="auto"/>
    <w:pitch w:val="variable"/>
    <w:sig w:usb0="00002001" w:usb1="00000000" w:usb2="00000000" w:usb3="00000000" w:csb0="00000040" w:csb1="00000000"/>
  </w:font>
  <w:font w:name="B Zar75 Symbols">
    <w:altName w:val="Courier New"/>
    <w:panose1 w:val="00000000000000000000"/>
    <w:charset w:val="B2"/>
    <w:family w:val="auto"/>
    <w:notTrueType/>
    <w:pitch w:val="variable"/>
    <w:sig w:usb0="00002001" w:usb1="00000000" w:usb2="00000000" w:usb3="00000000" w:csb0="00000040" w:csb1="00000000"/>
  </w:font>
  <w:font w:name="B Nazanin">
    <w:charset w:val="B2"/>
    <w:family w:val="auto"/>
    <w:pitch w:val="variable"/>
    <w:sig w:usb0="00002001" w:usb1="80000000" w:usb2="00000008" w:usb3="00000000" w:csb0="00000040" w:csb1="00000000"/>
  </w:font>
  <w:font w:name="B Esfehan">
    <w:charset w:val="B2"/>
    <w:family w:val="auto"/>
    <w:pitch w:val="variable"/>
    <w:sig w:usb0="00002001" w:usb1="80000000" w:usb2="00000008" w:usb3="00000000" w:csb0="00000040" w:csb1="00000000"/>
  </w:font>
  <w:font w:name="Sultan bold">
    <w:altName w:val="Times New Roman"/>
    <w:charset w:val="B2"/>
    <w:family w:val="auto"/>
    <w:pitch w:val="variable"/>
    <w:sig w:usb0="00002000" w:usb1="00000000" w:usb2="00000000" w:usb3="00000000" w:csb0="00000040" w:csb1="00000000"/>
  </w:font>
  <w:font w:name="KFGQPC Uthman Taha Naskh">
    <w:charset w:val="B2"/>
    <w:family w:val="auto"/>
    <w:pitch w:val="variable"/>
    <w:sig w:usb0="80002001" w:usb1="90000000" w:usb2="00000008" w:usb3="00000000" w:csb0="00000040" w:csb1="00000000"/>
  </w:font>
  <w:font w:name="Abz-1 (Lotus)">
    <w:altName w:val="Arial"/>
    <w:panose1 w:val="00000400000000000000"/>
    <w:charset w:val="B2"/>
    <w:family w:val="auto"/>
    <w:pitch w:val="variable"/>
    <w:sig w:usb0="00002001" w:usb1="00000000" w:usb2="00000000" w:usb3="00000000" w:csb0="00000040" w:csb1="00000000"/>
  </w:font>
  <w:font w:name="Al-Najaf95">
    <w:charset w:val="B2"/>
    <w:family w:val="auto"/>
    <w:pitch w:val="variable"/>
    <w:sig w:usb0="00006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781382582"/>
      <w:docPartObj>
        <w:docPartGallery w:val="Page Numbers (Bottom of Page)"/>
        <w:docPartUnique/>
      </w:docPartObj>
    </w:sdtPr>
    <w:sdtEndPr>
      <w:rPr>
        <w:noProof/>
      </w:rPr>
    </w:sdtEndPr>
    <w:sdtContent>
      <w:p w14:paraId="4730BEFB" w14:textId="4F5A91E0" w:rsidR="007B7370" w:rsidRDefault="007B73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DB5F2B" w14:textId="77777777" w:rsidR="007B7370" w:rsidRDefault="007B73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380286153"/>
      <w:docPartObj>
        <w:docPartGallery w:val="Page Numbers (Bottom of Page)"/>
        <w:docPartUnique/>
      </w:docPartObj>
    </w:sdtPr>
    <w:sdtEndPr>
      <w:rPr>
        <w:noProof/>
      </w:rPr>
    </w:sdtEndPr>
    <w:sdtContent>
      <w:p w14:paraId="0845DFA7" w14:textId="0CD381B0" w:rsidR="007B7370" w:rsidRDefault="007B73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D1BEB5" w14:textId="77777777" w:rsidR="007B7370" w:rsidRDefault="007B73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F9808" w14:textId="77777777" w:rsidR="00026250" w:rsidRDefault="00026250" w:rsidP="00B41146">
      <w:pPr>
        <w:spacing w:line="240" w:lineRule="auto"/>
        <w:ind w:firstLine="0"/>
      </w:pPr>
      <w:r>
        <w:separator/>
      </w:r>
    </w:p>
  </w:footnote>
  <w:footnote w:type="continuationSeparator" w:id="0">
    <w:p w14:paraId="3D40E5D6" w14:textId="77777777" w:rsidR="00026250" w:rsidRDefault="00026250" w:rsidP="00B41146">
      <w:pPr>
        <w:spacing w:line="240" w:lineRule="auto"/>
        <w:ind w:firstLine="0"/>
      </w:pPr>
      <w:r>
        <w:continuationSeparator/>
      </w:r>
    </w:p>
  </w:footnote>
  <w:footnote w:id="1">
    <w:p w14:paraId="430187F5" w14:textId="77A90768" w:rsidR="00004B00" w:rsidRPr="000B676B" w:rsidRDefault="00004B00" w:rsidP="00004B00">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xml:space="preserve">) </w:t>
      </w:r>
      <w:r>
        <w:rPr>
          <w:rFonts w:ascii="Mosawi" w:eastAsiaTheme="minorHAnsi" w:hAnsi="Mosawi" w:hint="cs"/>
          <w:sz w:val="24"/>
          <w:szCs w:val="24"/>
          <w:rtl/>
        </w:rPr>
        <w:t xml:space="preserve">هذا البحث جزء من المجلد الثاني من كتاب </w:t>
      </w:r>
      <w:r>
        <w:rPr>
          <w:rFonts w:ascii="Mosawi" w:eastAsiaTheme="minorHAnsi" w:hAnsi="Mosawi" w:cs="Cambria" w:hint="cs"/>
          <w:sz w:val="24"/>
          <w:szCs w:val="24"/>
          <w:rtl/>
        </w:rPr>
        <w:t>"</w:t>
      </w:r>
      <w:r>
        <w:rPr>
          <w:rFonts w:ascii="Mosawi" w:eastAsiaTheme="minorHAnsi" w:hAnsi="Mosawi" w:hint="cs"/>
          <w:sz w:val="24"/>
          <w:szCs w:val="24"/>
          <w:rtl/>
        </w:rPr>
        <w:t>فقه الحرب والسلم في الشريعة الإسلاميّة</w:t>
      </w:r>
      <w:r>
        <w:rPr>
          <w:rFonts w:ascii="Mosawi" w:eastAsiaTheme="minorHAnsi" w:hAnsi="Mosawi" w:cs="Cambria" w:hint="cs"/>
          <w:sz w:val="24"/>
          <w:szCs w:val="24"/>
          <w:rtl/>
        </w:rPr>
        <w:t>"</w:t>
      </w:r>
      <w:r>
        <w:rPr>
          <w:rFonts w:ascii="Mosawi" w:eastAsiaTheme="minorHAnsi" w:hAnsi="Mosawi" w:hint="cs"/>
          <w:sz w:val="24"/>
          <w:szCs w:val="24"/>
          <w:rtl/>
        </w:rPr>
        <w:t xml:space="preserve"> للشيخ حيدر حب الله، والذي صدر ـ بطبعته الأولى ـ عن دار روافد في بيروت، عام 2023م.</w:t>
      </w:r>
    </w:p>
  </w:footnote>
  <w:footnote w:id="2">
    <w:p w14:paraId="26491E39" w14:textId="77777777" w:rsidR="005D5367" w:rsidRPr="000B676B" w:rsidRDefault="005D5367" w:rsidP="00294F8E">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الجهاد والقتال في السياسة الشرعية 1: 113.</w:t>
      </w:r>
    </w:p>
  </w:footnote>
  <w:footnote w:id="3">
    <w:p w14:paraId="5E1924EE"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المصدر نفسه 1: 113، 167، 285.</w:t>
      </w:r>
    </w:p>
  </w:footnote>
  <w:footnote w:id="4">
    <w:p w14:paraId="05AAAF75" w14:textId="77777777" w:rsidR="005D5367" w:rsidRPr="000B676B" w:rsidRDefault="005D5367" w:rsidP="00294F8E">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لاحظ ـ على سبيل المثال ـ: الجهاد والقتال 1: 116 ـ 119، حيث بحث عن انحراف الحاكم بأيّ شيء يكون؟ مع أنّ هذا يمثل بالنسبة لبحث الجهاد أصلاً موضوعاً. كما أنّه يجدر التنبيه إلى أنّ غير واحدٍ من الفقهاء والباحثين تحدّث هنا تحت عنوان الحاكم الفاسق، وتشير كلماتهم إلى أنّ المشكلة كأنّها تكمن في الوضع الشخصي الأخلاقي أو الديني للحاكم، في حين تمّ تجاهل فسق الدولة والنظم والقوانين والإجراءات.</w:t>
      </w:r>
    </w:p>
  </w:footnote>
  <w:footnote w:id="5">
    <w:p w14:paraId="0019CBB0" w14:textId="77777777" w:rsidR="005D5367" w:rsidRPr="000B676B" w:rsidRDefault="005D5367" w:rsidP="00292533">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الأشعري، مقالات الإسلاميّين: 451 ـ 452. وقال الأشعريّ في موضعٍ آخر: «وأجمعت الروافض‏ على إبطال الخروج وإنكار السيف ولو قتلت، حتى يظهر لها الإمام وحتى يأمرها بذلك. واعتلّت في ذلك بأنّ النبيّ صلى الله عليه وسلّم قبل أن يأمره الله عزّ وجلّ بالقتال كان محرّماً على أصحابه أن يقاتلوا» (مقالات الإسلاميين: 58).</w:t>
      </w:r>
    </w:p>
  </w:footnote>
  <w:footnote w:id="6">
    <w:p w14:paraId="78A7CA8B" w14:textId="77777777" w:rsidR="005D5367" w:rsidRPr="000B676B" w:rsidRDefault="005D5367" w:rsidP="0059781F">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هو عبد الرحمن بن كيسان، أبو بكر الأصمّ (200 أو 201هـ) المتكلّم المعتزلي المعروف، ولابدّ من لفت النظر إلى مقولة أخرى له لعلها ذات صلة، حيث يقول أبو الحسن الأشعري: «واختلفوا في وجوب الإمامة، فقال الناس كلّهم إلا الأصم: لا بدّ من إمام، وقال الأصمّ: لو تكافّ الناس عن التظالم لاستغنوا عن الإمام» (مقالات الإسلاميّين: 460).</w:t>
      </w:r>
    </w:p>
    <w:p w14:paraId="58122BC2" w14:textId="77777777" w:rsidR="005D5367" w:rsidRPr="000B676B" w:rsidRDefault="005D5367" w:rsidP="0059781F">
      <w:pPr>
        <w:pStyle w:val="FootnoteText"/>
        <w:spacing w:line="192" w:lineRule="auto"/>
        <w:ind w:left="170" w:hanging="170"/>
        <w:rPr>
          <w:rFonts w:ascii="Mosawi" w:eastAsiaTheme="minorHAnsi" w:hAnsi="Mosawi"/>
          <w:b/>
          <w:bCs/>
          <w:sz w:val="24"/>
          <w:szCs w:val="24"/>
        </w:rPr>
      </w:pPr>
      <w:r w:rsidRPr="000B676B">
        <w:rPr>
          <w:rFonts w:ascii="Mosawi" w:eastAsiaTheme="minorHAnsi" w:hAnsi="Mosawi"/>
          <w:b/>
          <w:bCs/>
          <w:sz w:val="24"/>
          <w:szCs w:val="24"/>
          <w:rtl/>
        </w:rPr>
        <w:t>وجهة نظر الأصمّ تحتمل احتمالات أبرزها:</w:t>
      </w:r>
    </w:p>
    <w:p w14:paraId="4C25A34B" w14:textId="77777777" w:rsidR="005D5367" w:rsidRPr="000B676B" w:rsidRDefault="005D5367" w:rsidP="0059781F">
      <w:pPr>
        <w:pStyle w:val="FootnoteText"/>
        <w:spacing w:line="192" w:lineRule="auto"/>
        <w:ind w:left="170" w:hanging="170"/>
        <w:rPr>
          <w:rFonts w:ascii="Mosawi" w:eastAsiaTheme="minorHAnsi" w:hAnsi="Mosawi"/>
          <w:sz w:val="24"/>
          <w:szCs w:val="24"/>
          <w:rtl/>
        </w:rPr>
      </w:pPr>
      <w:r w:rsidRPr="000B676B">
        <w:rPr>
          <w:rFonts w:ascii="Mosawi" w:eastAsiaTheme="minorHAnsi" w:hAnsi="Mosawi"/>
          <w:b/>
          <w:bCs/>
          <w:sz w:val="24"/>
          <w:szCs w:val="24"/>
          <w:rtl/>
        </w:rPr>
        <w:t xml:space="preserve">الاحتمال الأوّل: </w:t>
      </w:r>
      <w:r w:rsidRPr="000B676B">
        <w:rPr>
          <w:rFonts w:ascii="Mosawi" w:eastAsiaTheme="minorHAnsi" w:hAnsi="Mosawi"/>
          <w:sz w:val="24"/>
          <w:szCs w:val="24"/>
          <w:rtl/>
        </w:rPr>
        <w:t>إنّه لا يرفض فكرة وجوب الإمامة، بل يرفض كليّة اللابديّة العقليّة التي طرحها بعض المتكلّمين، فهو يربط ضرورة الإمامة بطبيعة المجتمع البشري، فلو تغيّرت أحوال البشر لزالت الإمامة، فيما قد يُشبه بعض الأفكار الماركسيّة أو بعض أفكار المدرسة اللاسلطويّة المعاصرة في الغرب، وهو بهذا يفهم الإمامة فهماً طريقيّاً وسائليّاً بحيث لا تكون عنده غايةً قائمة بنفسها حتى تكون ضرورتها كليّة وعامّة زمكانيّاً، كما لا يفهمها مقدّساً مستقلاً، بل هي وسيلة للمقدّس الحقيقي الذي هو صلاح الأمّة.</w:t>
      </w:r>
    </w:p>
    <w:p w14:paraId="5AF64AB6" w14:textId="77777777" w:rsidR="005D5367" w:rsidRPr="000B676B" w:rsidRDefault="005D5367" w:rsidP="0059781F">
      <w:pPr>
        <w:pStyle w:val="FootnoteText"/>
        <w:spacing w:line="192" w:lineRule="auto"/>
        <w:ind w:left="170" w:hanging="170"/>
        <w:rPr>
          <w:rFonts w:ascii="Mosawi" w:eastAsiaTheme="minorHAnsi" w:hAnsi="Mosawi"/>
          <w:sz w:val="24"/>
          <w:szCs w:val="24"/>
          <w:rtl/>
        </w:rPr>
      </w:pPr>
      <w:r w:rsidRPr="000B676B">
        <w:rPr>
          <w:rFonts w:ascii="Mosawi" w:eastAsiaTheme="minorHAnsi" w:hAnsi="Mosawi"/>
          <w:b/>
          <w:bCs/>
          <w:sz w:val="24"/>
          <w:szCs w:val="24"/>
          <w:rtl/>
        </w:rPr>
        <w:t xml:space="preserve">الاحتمال الثاني: </w:t>
      </w:r>
      <w:r w:rsidRPr="000B676B">
        <w:rPr>
          <w:rFonts w:ascii="Mosawi" w:eastAsiaTheme="minorHAnsi" w:hAnsi="Mosawi"/>
          <w:sz w:val="24"/>
          <w:szCs w:val="24"/>
          <w:rtl/>
        </w:rPr>
        <w:t>إنّ الأصمّ لم يكن يرى الوجوب العقلي للأمر بالمعروف والنهي عن المنكر بحيث تكون هذه الفريضة من أصول الدين، وهذا معناه أنّه أنكر أصلاً من أصول الاعتزال، وهذه الفريضة متلازمة اعتزاليّاً وزيديّاً مع الإمامة، بما يبدو وكأنّ لديه موقفاً من فكرة تشكيل الدولة بزعامة إمام، من هنا كان يميل لإصلاح المجتمع بحيث ترتفع الحاجة للإمام؛ إذ الحاجة له مؤقتة.</w:t>
      </w:r>
    </w:p>
    <w:p w14:paraId="359D197C" w14:textId="77777777" w:rsidR="005D5367" w:rsidRPr="000B676B" w:rsidRDefault="005D5367" w:rsidP="0059781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 xml:space="preserve">وربما كان الأصمّ يرى قضيّة الإمامة بنفسها سبب مشاكل الأمّة في عصره، فأراد أن يُصلح حال الأمّة بعيداً عن الإمامة، عبر إصلاح المجتمع نفسه، </w:t>
      </w:r>
      <w:r w:rsidRPr="000B676B">
        <w:rPr>
          <w:rFonts w:ascii="Mosawi" w:eastAsiaTheme="minorHAnsi" w:hAnsi="Mosawi"/>
          <w:b/>
          <w:bCs/>
          <w:sz w:val="24"/>
          <w:szCs w:val="24"/>
          <w:rtl/>
        </w:rPr>
        <w:t>وهذا يذكّرنا بموقف متكلّم معتزلي آخر، وهو أبو محمّد هشام بن عمرو الفوطي (ق 3هـ)،</w:t>
      </w:r>
      <w:r w:rsidRPr="000B676B">
        <w:rPr>
          <w:rFonts w:ascii="Mosawi" w:eastAsiaTheme="minorHAnsi" w:hAnsi="Mosawi"/>
          <w:sz w:val="24"/>
          <w:szCs w:val="24"/>
          <w:rtl/>
        </w:rPr>
        <w:t xml:space="preserve"> حيث كان يرى أنّ الأمّة إذا حكمها التنازع وعمّها الفساد وانتشرت فيها الفتن، فلا يصحّ نصب الإمام فيها، بل لا بدّ من تجنّب نصبه في هذه الحال، أو على الأقلّ لا يجب عليهم ذلك، والسبب فيما يبدو هو أنّ الفضاء السياسي والاجتماعي عندما يكون موبوءاً فإنّ إقحام فكرة نصب الإمام سوف يحوّلها إلى قضيّة تزيد من الفتن ومادّة وقود لاضطراب الأمّة، فلا بدّ من تركها، وفي هذا يقول ابن ميثم البحراني (699هـ): «وقال هشام بالعكس من ذلك، أي عند ظهور الظلم لا يجب نصبه؛ لأنه ربما كان سبباً للفتنة؛ لتمرّدهم واستنكافهم عن طاعته، فيكون نصبه سبباً لازدياد الشرور، فأمّا عند ظهور الانتصاف وانتشاره فيجب نصبه لبسط الشرع وإظهار شعاره» (النجاة في القيامة في تحقيق أمر الإمامة: 44). وربما كان الفوطي متأثراً هنا ببعض مقولات الخوارج الأوائل، فلاحظ.</w:t>
      </w:r>
    </w:p>
    <w:p w14:paraId="66E77D11" w14:textId="77777777" w:rsidR="005D5367" w:rsidRPr="000B676B" w:rsidRDefault="005D5367" w:rsidP="0059781F">
      <w:pPr>
        <w:pStyle w:val="FootnoteText"/>
        <w:spacing w:line="192" w:lineRule="auto"/>
        <w:ind w:left="170" w:hanging="170"/>
        <w:rPr>
          <w:rFonts w:ascii="Mosawi" w:eastAsiaTheme="minorHAnsi" w:hAnsi="Mosawi"/>
          <w:sz w:val="24"/>
          <w:szCs w:val="24"/>
          <w:rtl/>
        </w:rPr>
      </w:pPr>
      <w:r w:rsidRPr="000B676B">
        <w:rPr>
          <w:rFonts w:ascii="Mosawi" w:eastAsiaTheme="minorHAnsi" w:hAnsi="Mosawi"/>
          <w:b/>
          <w:bCs/>
          <w:sz w:val="24"/>
          <w:szCs w:val="24"/>
          <w:rtl/>
        </w:rPr>
        <w:t>وقال ابن أبي الحديد المعتزلي:</w:t>
      </w:r>
      <w:r w:rsidRPr="000B676B">
        <w:rPr>
          <w:rFonts w:ascii="Mosawi" w:eastAsiaTheme="minorHAnsi" w:hAnsi="Mosawi"/>
          <w:sz w:val="24"/>
          <w:szCs w:val="24"/>
          <w:rtl/>
        </w:rPr>
        <w:t xml:space="preserve"> «وقد اختلف الناس في هذه المسألة، فقال المتكلّمون كلمةً (كافّة): الإمامة واجبة، إلا ما يُحكى عن أبي بكر الأصم من قدماء أصحابنا أنّها غير واجبة، إذا تناصفت الأمّة ولم تتظالم. وقال المتأخّرون من أصحابنا: إنّ هذا القول منه غير مخالف لما عليه الأمّة؛ لأنّه إذا كان لا يجوز في العادة أن تستقيم أمور الناس من دون رئيس يحكم بينهم، فقد قال بوجوب الرياسة على كلّ حال، اللهم إلا أن يقول: إنّه يجوز أن تستقيم أمور الناس من دون رئيس، وهذا بعيد أن يقوله..» (شرح نهج البلاغة 2: 308).</w:t>
      </w:r>
    </w:p>
    <w:p w14:paraId="59B5D8E7" w14:textId="77777777" w:rsidR="005D5367" w:rsidRPr="000B676B" w:rsidRDefault="005D5367" w:rsidP="0059781F">
      <w:pPr>
        <w:pStyle w:val="FootnoteText"/>
        <w:spacing w:line="192" w:lineRule="auto"/>
        <w:ind w:left="170" w:hanging="170"/>
        <w:rPr>
          <w:rFonts w:ascii="Mosawi" w:eastAsiaTheme="minorHAnsi" w:hAnsi="Mosawi"/>
          <w:sz w:val="24"/>
          <w:szCs w:val="24"/>
          <w:rtl/>
        </w:rPr>
      </w:pPr>
      <w:r w:rsidRPr="000B676B">
        <w:rPr>
          <w:rFonts w:ascii="Mosawi" w:eastAsiaTheme="minorHAnsi" w:hAnsi="Mosawi"/>
          <w:b/>
          <w:bCs/>
          <w:sz w:val="24"/>
          <w:szCs w:val="24"/>
          <w:rtl/>
        </w:rPr>
        <w:t>لكنّني أظنّ أنّ هذه الطريقة غير دقيقة؛ إذ يلزمنا أن نحلّل الزاوية التي كان الأصمّ ينظر إليها،</w:t>
      </w:r>
      <w:r w:rsidRPr="000B676B">
        <w:rPr>
          <w:rFonts w:ascii="Mosawi" w:eastAsiaTheme="minorHAnsi" w:hAnsi="Mosawi"/>
          <w:sz w:val="24"/>
          <w:szCs w:val="24"/>
          <w:rtl/>
        </w:rPr>
        <w:t xml:space="preserve"> فهو يدرك اختلاف الناس في الغالب، لكنّه يريد تحليل وجه ضرورة الإمامة ومديات الكليّة العقلية في هذا الوجه، أو له قراءة اجتماعيّة وسياسيّة للإصلاح العامّ، والله العالم.</w:t>
      </w:r>
    </w:p>
    <w:p w14:paraId="304F0D0E" w14:textId="77777777" w:rsidR="005D5367" w:rsidRPr="000B676B" w:rsidRDefault="005D5367" w:rsidP="0059781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لكنّ تحفّظ الأصم في قضية الإمامة يحتاج لتوفيق مع وجهة نظره في السيف هنا؛ إلا إذا قيل بأنّ شرطه "الاجتماع على إمام" كفيل بجعل تغيير الإمام عمليّة غير فتنويّة.</w:t>
      </w:r>
    </w:p>
  </w:footnote>
  <w:footnote w:id="7">
    <w:p w14:paraId="63B4A495" w14:textId="77777777" w:rsidR="005D5367" w:rsidRPr="000B676B" w:rsidRDefault="005D5367" w:rsidP="009076F9">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المحلّى 9: 361 ـ 362.</w:t>
      </w:r>
    </w:p>
  </w:footnote>
  <w:footnote w:id="8">
    <w:p w14:paraId="241AC172" w14:textId="77777777" w:rsidR="005D5367" w:rsidRPr="000B676B" w:rsidRDefault="005D5367" w:rsidP="00F97644">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xml:space="preserve">) </w:t>
      </w:r>
      <w:r>
        <w:rPr>
          <w:rFonts w:ascii="Mosawi" w:eastAsiaTheme="minorHAnsi" w:hAnsi="Mosawi" w:hint="cs"/>
          <w:sz w:val="24"/>
          <w:szCs w:val="24"/>
          <w:rtl/>
        </w:rPr>
        <w:t>انظر:</w:t>
      </w:r>
      <w:r>
        <w:rPr>
          <w:rFonts w:ascii="Mosawi" w:eastAsiaTheme="minorHAnsi" w:hAnsi="Mosawi"/>
          <w:sz w:val="24"/>
          <w:szCs w:val="24"/>
          <w:rtl/>
        </w:rPr>
        <w:t xml:space="preserve"> </w:t>
      </w:r>
      <w:r>
        <w:rPr>
          <w:rFonts w:ascii="Mosawi" w:eastAsiaTheme="minorHAnsi" w:hAnsi="Mosawi" w:hint="cs"/>
          <w:sz w:val="24"/>
          <w:szCs w:val="24"/>
          <w:rtl/>
        </w:rPr>
        <w:t>أبو المظفر الاسفراييني، التبصير في الدين: 91؛ وعبد القاهر البغدادي، الفَرق بين الفِرَق: 200؛ والسبحاني، بحوث في الملل والنحل 3: 190 ـ 191.</w:t>
      </w:r>
    </w:p>
  </w:footnote>
  <w:footnote w:id="9">
    <w:p w14:paraId="317BF9AC" w14:textId="77777777" w:rsidR="005D5367" w:rsidRPr="000B676B" w:rsidRDefault="005D5367" w:rsidP="00615A81">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شرح صحيح مسلم 12: 227 ـ 230.</w:t>
      </w:r>
    </w:p>
  </w:footnote>
  <w:footnote w:id="10">
    <w:p w14:paraId="7C260B5B"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الآصفي، الجهاد: 145 ـ 152.</w:t>
      </w:r>
    </w:p>
  </w:footnote>
  <w:footnote w:id="11">
    <w:p w14:paraId="5A8E9406" w14:textId="77777777" w:rsidR="005D5367" w:rsidRPr="000B676B" w:rsidRDefault="005D5367" w:rsidP="009076F9">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دراسات في ولاية الفقيه 1: 614 ـ 618؛ والآصفي، الجهاد: 152 ـ 153؛ وولاية الفقيه في حكومة الإسلام 4: 21 ـ 23.</w:t>
      </w:r>
    </w:p>
  </w:footnote>
  <w:footnote w:id="12">
    <w:p w14:paraId="2AD18EA9" w14:textId="77777777" w:rsidR="005D5367" w:rsidRPr="000B676B" w:rsidRDefault="005D5367" w:rsidP="009076F9">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راجع: قواعد فقه العلاقة مع الآخر الديني: 686 ـ 693.</w:t>
      </w:r>
    </w:p>
  </w:footnote>
  <w:footnote w:id="13">
    <w:p w14:paraId="445AB320" w14:textId="77777777" w:rsidR="005D5367" w:rsidRPr="000B676B" w:rsidRDefault="005D5367" w:rsidP="00F97644">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دراسات في ولاية الفقيه 1: 600 ـ 604؛ وحبيب الله طاهري، تحقيقي بيرامون ولايت فقيه: 289 ـ 292؛ والآصفي، الجهاد: 153 ـ 157؛ وولاية الفقيه في حكومة الإسلام 4: 21 ـ 23.</w:t>
      </w:r>
    </w:p>
  </w:footnote>
  <w:footnote w:id="14">
    <w:p w14:paraId="6696A246" w14:textId="77777777" w:rsidR="005D5367" w:rsidRPr="000B676B" w:rsidRDefault="005D5367" w:rsidP="009076F9">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راجع: فقه الأمر بالمعروف والنهي عن المنكر: 483 ـ 489.</w:t>
      </w:r>
    </w:p>
  </w:footnote>
  <w:footnote w:id="15">
    <w:p w14:paraId="3BDC347E" w14:textId="77777777" w:rsidR="005D5367" w:rsidRPr="000B676B" w:rsidRDefault="005D5367" w:rsidP="00555972">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راجع: تفصيل وسائل الشيعة 16: 119، أبواب الأمر والنهي، باب1، ح7.</w:t>
      </w:r>
    </w:p>
  </w:footnote>
  <w:footnote w:id="16">
    <w:p w14:paraId="09D6902E" w14:textId="77777777" w:rsidR="005D5367" w:rsidRPr="000B676B" w:rsidRDefault="005D5367" w:rsidP="00D14D89">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راجع: فقه الأمر بالمعروف والنهي عن المنكر: 470 ـ 516.</w:t>
      </w:r>
    </w:p>
  </w:footnote>
  <w:footnote w:id="17">
    <w:p w14:paraId="0765F65A" w14:textId="77777777" w:rsidR="005D5367" w:rsidRPr="000B676B" w:rsidRDefault="005D5367" w:rsidP="00AD6C07">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المصدر نفسه: 502 ـ 503.</w:t>
      </w:r>
    </w:p>
  </w:footnote>
  <w:footnote w:id="18">
    <w:p w14:paraId="6DA892AA" w14:textId="77777777" w:rsidR="005D5367" w:rsidRPr="000B676B" w:rsidRDefault="005D5367" w:rsidP="00F97644">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الفتوح 5: 21؛ وبحار الأنوار 44: 329 ـ 330؛ وعوالم</w:t>
      </w:r>
      <w:r>
        <w:rPr>
          <w:rFonts w:ascii="Mosawi" w:eastAsiaTheme="minorHAnsi" w:hAnsi="Mosawi" w:hint="cs"/>
          <w:sz w:val="24"/>
          <w:szCs w:val="24"/>
          <w:rtl/>
        </w:rPr>
        <w:t xml:space="preserve"> العلوم والمعارف (الإمام الحسين)</w:t>
      </w:r>
      <w:r w:rsidRPr="000B676B">
        <w:rPr>
          <w:rFonts w:ascii="Mosawi" w:eastAsiaTheme="minorHAnsi" w:hAnsi="Mosawi"/>
          <w:sz w:val="24"/>
          <w:szCs w:val="24"/>
          <w:rtl/>
        </w:rPr>
        <w:t>: 179؛ ومعالم المدرستين 3: 50؛ ومكاتيب الرسول 2: 366.</w:t>
      </w:r>
    </w:p>
  </w:footnote>
  <w:footnote w:id="19">
    <w:p w14:paraId="770F77E5" w14:textId="77777777" w:rsidR="005D5367" w:rsidRPr="000B676B" w:rsidRDefault="005D5367" w:rsidP="00AD6C07">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دراسات في ولاية الفقيه 1: 612 ـ 613؛ والآصفي، الجهاد: 169 ـ 171؛ والكفاح المسلّح: 83؛ وتحقيق</w:t>
      </w:r>
      <w:r>
        <w:rPr>
          <w:rFonts w:ascii="Mosawi" w:eastAsiaTheme="minorHAnsi" w:hAnsi="Mosawi"/>
          <w:sz w:val="24"/>
          <w:szCs w:val="24"/>
          <w:rtl/>
        </w:rPr>
        <w:t>ي بيرامون ولايت فقيه: 296 ـ 297</w:t>
      </w:r>
      <w:r>
        <w:rPr>
          <w:rFonts w:ascii="Mosawi" w:eastAsiaTheme="minorHAnsi" w:hAnsi="Mosawi" w:hint="cs"/>
          <w:sz w:val="24"/>
          <w:szCs w:val="24"/>
          <w:rtl/>
        </w:rPr>
        <w:t>؛ والصادقي، تبصرة الفقهاء 1: 346.</w:t>
      </w:r>
    </w:p>
  </w:footnote>
  <w:footnote w:id="20">
    <w:p w14:paraId="27777B03" w14:textId="77777777" w:rsidR="005D5367" w:rsidRPr="000B676B" w:rsidRDefault="005D5367" w:rsidP="00F749B1">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الكفاح المسلّح: 83.</w:t>
      </w:r>
    </w:p>
  </w:footnote>
  <w:footnote w:id="21">
    <w:p w14:paraId="2DB6EE71"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الآصفي، الجهاد: 171 ـ 172.</w:t>
      </w:r>
    </w:p>
  </w:footnote>
  <w:footnote w:id="22">
    <w:p w14:paraId="5DE64269" w14:textId="77777777" w:rsidR="005D5367" w:rsidRPr="000B676B" w:rsidRDefault="005D5367" w:rsidP="00301676">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الكفاح المسلّح في الإسلام: 84.</w:t>
      </w:r>
    </w:p>
  </w:footnote>
  <w:footnote w:id="23">
    <w:p w14:paraId="658E9C6B" w14:textId="77777777" w:rsidR="005D5367" w:rsidRPr="000B676B" w:rsidRDefault="005D5367" w:rsidP="00F73A48">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المصدر نفسه.</w:t>
      </w:r>
    </w:p>
  </w:footnote>
  <w:footnote w:id="24">
    <w:p w14:paraId="2B13B2C1" w14:textId="77777777" w:rsidR="005D5367" w:rsidRPr="000B676B" w:rsidRDefault="005D5367" w:rsidP="00AD6C07">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المصدر نفسه؛ والجهاد: 172.</w:t>
      </w:r>
    </w:p>
  </w:footnote>
  <w:footnote w:id="25">
    <w:p w14:paraId="2DBD4F96" w14:textId="77777777" w:rsidR="005D5367" w:rsidRPr="000B676B" w:rsidRDefault="005D5367" w:rsidP="00301676">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دراسات في ولاية الفقيه 1: 611؛ وتحقيقي بيرامون ولايت فقيه: 298 ـ 299.</w:t>
      </w:r>
    </w:p>
  </w:footnote>
  <w:footnote w:id="26">
    <w:p w14:paraId="52A2ED2E" w14:textId="77777777" w:rsidR="005D5367" w:rsidRPr="000B676B" w:rsidRDefault="005D5367" w:rsidP="00F97644">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نهج البلاغة 3: 102؛ وربيع الأبرار 3: 396؛ والتذكرة الحمدونية 1: 324؛ وسنن ابن ماجة 2: 810؛ ومجمع الزوائد 4: 197؛ وانظر: مسند زيد بن علي: 420.</w:t>
      </w:r>
    </w:p>
  </w:footnote>
  <w:footnote w:id="27">
    <w:p w14:paraId="4F71E6AF"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الكفاح المسلّح في الإسلام: 99 ـ 100.</w:t>
      </w:r>
    </w:p>
  </w:footnote>
  <w:footnote w:id="28">
    <w:p w14:paraId="5FABB3C5" w14:textId="77777777" w:rsidR="005D5367" w:rsidRPr="000B676B" w:rsidRDefault="005D5367" w:rsidP="00593935">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دراسات في ولاية الفقيه 1: 614 ـ 618.</w:t>
      </w:r>
    </w:p>
  </w:footnote>
  <w:footnote w:id="29">
    <w:p w14:paraId="591C717E" w14:textId="77777777" w:rsidR="005D5367" w:rsidRPr="000B676B" w:rsidRDefault="005D5367" w:rsidP="00062269">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الكافي 5: 105؛ وتفصيل وسائل الشيعة 17: 178، كتاب التجارة، أبواب ما يكتسب به، باب 42، ح4.</w:t>
      </w:r>
    </w:p>
  </w:footnote>
  <w:footnote w:id="30">
    <w:p w14:paraId="333AE250" w14:textId="77777777" w:rsidR="005D5367" w:rsidRPr="000B676B" w:rsidRDefault="005D5367" w:rsidP="00062269">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الكافي 5: 107؛ وتفصيل وسائل الشيعة 17: 179، كتاب التجارة، أبواب ما يكتسب به، باب 42، ح5.</w:t>
      </w:r>
    </w:p>
  </w:footnote>
  <w:footnote w:id="31">
    <w:p w14:paraId="7508F458" w14:textId="77777777" w:rsidR="005D5367" w:rsidRPr="000B676B" w:rsidRDefault="005D5367" w:rsidP="00FB2973">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تهذيب الأحكام 6: 338؛ وتفصيل وسائل الشيعة 17: 180، كتاب التجارة، أبواب ما يكتسب به، باب 42، ح8.</w:t>
      </w:r>
    </w:p>
  </w:footnote>
  <w:footnote w:id="32">
    <w:p w14:paraId="7392D9A3" w14:textId="77777777" w:rsidR="005D5367" w:rsidRPr="000B676B" w:rsidRDefault="005D5367" w:rsidP="00AD625D">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تفصيل وسائل الشيعة 17: 180 ـ 181، كتاب التجارة، أبواب ما يكتسب به، باب 42، ح11.</w:t>
      </w:r>
    </w:p>
  </w:footnote>
  <w:footnote w:id="33">
    <w:p w14:paraId="63B44437" w14:textId="77777777" w:rsidR="005D5367" w:rsidRPr="000B676B" w:rsidRDefault="005D5367" w:rsidP="0061015E">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الصدوق، ثواب الأعمال: 260؛ وتفصيل وسائل الشيعة 17: 181، كتاب التجارة، أبواب ما يكتسب به، باب 42، ح12.</w:t>
      </w:r>
    </w:p>
  </w:footnote>
  <w:footnote w:id="34">
    <w:p w14:paraId="15A9D184" w14:textId="77777777" w:rsidR="005D5367" w:rsidRPr="000B676B" w:rsidRDefault="005D5367" w:rsidP="00C15FF3">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راجع: تفصيل وسائل الشيعة 17: 183 ـ 184.</w:t>
      </w:r>
    </w:p>
  </w:footnote>
  <w:footnote w:id="35">
    <w:p w14:paraId="2ED77F22" w14:textId="77777777" w:rsidR="005D5367" w:rsidRPr="000B676B" w:rsidRDefault="005D5367" w:rsidP="00C15FF3">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راجع: المصدر نفسه 17: 185 ـ 187.</w:t>
      </w:r>
    </w:p>
  </w:footnote>
  <w:footnote w:id="36">
    <w:p w14:paraId="1C350E73"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راجع: المصدر نفسه 17: 187 ـ 192، والباب الذي يليه: 192 ـ 199.</w:t>
      </w:r>
    </w:p>
  </w:footnote>
  <w:footnote w:id="37">
    <w:p w14:paraId="3A78161D" w14:textId="77777777" w:rsidR="005D5367" w:rsidRPr="000B676B" w:rsidRDefault="005D5367" w:rsidP="0061015E">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xml:space="preserve">) انظر: تحقيقي </w:t>
      </w:r>
      <w:r w:rsidRPr="000B676B">
        <w:rPr>
          <w:rFonts w:ascii="Mosawi" w:eastAsiaTheme="minorHAnsi" w:hAnsi="Mosawi"/>
          <w:sz w:val="24"/>
          <w:szCs w:val="24"/>
          <w:rtl/>
          <w:lang w:bidi="fa-IR"/>
        </w:rPr>
        <w:t>پ</w:t>
      </w:r>
      <w:r w:rsidRPr="000B676B">
        <w:rPr>
          <w:rFonts w:ascii="Mosawi" w:eastAsiaTheme="minorHAnsi" w:hAnsi="Mosawi"/>
          <w:sz w:val="24"/>
          <w:szCs w:val="24"/>
          <w:rtl/>
        </w:rPr>
        <w:t>يرامون ولايت فقيه: 297 ـ 298.</w:t>
      </w:r>
    </w:p>
  </w:footnote>
  <w:footnote w:id="38">
    <w:p w14:paraId="2BF52330" w14:textId="77777777" w:rsidR="005D5367" w:rsidRPr="000B676B" w:rsidRDefault="005D5367" w:rsidP="00CF4097">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اختيار معرفة الرجال 2: 807؛ وتفصيل وسائل الشيعة 28: 319 ـ 320، كتاب الحدود والتعزيرات، أبواب حدّ المحارب، باب6، ح1.</w:t>
      </w:r>
    </w:p>
  </w:footnote>
  <w:footnote w:id="39">
    <w:p w14:paraId="7653BB4E" w14:textId="77777777" w:rsidR="005D5367" w:rsidRPr="000B676B" w:rsidRDefault="005D5367" w:rsidP="00EB0E9A">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اختيار معرفة الرجال 2: 807 ـ 808؛ وتفصيل وسائل الشيعة 28: 320، كتاب الحدود والتعزيرات، أبواب حدّ المحارب، باب6، ح2.</w:t>
      </w:r>
    </w:p>
  </w:footnote>
  <w:footnote w:id="40">
    <w:p w14:paraId="05459B7F" w14:textId="77777777" w:rsidR="005D5367" w:rsidRPr="000B676B" w:rsidRDefault="005D5367" w:rsidP="004A3040">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راجع: فقه الأمر بالمعروف والنهي عن المنكر: 411 ـ 431.</w:t>
      </w:r>
    </w:p>
  </w:footnote>
  <w:footnote w:id="41">
    <w:p w14:paraId="5A6B09DD" w14:textId="77777777" w:rsidR="005D5367" w:rsidRPr="000B676B" w:rsidRDefault="005D5367" w:rsidP="00783C9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دراسات في ولاية الفقيه 1: 599 ـ 600.</w:t>
      </w:r>
    </w:p>
  </w:footnote>
  <w:footnote w:id="42">
    <w:p w14:paraId="57663C00"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الكفاح المسلّح في الإسلام: 100، 287.</w:t>
      </w:r>
    </w:p>
  </w:footnote>
  <w:footnote w:id="43">
    <w:p w14:paraId="0818A83E" w14:textId="77777777" w:rsidR="005D5367" w:rsidRPr="000B676B" w:rsidRDefault="005D5367" w:rsidP="003C06C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دراسات في ولاية الفقيه 1: 612، وقد ختم المنتظريُّ ذكرَ هذا الدليل بكلمة «فتأمل»، وكأنّ لديه مناقشةً فيه طبقاً للعادة الجارية بين المتأخّرين في استخدام هذه الكلمة.</w:t>
      </w:r>
    </w:p>
  </w:footnote>
  <w:footnote w:id="44">
    <w:p w14:paraId="34FAF6A4" w14:textId="77777777" w:rsidR="005D5367" w:rsidRPr="000B676B" w:rsidRDefault="005D5367" w:rsidP="003C06C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الكفاح المسلّح: 101.</w:t>
      </w:r>
    </w:p>
  </w:footnote>
  <w:footnote w:id="45">
    <w:p w14:paraId="1AD4BA30" w14:textId="77777777" w:rsidR="005D5367" w:rsidRPr="000B676B" w:rsidRDefault="005D5367" w:rsidP="0061015E">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المصدر نفسه.</w:t>
      </w:r>
    </w:p>
  </w:footnote>
  <w:footnote w:id="46">
    <w:p w14:paraId="6DF77749" w14:textId="77777777" w:rsidR="005D5367" w:rsidRPr="000B676B" w:rsidRDefault="005D5367" w:rsidP="00721E76">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Pr>
          <w:rFonts w:ascii="Mosawi" w:eastAsiaTheme="minorHAnsi" w:hAnsi="Mosawi"/>
          <w:sz w:val="24"/>
          <w:szCs w:val="24"/>
          <w:rtl/>
        </w:rPr>
        <w:t xml:space="preserve">) </w:t>
      </w:r>
      <w:r>
        <w:rPr>
          <w:rFonts w:ascii="Mosawi" w:eastAsiaTheme="minorHAnsi" w:hAnsi="Mosawi" w:hint="cs"/>
          <w:sz w:val="24"/>
          <w:szCs w:val="24"/>
          <w:rtl/>
        </w:rPr>
        <w:t>من هنا بحثنا هنا لا علاقة له بتقويمنا الشخصي لحركة زيد، بل برصد موقف أهل البيت عند الإماميّة من حركة زيد لا شخصه فقط. وقد كتبت الكثير من الدراسات حول فكر ومكانة وتاريخ وفقه الإمام زيد، ليس آحرها ما كتبه الشيخ محمد أبوزهرة (الإمام زيد، حياته وعصره، آراؤه وفقهه)، وكذلك ما كتبه السيد محسن الأمين العاملي (أبو الحسين زيد الشهيد)، فراجع.</w:t>
      </w:r>
    </w:p>
  </w:footnote>
  <w:footnote w:id="47">
    <w:p w14:paraId="49A82008" w14:textId="77777777" w:rsidR="005D5367" w:rsidRPr="000B676B" w:rsidRDefault="005D5367" w:rsidP="0061015E">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xml:space="preserve">) انظر: دراسات في ولاية الفقيه 1: 606 ـ 607؛ وتحقيقي </w:t>
      </w:r>
      <w:r w:rsidRPr="000B676B">
        <w:rPr>
          <w:rFonts w:ascii="Mosawi" w:eastAsiaTheme="minorHAnsi" w:hAnsi="Mosawi"/>
          <w:sz w:val="24"/>
          <w:szCs w:val="24"/>
          <w:rtl/>
          <w:lang w:bidi="fa-IR"/>
        </w:rPr>
        <w:t>پ</w:t>
      </w:r>
      <w:r w:rsidRPr="000B676B">
        <w:rPr>
          <w:rFonts w:ascii="Mosawi" w:eastAsiaTheme="minorHAnsi" w:hAnsi="Mosawi"/>
          <w:sz w:val="24"/>
          <w:szCs w:val="24"/>
          <w:rtl/>
        </w:rPr>
        <w:t>يرامون ولايت فقيه: 302 ـ 303؛ والكفاح المسلّح: 88 ـ 89؛ وولاية الفقيه في حكومة الإسلام 4: 40 ـ 42؛ والمازندراني، دليل تحرير الوسيلة (ولاية الفقيه): 102.</w:t>
      </w:r>
    </w:p>
  </w:footnote>
  <w:footnote w:id="48">
    <w:p w14:paraId="51E1BE21" w14:textId="77777777" w:rsidR="005D5367" w:rsidRPr="000B676B" w:rsidRDefault="005D5367" w:rsidP="004F41C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الكافي 8: 264.</w:t>
      </w:r>
    </w:p>
  </w:footnote>
  <w:footnote w:id="49">
    <w:p w14:paraId="5C47CF0E" w14:textId="77777777" w:rsidR="005D5367" w:rsidRPr="000B676B" w:rsidRDefault="005D5367" w:rsidP="00F97644">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أمالي الصدوق: 416؛ وانظر: الإرشاد 2: 173؛ وأبا نصر البخاري، سرّ السلسلة العلويّة: 59؛ وكشف الغمّة 2: 342.</w:t>
      </w:r>
    </w:p>
  </w:footnote>
  <w:footnote w:id="50">
    <w:p w14:paraId="49DF2879" w14:textId="77777777" w:rsidR="005D5367" w:rsidRPr="000B676B" w:rsidRDefault="005D5367" w:rsidP="00947D3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اختيار معرفة الرجال 2: 570.</w:t>
      </w:r>
    </w:p>
  </w:footnote>
  <w:footnote w:id="51">
    <w:p w14:paraId="11208260" w14:textId="77777777" w:rsidR="005D5367" w:rsidRPr="000B676B" w:rsidRDefault="005D5367" w:rsidP="00AD625D">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لمزيد اطّلاع، انظر حوله: رجال البرقي: 11، 34؛ ورجال الطوسي: 134، 269؛ ومعجم رجال الحديث 13: 326 ـ 327، رقم 9411.</w:t>
      </w:r>
    </w:p>
  </w:footnote>
  <w:footnote w:id="52">
    <w:p w14:paraId="27365D3E" w14:textId="77777777" w:rsidR="005D5367" w:rsidRPr="000B676B" w:rsidRDefault="005D5367" w:rsidP="006705C3">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حوله: النجاشي، الفهرست: 73؛ ورجال ابن الغضائري: 41؛ وخلاصة الأقوال: 318؛ ومعجم رجال الحديث 3: 67 ـ 69، رقم: 1171، 1173.</w:t>
      </w:r>
    </w:p>
  </w:footnote>
  <w:footnote w:id="53">
    <w:p w14:paraId="6BA3C81F" w14:textId="77777777" w:rsidR="005D5367" w:rsidRPr="000B676B" w:rsidRDefault="005D5367" w:rsidP="00947D3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اختيار معرفة الرجال 2: 652.</w:t>
      </w:r>
    </w:p>
  </w:footnote>
  <w:footnote w:id="54">
    <w:p w14:paraId="05413ABC" w14:textId="77777777" w:rsidR="005D5367" w:rsidRPr="000B676B" w:rsidRDefault="005D5367" w:rsidP="004305C1">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لمزيد اطّلاع، انظر حوله: النجاشي، الفهرست: 183؛ واختيار معرفة الرجال 2: 644 ـ 653؛ والطوسي، الرجال: 215؛ وخلاصة الأقوال: 153 ـ 154؛ ومعجم رجال الحديث 8: 245 ـ 252، رقم: 5430.</w:t>
      </w:r>
    </w:p>
  </w:footnote>
  <w:footnote w:id="55">
    <w:p w14:paraId="3277004F" w14:textId="77777777" w:rsidR="005D5367" w:rsidRPr="000B676B" w:rsidRDefault="005D5367" w:rsidP="00041595">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أمالي الصدوق: 415؛ واختيار معرفة الرجال 2: 498؛ وروضة الواعظين: 269 ـ 270.</w:t>
      </w:r>
    </w:p>
  </w:footnote>
  <w:footnote w:id="56">
    <w:p w14:paraId="1A53B184" w14:textId="77777777" w:rsidR="005D5367" w:rsidRPr="000B676B" w:rsidRDefault="005D5367" w:rsidP="0061015E">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راجع: لسان العرب 15: 205، مادّة: وتر.</w:t>
      </w:r>
    </w:p>
  </w:footnote>
  <w:footnote w:id="57">
    <w:p w14:paraId="17CDCE20" w14:textId="77777777" w:rsidR="005D5367" w:rsidRPr="000B676B" w:rsidRDefault="005D5367" w:rsidP="00103F43">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راجع: اختيار معرفة الرجال 2: 498؛ وخلاصة الأقوال: 423؛ ومعجم رجال الحديث 22: 90، رقم: 14946.</w:t>
      </w:r>
    </w:p>
  </w:footnote>
  <w:footnote w:id="58">
    <w:p w14:paraId="4D696BCE" w14:textId="77777777" w:rsidR="005D5367" w:rsidRPr="000B676B" w:rsidRDefault="005D5367" w:rsidP="00AD59C8">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هو زيد بن موسى بن جعفر الملقّب بزيد النار، والذي توفّي في أواخر خلافة المتوكّل العباسي في النصف الأوّل من القرن الثالث الهجري ، وعرف بزيد النار بسبب تحريقه بيوت العباسيّين في البصرة وحرق كلّ من يؤتى به إليه منهم. وقد وردت نصوص عن الإمام علي الرضا في ذمّه بسبب شدّة ومستوى العنف الذي مارسه مع خصومه.</w:t>
      </w:r>
    </w:p>
  </w:footnote>
  <w:footnote w:id="59">
    <w:p w14:paraId="605990EE" w14:textId="77777777" w:rsidR="005D5367" w:rsidRPr="000B676B" w:rsidRDefault="005D5367" w:rsidP="007E79D2">
      <w:pPr>
        <w:pStyle w:val="FootnoteText"/>
        <w:spacing w:line="187" w:lineRule="auto"/>
        <w:ind w:left="173" w:hanging="173"/>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يقول السيد محمّد صادق آل بحر العلوم (1399هـ) في تعليقاته المدمجة مع أصل كتاب "تاريخ الكوفة" للسيد حسين البراقي النجفي (1332هـ): «الكناسة: كانت أوّلاً تُعرف بكناسة أسد، ثمّ صارت محلّة أو سوقاً أو محطّة تجارية كبرى للعرب، وهي في الكوفة مثل المربد في البصرة، وموقعها من المدخل الغربيّ للكوفة، وفيها تمركزت الأشغال التجاريّة مع البلاد العربيّة فكانت موضعاً للحمولة، توضع فيها الأحمال وترفع منها، وكان في ناحية من نواحي الكناسة أسواق البراذين تجري فيها المعاملات على الماشية من بغالٍ وحمير وإبل بيعاً واكتراءاً من قبل النخاسين وهناك يباع الرقيق، وكان في الكناسة محلّ للشنق، وفيه عرض جثمان زيد بن عليّ، واليوم توجد بناية قائمة بين مسجد سهيل (السهلة) وقريبة منه وبين مسجد الكوفة يؤمّها الناس وتعرف باسم زيد بن علي، ويعتقدون أنّها المحلّ الذي عرض فيه جثمانه شنقاً، فيكون موقع الكناسة اليوم بين مسجد السهلة ومسجد الكوفة.</w:t>
      </w:r>
    </w:p>
    <w:p w14:paraId="6719E528" w14:textId="77777777" w:rsidR="005D5367" w:rsidRPr="000B676B" w:rsidRDefault="005D5367" w:rsidP="007E79D2">
      <w:pPr>
        <w:pStyle w:val="FootnoteText"/>
        <w:spacing w:line="187" w:lineRule="auto"/>
        <w:ind w:left="170" w:hanging="170"/>
        <w:rPr>
          <w:rFonts w:ascii="Mosawi" w:eastAsiaTheme="minorHAnsi" w:hAnsi="Mosawi"/>
          <w:sz w:val="24"/>
          <w:szCs w:val="24"/>
        </w:rPr>
      </w:pPr>
      <w:r w:rsidRPr="000B676B">
        <w:rPr>
          <w:rFonts w:ascii="Mosawi" w:eastAsiaTheme="minorHAnsi" w:hAnsi="Mosawi"/>
          <w:sz w:val="24"/>
          <w:szCs w:val="24"/>
          <w:rtl/>
        </w:rPr>
        <w:t>هذا كلام الأستاذ الشرقي حول الكناسة وتعيين موقعها، ومن الغريب جدّاً صدور ذلك منه، فإنّا لم نعهد اليوم ولا قبل اليوم بناية قائمة بين مسجد السهلة والكوفة يؤمّها الناس وتعرف عندهم باسم زيد بن علي، كي يعتقد أحد أنها المحلّ الذي عرض فيه جثمانه شنقاً، فيحكم الأستاذ أنّه موقع الكناسة. وإنّما البناية التي توجد اليوم هناك هي مسجد زيد بن صوحان صاحب الإمام عليّ×، وهي التي يؤمّها الناس وتعرف عندهم بمسجد زيد بن صوحان، يؤدّون فيه من الوظائف الشرعيّة ما هو مدوّن في كتب الأدعية، ولم يزد الحموي في المعجم على قوله: الكناسة بالضمّ، محلّة بالكوفة عندها أوقع يوسف بن عمر الثقفي بزيد بن علي بن الحسين بن علي بن أبي طالب×. قال العلاّمة الخبير السيد عبد الرزاق الموسوي المقرّم في كتاب زيد الشهيد صفحة 153: ليس بالهيّن معرفة موقع الكناسة مع ما لها من الشهرة وتكرّر الذكر في صفحات التاريخ بمناسبة الحوادث الواقعة فيها، إذ لم تكن خارطة تخطّط أرجاءها ولا بقيت من آثارها ما يتعرّف بها الأحوال، إلا أعلام دارسة وصوى مجهولة، كما هو الشأن في آثار الأمم البائدة والديار الخاوية، فليس في وسع المنقّب الجزم بشيء منها إلا بالتقريب بالوقوف على الرسوم والأتلال والحفريات، أو الركون إلى كلمات مستطردة خلال السير، وحتى الآن لم يتسنّ لنا شيء من تلك القرائن سوى ما وجدناه في فلك النجاة للعلاّمة الحجة السيد مهدي القزويني (قدّس سرّه): إنّ المشهد المعروف لزيد بن علي الذي يزار ويتبرك به محل صلبه وحرقه. وهذه الكلمة من سيّدنا البحّاثة، يجب الاحتفاظ بها لما هو المعهود من غزارة علمه وسعة إحاطته، وقد وثق بها وأرسلها إرسال المسلّمات أخذاً عن أوثق المصادر المتوفّرة عليه، لذلك لم تترك لنا منتدحاً عن الإذعان بها بأن هذا المشهد القائم في شرق قرية ذي الكفل واقع في محل الكناسة، ويشهد له أنّ الصلب وأشباهه ممّا يقصد فيه الإرهاب وتمثيل قوة البأس وشدة السلطان، لا يكون إلا في المحتشدات العامة ومختلف زرافات الناس، وهذا الموضع قريب من النخيلة وهي العباسيّة في كلام ابن نما، والعباسيات اليوم، ولا شك أنّ النخيلة كانت باب الكوفة للخارج إلى الشام والمدائن وكربلاء، ومن هنا عسكر فيها علي× لمّا خرج إلى صفّين، وعسكر الحسن بن علي× لمّا خرج إلى معاوية، وعسكر ابن زياد لمّا جهّز الجيوش لحرب الحسين×، فمناسبٌ أن يكون الصلب في الموضع العام أو بالقرب منه، على أن لا يفوت الغرض المقصود من الإرهاب وإراءة الغلبة وقوّة السلطان، وهذا الاعتبار يؤيّد ما أرسله السيّد المتتبّع، وبقي تحديد الموضع الذي دفن فيه قبل النبش والإخراج على ذمّة التاريخ وسعة المنقب» (تاريخ الكوفة: 168 ـ 169).</w:t>
      </w:r>
    </w:p>
  </w:footnote>
  <w:footnote w:id="60">
    <w:p w14:paraId="6779228B" w14:textId="77777777" w:rsidR="005D5367" w:rsidRPr="000B676B" w:rsidRDefault="005D5367" w:rsidP="00A61577">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عيون أخبار الرضا 2: 225 ـ 226؛ وتفصيل وسائل الشيعة 15: 54؛ وبحار الأنوار 46: 174.</w:t>
      </w:r>
    </w:p>
  </w:footnote>
  <w:footnote w:id="61">
    <w:p w14:paraId="2D2F27BB" w14:textId="77777777" w:rsidR="005D5367" w:rsidRPr="000B676B" w:rsidRDefault="005D5367" w:rsidP="00103F43">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مستدركات علم رجال الحديث 7: 369؛ وقاموس الرجال 9: 652 ـ 653؛ ومعجم رجال الحديث 19: 42، رقم: 12030.</w:t>
      </w:r>
    </w:p>
  </w:footnote>
  <w:footnote w:id="62">
    <w:p w14:paraId="051406BB" w14:textId="77777777" w:rsidR="005D5367" w:rsidRPr="000B676B" w:rsidRDefault="005D5367" w:rsidP="00E94EB7">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تاريخ بغداد 4: 198.</w:t>
      </w:r>
    </w:p>
  </w:footnote>
  <w:footnote w:id="63">
    <w:p w14:paraId="6C52E695" w14:textId="77777777" w:rsidR="005D5367" w:rsidRPr="000B676B" w:rsidRDefault="005D5367" w:rsidP="008745E3">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راجع ـ لمزيد اطّلاع ـ: مستدركات علم رجال الحديث 7: 373.</w:t>
      </w:r>
    </w:p>
  </w:footnote>
  <w:footnote w:id="64">
    <w:p w14:paraId="4364DA3D"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مستدركات علم رجال الحديث 8: 541.</w:t>
      </w:r>
    </w:p>
  </w:footnote>
  <w:footnote w:id="65">
    <w:p w14:paraId="0F153699"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عيون أخبار الرضا 2: 228؛ وبحار الأنوار 46: 175.</w:t>
      </w:r>
    </w:p>
  </w:footnote>
  <w:footnote w:id="66">
    <w:p w14:paraId="3BDC364B"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حوله: مستدركات علم رجال الحديث 2: 209، رقم: 2812.</w:t>
      </w:r>
    </w:p>
  </w:footnote>
  <w:footnote w:id="67">
    <w:p w14:paraId="0A1BA341" w14:textId="77777777" w:rsidR="005D5367" w:rsidRPr="000B676B" w:rsidRDefault="005D5367" w:rsidP="0056231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حوله: المصدر نفسه 2: 454، رقم: 3762.</w:t>
      </w:r>
    </w:p>
  </w:footnote>
  <w:footnote w:id="68">
    <w:p w14:paraId="6152BD71" w14:textId="77777777" w:rsidR="005D5367" w:rsidRPr="000B676B" w:rsidRDefault="005D5367" w:rsidP="006D555B">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أمالي الصدوق: 431؛ وعيون أخبار الرضا 2: 228 ـ 229.</w:t>
      </w:r>
    </w:p>
  </w:footnote>
  <w:footnote w:id="69">
    <w:p w14:paraId="3E3A872B" w14:textId="77777777" w:rsidR="005D5367" w:rsidRPr="000B676B" w:rsidRDefault="005D5367" w:rsidP="007B5023">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ما قيل فيه: معجم رجال الحديث 16: 234 ـ 238، رقم: 10509.</w:t>
      </w:r>
    </w:p>
  </w:footnote>
  <w:footnote w:id="70">
    <w:p w14:paraId="666064C5" w14:textId="77777777" w:rsidR="005D5367" w:rsidRPr="000B676B" w:rsidRDefault="005D5367" w:rsidP="00AB3429">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أي أوائل صلب زيد وليس متأخّراً عن ذلك الزمان.</w:t>
      </w:r>
    </w:p>
  </w:footnote>
  <w:footnote w:id="71">
    <w:p w14:paraId="1B06C5D7" w14:textId="77777777" w:rsidR="005D5367" w:rsidRPr="000B676B" w:rsidRDefault="005D5367" w:rsidP="0056231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أمالي الطوسي: 672؛ ومناقب آل أبي طالب 3: 362.</w:t>
      </w:r>
    </w:p>
  </w:footnote>
  <w:footnote w:id="72">
    <w:p w14:paraId="6DE08EA3" w14:textId="77777777" w:rsidR="005D5367" w:rsidRPr="000B676B" w:rsidRDefault="005D5367" w:rsidP="00AB392C">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جواد جميل، أهل البيت ومنطق الثورة، مجلّة المنهاج، العدد 29: 121.</w:t>
      </w:r>
    </w:p>
  </w:footnote>
  <w:footnote w:id="73">
    <w:p w14:paraId="5ACCF2A2" w14:textId="77777777" w:rsidR="005D5367" w:rsidRPr="000B676B" w:rsidRDefault="005D5367" w:rsidP="007B5023">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حوله: رجال الطوسي: 146، 311، 314، 343؛ ومعجم رجال الحديث 20: 96 ـ 98، رقم: 12933 ـ 12935.</w:t>
      </w:r>
    </w:p>
  </w:footnote>
  <w:footnote w:id="74">
    <w:p w14:paraId="03850E97" w14:textId="77777777" w:rsidR="005D5367" w:rsidRPr="000B676B" w:rsidRDefault="005D5367" w:rsidP="00F73A48">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هذه ليست في القرآن الكريم.</w:t>
      </w:r>
    </w:p>
  </w:footnote>
  <w:footnote w:id="75">
    <w:p w14:paraId="228D7340" w14:textId="77777777" w:rsidR="005D5367" w:rsidRPr="000B676B" w:rsidRDefault="005D5367" w:rsidP="0056231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الكافي 8: 250 ـ 252؛ وتفصيل وسائل الشيعة 3: 207.</w:t>
      </w:r>
    </w:p>
  </w:footnote>
  <w:footnote w:id="76">
    <w:p w14:paraId="278B212A" w14:textId="77777777" w:rsidR="005D5367" w:rsidRPr="000B676B" w:rsidRDefault="005D5367" w:rsidP="006D555B">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أهل البيت ومنطق الثورة، مجلة المنهاج، العدد 29: 122.</w:t>
      </w:r>
    </w:p>
  </w:footnote>
  <w:footnote w:id="77">
    <w:p w14:paraId="1F84039A" w14:textId="77777777" w:rsidR="005D5367" w:rsidRPr="000B676B" w:rsidRDefault="005D5367" w:rsidP="0071781D">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عضادتا الباب هما الخشبتان من جانبي الباب والتي يتمّ إثبات الباب بالجدار من خلالهما.</w:t>
      </w:r>
    </w:p>
  </w:footnote>
  <w:footnote w:id="78">
    <w:p w14:paraId="268AFF64"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أمالي الصدوق: 94؛ وعيون أخبار الرضا 2: 227.</w:t>
      </w:r>
    </w:p>
  </w:footnote>
  <w:footnote w:id="79">
    <w:p w14:paraId="3D746E01" w14:textId="77777777" w:rsidR="005D5367" w:rsidRPr="000B676B" w:rsidRDefault="005D5367" w:rsidP="007B5023">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انظر: رجال ابن الغضائري: 64؛ والنجاشي، الفهرست: 180؛ والطوسي، الرجال: 213، 308؛ ومعجم رجال الحديث 9: 123 ـ 124.</w:t>
      </w:r>
    </w:p>
  </w:footnote>
  <w:footnote w:id="80">
    <w:p w14:paraId="36ACEB90"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أمالي الصدوق: 408 ـ 409؛ وعيون أخبار الرضا 2: 226.</w:t>
      </w:r>
    </w:p>
  </w:footnote>
  <w:footnote w:id="81">
    <w:p w14:paraId="22D5CCEE" w14:textId="77777777" w:rsidR="005D5367" w:rsidRPr="000B676B" w:rsidRDefault="005D5367" w:rsidP="00E17956">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انظر حوله: رجال الطوسي: 202؛ ومعجم رجال الحديث 8: 115.</w:t>
      </w:r>
    </w:p>
  </w:footnote>
  <w:footnote w:id="82">
    <w:p w14:paraId="7F238339"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الكافي 1: 356 ـ 358؛ وتفصيل وسائل الشيعة 27: 157؛ ومدينة المعاجز 5: 86؛ وبحار الأنوار 46: 203 ـ 204.</w:t>
      </w:r>
    </w:p>
  </w:footnote>
  <w:footnote w:id="83">
    <w:p w14:paraId="106E2DD4" w14:textId="77777777" w:rsidR="005D5367" w:rsidRPr="000B676B" w:rsidRDefault="005D5367" w:rsidP="00B1403A">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دراسات في ولاية الفقيه 1: 216 ـ 217.</w:t>
      </w:r>
    </w:p>
  </w:footnote>
  <w:footnote w:id="84">
    <w:p w14:paraId="6DE0C4E7" w14:textId="77777777" w:rsidR="005D5367" w:rsidRPr="000B676B" w:rsidRDefault="005D5367" w:rsidP="00562318">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انظر: المصدر نفسه 1: 217.</w:t>
      </w:r>
    </w:p>
  </w:footnote>
  <w:footnote w:id="85">
    <w:p w14:paraId="62EEB62C" w14:textId="77777777" w:rsidR="005D5367" w:rsidRPr="000B676B" w:rsidRDefault="005D5367" w:rsidP="00E17956">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حوله: معجم رجال الحديث 20: 31، رقم: 12765.</w:t>
      </w:r>
    </w:p>
  </w:footnote>
  <w:footnote w:id="86">
    <w:p w14:paraId="7ACF9152" w14:textId="77777777" w:rsidR="005D5367" w:rsidRPr="000B676B" w:rsidRDefault="005D5367" w:rsidP="000A15E7">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قاموس الرجال 10: 272، رقم: 7799.</w:t>
      </w:r>
    </w:p>
  </w:footnote>
  <w:footnote w:id="87">
    <w:p w14:paraId="0806E0BE" w14:textId="77777777" w:rsidR="005D5367" w:rsidRPr="000B676B" w:rsidRDefault="005D5367" w:rsidP="00E17956">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انظر حوله: المصدر نفسه 11: 605، رقم: 1138.</w:t>
      </w:r>
    </w:p>
  </w:footnote>
  <w:footnote w:id="88">
    <w:p w14:paraId="0AE88682" w14:textId="77777777" w:rsidR="005D5367" w:rsidRPr="000B676B" w:rsidRDefault="005D5367" w:rsidP="00E17956">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أعيان الشيعة 5: 465؛ ومعجم رجال الحديث 6: 227، رقم: 3338.</w:t>
      </w:r>
    </w:p>
  </w:footnote>
  <w:footnote w:id="89">
    <w:p w14:paraId="157CE685" w14:textId="77777777" w:rsidR="005D5367" w:rsidRPr="000B676B" w:rsidRDefault="005D5367" w:rsidP="0056231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واضحٌ جدّاً أنّ عقلية مؤمن الطاق لم تقم على السؤال عن مبرّرات الثورة والمشروع السياسي وغير ذلك، بل قامت على شخص الإمام والزعيم الذي يطالِب الناسَ بالخروج معه، فالمهمّ عنده هو الشخص الداعي للخروج وليس مبرّرات الخروج ومشروعه، وهذا معناه أنّه يعتبر نظريّة الإمامة هو الأصل في السلوك السياسي، وليس مجرّد المشاريع السياسيّة ونحو ذلك.</w:t>
      </w:r>
    </w:p>
  </w:footnote>
  <w:footnote w:id="90">
    <w:p w14:paraId="73A4461E" w14:textId="77777777" w:rsidR="005D5367" w:rsidRPr="000B676B" w:rsidRDefault="005D5367" w:rsidP="000A15E7">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الكافي 1: 174؛ ومدينة المعاجز 5: 273 ـ 274.</w:t>
      </w:r>
    </w:p>
  </w:footnote>
  <w:footnote w:id="91">
    <w:p w14:paraId="0022E9E2" w14:textId="77777777" w:rsidR="005D5367" w:rsidRPr="000B676B" w:rsidRDefault="005D5367" w:rsidP="00E17956">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انظر: معجم رجال الحديث 7: 354 ـ 356.</w:t>
      </w:r>
    </w:p>
  </w:footnote>
  <w:footnote w:id="92">
    <w:p w14:paraId="567335AD" w14:textId="77777777" w:rsidR="005D5367" w:rsidRPr="000B676B" w:rsidRDefault="005D5367" w:rsidP="0056231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الكفاح المسلّح في الإسلام: 93.</w:t>
      </w:r>
    </w:p>
  </w:footnote>
  <w:footnote w:id="93">
    <w:p w14:paraId="1CDF1EFE" w14:textId="77777777" w:rsidR="005D5367" w:rsidRPr="000B676B" w:rsidRDefault="005D5367" w:rsidP="008046D0">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اختيار معرفة الرجال 1: 369؛ والاحتجاج 2: 137؛ ومناقب آل أبي طالب 1: 223؛ وبحار الأنوار 46: 193.</w:t>
      </w:r>
    </w:p>
  </w:footnote>
  <w:footnote w:id="94">
    <w:p w14:paraId="36B4C2C7" w14:textId="77777777" w:rsidR="005D5367" w:rsidRPr="000B676B" w:rsidRDefault="005D5367" w:rsidP="008046D0">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دراسات في ولاية الفقيه 1: 213.</w:t>
      </w:r>
    </w:p>
  </w:footnote>
  <w:footnote w:id="95">
    <w:p w14:paraId="4FA1113A" w14:textId="77777777" w:rsidR="005D5367" w:rsidRPr="000B676B" w:rsidRDefault="005D5367" w:rsidP="005A4A72">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خلاصة الأقوال: 199.</w:t>
      </w:r>
    </w:p>
  </w:footnote>
  <w:footnote w:id="96">
    <w:p w14:paraId="711EBC1A"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النجاشي، الفهرست: 228 ـ 229؛ واختيار معرفة الرجال 2: 745؛ ومعجم رجال الحديث 11: 191، رقم: 6846.</w:t>
      </w:r>
    </w:p>
  </w:footnote>
  <w:footnote w:id="97">
    <w:p w14:paraId="43233013" w14:textId="77777777" w:rsidR="005D5367" w:rsidRPr="000B676B" w:rsidRDefault="005D5367" w:rsidP="00D46E0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اختيار معرفة الرجال 2: 425.</w:t>
      </w:r>
    </w:p>
  </w:footnote>
  <w:footnote w:id="98">
    <w:p w14:paraId="37F821D8" w14:textId="77777777" w:rsidR="005D5367" w:rsidRPr="000B676B" w:rsidRDefault="005D5367" w:rsidP="0056231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المصدر نفسه 2: 425 ـ 426.</w:t>
      </w:r>
    </w:p>
  </w:footnote>
  <w:footnote w:id="99">
    <w:p w14:paraId="4537263F" w14:textId="77777777" w:rsidR="005D5367" w:rsidRPr="000B676B" w:rsidRDefault="005D5367" w:rsidP="00E17956">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حوله: رجال الطوسي: 384؛ ورجال ابن الغضائري: 117؛ واختيار معرفة الرجال 1: 71، و2: 813؛ ومعجم رجال الحديث 3: 228 ـ 229، رقم: 1177.</w:t>
      </w:r>
    </w:p>
  </w:footnote>
  <w:footnote w:id="100">
    <w:p w14:paraId="6FC3235D" w14:textId="77777777" w:rsidR="005D5367" w:rsidRPr="000B676B" w:rsidRDefault="005D5367" w:rsidP="00E17956">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حوله: معجم رجال الحديث 23: 34، رقم: 14763.</w:t>
      </w:r>
    </w:p>
  </w:footnote>
  <w:footnote w:id="101">
    <w:p w14:paraId="2C3096E1" w14:textId="77777777" w:rsidR="005D5367" w:rsidRPr="000B676B" w:rsidRDefault="005D5367" w:rsidP="0090093D">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علقمة بن محمّد الحضرمي هو الأخ الأكبر لأبي بكر عبد الله بن محمّد الحضرمي.</w:t>
      </w:r>
    </w:p>
  </w:footnote>
  <w:footnote w:id="102">
    <w:p w14:paraId="5F190563" w14:textId="37CFAAEF" w:rsidR="005D5367" w:rsidRPr="000B676B" w:rsidRDefault="005D5367" w:rsidP="00A47C06">
      <w:pPr>
        <w:pStyle w:val="FootnoteText"/>
        <w:spacing w:line="199" w:lineRule="auto"/>
        <w:ind w:left="173" w:hanging="173"/>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xml:space="preserve">) </w:t>
      </w:r>
      <w:r w:rsidRPr="000B676B">
        <w:rPr>
          <w:rFonts w:ascii="Mosawi" w:eastAsiaTheme="minorHAnsi" w:hAnsi="Mosawi"/>
          <w:b/>
          <w:bCs/>
          <w:sz w:val="24"/>
          <w:szCs w:val="24"/>
          <w:rtl/>
        </w:rPr>
        <w:t>في تقديري هذا الإشكال على زيد غير دقيق؛</w:t>
      </w:r>
      <w:r w:rsidRPr="000B676B">
        <w:rPr>
          <w:rFonts w:ascii="Mosawi" w:eastAsiaTheme="minorHAnsi" w:hAnsi="Mosawi"/>
          <w:sz w:val="24"/>
          <w:szCs w:val="24"/>
          <w:rtl/>
        </w:rPr>
        <w:t xml:space="preserve"> لأنّ زيداً لا يريد القول بأنّ الإمام يجب عليه الخروج كيفما كان ولو كان عالماً بالفشل والهزيمة، بل لعلّ مقصوده الأصل ـ كما هو ليس ببعيد ـ أنّه حيث يمكن الخروج فإنّه واجب، والمفروض أنّ عدم خروج عليّ والحسن والحسين كان في ظرف عدم الإمكان من وجهة نظر زيد، بعكس الحالة التي هو فيها، فإذا أراد الإمامي أن يناقش الزيديّ هنا فلا يصحّ أن يقول له بأنّ عليّاً لم يخرج، بل يجب أن يقنعه أنّ عدم خروج جعفر الصادق كان لأسبابٍ مشابهة لعدم خروج من قبله، فانتبه جيّداً. وكأنّ الزيديَّ رأى أنّ سياسة الإمام زين العابدين وصولاً للإمام الحسن العسكري كانت على رفض الخروج، فكأنّ هذا هو الأصل عندهم إلى مجيء القائم من آل محمّد في آخر الزمان، لا أنّهم كانوا في حالة دائمة للاستعداد للخروج، لكن لم تحن الفرص، بل تثقيفهم كان على العكس. وهذا ما ينبغي بحثه بعمقٍ في سيرة الأئمة بعد الحسين.</w:t>
      </w:r>
    </w:p>
  </w:footnote>
  <w:footnote w:id="103">
    <w:p w14:paraId="5DF08406" w14:textId="77777777" w:rsidR="005D5367" w:rsidRPr="000B676B" w:rsidRDefault="005D5367" w:rsidP="00A47C06">
      <w:pPr>
        <w:pStyle w:val="FootnoteText"/>
        <w:spacing w:line="199" w:lineRule="auto"/>
        <w:ind w:left="173" w:hanging="173"/>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يمكن أن تكون الكلمة "تبصّر" أي تطلّع أو يتطلّع ـ باحتمالَي الماضي والمضارع ـ للكلام والحوار ويركّز فيه ويبصره، بمعنى يطلبه ويريد الحوار وأنّه متحمّس له، واحتمل الميرداماد في (تعليقته على رجال الكشي 2: 715 ـ 716) أنّ الصيغة هي "يُنَضِّر الكلامَ" بمعنى يُحْسِنُ الكلامَ، فكأنّه إشارة إلى أنّه رغم إحسانه للكلام والمناظرة، لكنّه هنا سكت، في إشارة إلى تبكيته وهزيمته في الجدل.</w:t>
      </w:r>
    </w:p>
  </w:footnote>
  <w:footnote w:id="104">
    <w:p w14:paraId="6F05CAF2" w14:textId="77777777" w:rsidR="005D5367" w:rsidRPr="000B676B" w:rsidRDefault="005D5367" w:rsidP="00A47C06">
      <w:pPr>
        <w:pStyle w:val="FootnoteText"/>
        <w:spacing w:line="199" w:lineRule="auto"/>
        <w:ind w:left="173" w:hanging="173"/>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اختيار معرفة الرجال 2: 715 ـ 716.</w:t>
      </w:r>
    </w:p>
  </w:footnote>
  <w:footnote w:id="105">
    <w:p w14:paraId="4C478DEA" w14:textId="77777777" w:rsidR="005D5367" w:rsidRPr="000B676B" w:rsidRDefault="005D5367" w:rsidP="00A47C06">
      <w:pPr>
        <w:pStyle w:val="FootnoteText"/>
        <w:spacing w:line="199" w:lineRule="auto"/>
        <w:ind w:left="173" w:hanging="173"/>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حولهما وما قيل فيهما: معجم رجال الحديث 4: 242، رقم: 1823، و16: 189 ـ 192، رقم: 10439.</w:t>
      </w:r>
    </w:p>
  </w:footnote>
  <w:footnote w:id="106">
    <w:p w14:paraId="701C2857" w14:textId="77777777" w:rsidR="005D5367" w:rsidRPr="000B676B" w:rsidRDefault="005D5367" w:rsidP="00D907A2">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قال المجلسي: «بيان: قال الجزري فيه: إنّ قيسا ضراء الله: هو بالكسر جمع ضرو، وهو من السباع ما ضري بالصيد ولهج به، أي أنّهم شجعان، تشبيهاً بالسباع الضارية في شجاعتها، يقال: ضري بالشيء يضرى ضري وضراوة [فهو ضار إذا اعتاده ـ ومنه الحديث ـ إنّ للإسلام ضراوة] أي عادة ولهجا به لا يصبر عنه» (بحار الأنوار 46: 195).</w:t>
      </w:r>
    </w:p>
  </w:footnote>
  <w:footnote w:id="107">
    <w:p w14:paraId="034485C0" w14:textId="77777777" w:rsidR="005D5367" w:rsidRPr="000B676B" w:rsidRDefault="005D5367" w:rsidP="00AC2ACD">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هذا يدلّ على عدم اعتقاد زيد بإمامة والده عليّ بن الحسين.</w:t>
      </w:r>
    </w:p>
  </w:footnote>
  <w:footnote w:id="108">
    <w:p w14:paraId="76CBB8D7" w14:textId="77777777" w:rsidR="005D5367" w:rsidRPr="000B676B" w:rsidRDefault="005D5367" w:rsidP="00373759">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كأنّما الكناني يريد أن يُلزمه بأنّك كنتَ تعتقد بإمامة الباقر، فكيف تقول الآن بأنّهم أربعة؟!</w:t>
      </w:r>
    </w:p>
  </w:footnote>
  <w:footnote w:id="109">
    <w:p w14:paraId="007F02C1" w14:textId="77777777" w:rsidR="005D5367" w:rsidRPr="000B676B" w:rsidRDefault="005D5367" w:rsidP="007D287B">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كأنّما الإمام الصادق يريد إبطال معياريّة الخروج بالسيف في عنوان الإمامة، فيعطي مثال تعدّد الخارجين بحيث نحتاج لمعيارٍ آخر.</w:t>
      </w:r>
    </w:p>
  </w:footnote>
  <w:footnote w:id="110">
    <w:p w14:paraId="239946DC" w14:textId="77777777" w:rsidR="005D5367" w:rsidRPr="000B676B" w:rsidRDefault="005D5367" w:rsidP="007D287B">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اختيار معرفة الرجال 2: 639 ـ 640.</w:t>
      </w:r>
    </w:p>
  </w:footnote>
  <w:footnote w:id="111">
    <w:p w14:paraId="4A4027DC" w14:textId="77777777" w:rsidR="005D5367" w:rsidRPr="000B676B" w:rsidRDefault="005D5367" w:rsidP="007D287B">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النجاشي، الفهرست: 259.</w:t>
      </w:r>
    </w:p>
  </w:footnote>
  <w:footnote w:id="112">
    <w:p w14:paraId="1A460245" w14:textId="77777777" w:rsidR="005D5367" w:rsidRPr="000B676B" w:rsidRDefault="005D5367" w:rsidP="00E50D0A">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المصدر نفسه: 372.</w:t>
      </w:r>
    </w:p>
  </w:footnote>
  <w:footnote w:id="113">
    <w:p w14:paraId="0AD1DD0C" w14:textId="77777777" w:rsidR="005D5367" w:rsidRPr="000B676B" w:rsidRDefault="005D5367" w:rsidP="00E50D0A">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راجع: خلاصة الأقوال: 177، حيث جعله في القسم الأوّل؛ ومستدركات علم رجال الحديث 5: 465، 466.</w:t>
      </w:r>
    </w:p>
  </w:footnote>
  <w:footnote w:id="114">
    <w:p w14:paraId="3019CFE1" w14:textId="77777777" w:rsidR="005D5367" w:rsidRPr="000B676B" w:rsidRDefault="005D5367" w:rsidP="003B0240">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انظر حوله: معجم رجال الحديث 16: 26 ـ 29، رقم: 10177.</w:t>
      </w:r>
    </w:p>
  </w:footnote>
  <w:footnote w:id="115">
    <w:p w14:paraId="6948BF41" w14:textId="77777777" w:rsidR="005D5367" w:rsidRPr="000B676B" w:rsidRDefault="005D5367" w:rsidP="006712C7">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راجع: الخزاز القمي، كفاية الأثر: 299 ـ 311.</w:t>
      </w:r>
    </w:p>
  </w:footnote>
  <w:footnote w:id="116">
    <w:p w14:paraId="26DE1C9F" w14:textId="77777777" w:rsidR="005D5367" w:rsidRPr="000B676B" w:rsidRDefault="005D5367" w:rsidP="00D66194">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مرآة العقول 4: 118؛ وبحار الأنوار 46: 205.</w:t>
      </w:r>
    </w:p>
  </w:footnote>
  <w:footnote w:id="117">
    <w:p w14:paraId="31FCCAD7" w14:textId="77777777" w:rsidR="005D5367" w:rsidRPr="000B676B" w:rsidRDefault="005D5367" w:rsidP="00D66194">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معجم رجال الحديث 8: 360.</w:t>
      </w:r>
    </w:p>
  </w:footnote>
  <w:footnote w:id="118">
    <w:p w14:paraId="49FE7418" w14:textId="77777777" w:rsidR="005D5367" w:rsidRPr="000B676B" w:rsidRDefault="005D5367" w:rsidP="009F2F8B">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أبو الفاضل الرضوي الأردكاني، شخصيّت وقيام زيد بن علي: 142 ـ 143.</w:t>
      </w:r>
    </w:p>
  </w:footnote>
  <w:footnote w:id="119">
    <w:p w14:paraId="41B89C54" w14:textId="77777777" w:rsidR="005D5367" w:rsidRPr="000B676B" w:rsidRDefault="005D5367" w:rsidP="00B934B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تماماً كما هي إمكانيّة أن تكون روايات صلح الإمام الحسن وبنود هذا الصلح من وضع العباسيّين والأمويّين؛ لكي يشيروا للحسنيّين والزيديّة إلى أنّ الحسن نفسه كان شخصيّة مسالمة، ولم يكن ثوريّاً.</w:t>
      </w:r>
    </w:p>
  </w:footnote>
  <w:footnote w:id="120">
    <w:p w14:paraId="625213A9" w14:textId="77777777" w:rsidR="005D5367" w:rsidRPr="000B676B" w:rsidRDefault="005D5367" w:rsidP="00B934B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شخصيّت وقيام زيد بن علي: 142 ـ 143.</w:t>
      </w:r>
    </w:p>
  </w:footnote>
  <w:footnote w:id="121">
    <w:p w14:paraId="01C92FBD" w14:textId="77777777" w:rsidR="005D5367" w:rsidRPr="000B676B" w:rsidRDefault="005D5367" w:rsidP="00E312D1">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الإرشاد 2: 171.</w:t>
      </w:r>
    </w:p>
  </w:footnote>
  <w:footnote w:id="122">
    <w:p w14:paraId="1E390402" w14:textId="77777777" w:rsidR="005D5367" w:rsidRPr="000B676B" w:rsidRDefault="005D5367" w:rsidP="00CA209C">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كفاية الأثر: 305.</w:t>
      </w:r>
    </w:p>
  </w:footnote>
  <w:footnote w:id="123">
    <w:p w14:paraId="0C5B89DD" w14:textId="77777777" w:rsidR="005D5367" w:rsidRPr="000B676B" w:rsidRDefault="005D5367" w:rsidP="00CA209C">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القواعد والفوائد 2: 206 ـ 207.</w:t>
      </w:r>
    </w:p>
  </w:footnote>
  <w:footnote w:id="124">
    <w:p w14:paraId="2EC49231" w14:textId="77777777" w:rsidR="005D5367" w:rsidRPr="000B676B" w:rsidRDefault="005D5367" w:rsidP="000F376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xml:space="preserve">) </w:t>
      </w:r>
      <w:r w:rsidRPr="000B676B">
        <w:rPr>
          <w:rFonts w:ascii="Mosawi" w:eastAsiaTheme="minorHAnsi" w:hAnsi="Mosawi"/>
          <w:b/>
          <w:bCs/>
          <w:sz w:val="24"/>
          <w:szCs w:val="24"/>
          <w:rtl/>
        </w:rPr>
        <w:t xml:space="preserve">كلام المجلسي قابلٌ للمناقشة؛ </w:t>
      </w:r>
      <w:r w:rsidRPr="000B676B">
        <w:rPr>
          <w:rFonts w:ascii="Mosawi" w:eastAsiaTheme="minorHAnsi" w:hAnsi="Mosawi"/>
          <w:sz w:val="24"/>
          <w:szCs w:val="24"/>
          <w:rtl/>
        </w:rPr>
        <w:t>وذلك أنّ مجرّد خروجه في غير سياق التنسيق مع الإمام الصادق، لا يعني أنّه ادّعى الإمامة لنفسه في مقابل إمامة الصادق، بل كلّ ما في الأمر أنّه أراد تحقيق الأمر بالمعروف والنهي عن المنكر، وهو لا يؤمن بإمامة الصادق حيث لم تثبت لديه، بل وبعض روايات الإماميّة التي أشرنا لبعضها توحي بكونه غير عالم بقضيّة الإمامة كما في حواره مع مؤمن الطاق، فالرجل لا يؤمن بالإمامة، وخرج لتحقيق العدل، دون أن يدّعي إمامةً له بمعنى الخلافة عن الرسول، فهل هذا موجبٌ لكفره؟! علماً أنّه من الممكن أن يكون معتقداً بالإمامة العلميّة والروحيّة للصادق، وهذا هو مفهومه لإمامة الصادق، كما توحيه بعض النصوص عنه، وعليه فبكاء أهل البيت عليه لا يفيد تحسين ثورته، بل يفيد صلاحه في نفسه ولو كان مخطئاً مشتبهاً.</w:t>
      </w:r>
    </w:p>
  </w:footnote>
  <w:footnote w:id="125">
    <w:p w14:paraId="46293067" w14:textId="77777777" w:rsidR="005D5367" w:rsidRPr="000B676B" w:rsidRDefault="005D5367" w:rsidP="008333A6">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مرآة العقول 4: 118.</w:t>
      </w:r>
    </w:p>
  </w:footnote>
  <w:footnote w:id="126">
    <w:p w14:paraId="3532A7A6" w14:textId="77777777" w:rsidR="005D5367" w:rsidRPr="000B676B" w:rsidRDefault="005D5367" w:rsidP="00004FDB">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يفترض بصاحب البحار أن يضيف هنا (وغيرهم)؛ إذ لا خصوصيّة لأولاد الأئمّة في هذا الموضوع، فحُسن الظنّ بالمسلم مطلوب مطلقاً.</w:t>
      </w:r>
    </w:p>
  </w:footnote>
  <w:footnote w:id="127">
    <w:p w14:paraId="7356690A" w14:textId="77777777" w:rsidR="005D5367" w:rsidRPr="000B676B" w:rsidRDefault="005D5367" w:rsidP="00211B5D">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بحار الأنوار 46: 205.</w:t>
      </w:r>
    </w:p>
  </w:footnote>
  <w:footnote w:id="128">
    <w:p w14:paraId="55088763" w14:textId="77777777" w:rsidR="005D5367" w:rsidRPr="000B676B" w:rsidRDefault="005D5367" w:rsidP="00854D7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راجع: الغدير 3: 69 ـ 76.</w:t>
      </w:r>
    </w:p>
  </w:footnote>
  <w:footnote w:id="129">
    <w:p w14:paraId="433ECA64" w14:textId="77777777" w:rsidR="005D5367" w:rsidRPr="000B676B" w:rsidRDefault="005D5367" w:rsidP="00E50D0A">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المصدر نفسه 3: 74.</w:t>
      </w:r>
    </w:p>
  </w:footnote>
  <w:footnote w:id="130">
    <w:p w14:paraId="5AE7279B" w14:textId="77777777" w:rsidR="005D5367" w:rsidRPr="000B676B" w:rsidRDefault="005D5367" w:rsidP="003E1BBD">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xml:space="preserve">) </w:t>
      </w:r>
      <w:r w:rsidRPr="000B676B">
        <w:rPr>
          <w:rFonts w:ascii="Mosawi" w:hAnsi="Mosawi"/>
          <w:sz w:val="24"/>
          <w:szCs w:val="24"/>
          <w:rtl/>
        </w:rPr>
        <w:t>كشف الأسرار في شرح الاستبصار 2: 369.</w:t>
      </w:r>
    </w:p>
  </w:footnote>
  <w:footnote w:id="131">
    <w:p w14:paraId="70E757DF" w14:textId="77777777" w:rsidR="005D5367" w:rsidRPr="000B676B" w:rsidRDefault="005D5367" w:rsidP="007521F3">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xml:space="preserve">) انظر: </w:t>
      </w:r>
      <w:r w:rsidRPr="000B676B">
        <w:rPr>
          <w:rFonts w:ascii="Mosawi" w:hAnsi="Mosawi"/>
          <w:sz w:val="24"/>
          <w:szCs w:val="24"/>
          <w:rtl/>
        </w:rPr>
        <w:t>كفاية الأثر: 305 ـ 306.</w:t>
      </w:r>
    </w:p>
  </w:footnote>
  <w:footnote w:id="132">
    <w:p w14:paraId="7622FBCC" w14:textId="77777777" w:rsidR="005D5367" w:rsidRPr="000B676B" w:rsidRDefault="005D5367" w:rsidP="00F424FC">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مجمع البحرين 3: 60 ـ 61.</w:t>
      </w:r>
    </w:p>
  </w:footnote>
  <w:footnote w:id="133">
    <w:p w14:paraId="3722AFA1" w14:textId="77777777" w:rsidR="005D5367" w:rsidRPr="000B676B" w:rsidRDefault="005D5367" w:rsidP="00E50D0A">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قال المجلسي: «و"تيم" قبيلة أبي بكر، و"عدي" قبيلة عمر، أي ما طمع من غصب خلافته التيميّ والعدوي، أو قبيلتهما» (بحار الأنوار 64: 161).</w:t>
      </w:r>
    </w:p>
  </w:footnote>
  <w:footnote w:id="134">
    <w:p w14:paraId="48B88A54" w14:textId="77777777" w:rsidR="005D5367" w:rsidRPr="000B676B" w:rsidRDefault="005D5367" w:rsidP="00B83A64">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الكافي 2: 242.</w:t>
      </w:r>
    </w:p>
  </w:footnote>
  <w:footnote w:id="135">
    <w:p w14:paraId="6A9FA65C" w14:textId="77777777" w:rsidR="005D5367" w:rsidRPr="000B676B" w:rsidRDefault="005D5367" w:rsidP="00E50D0A">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نهج البلاغة 1: 67؛ ومناقب آل أبي طالب 1: 233.</w:t>
      </w:r>
    </w:p>
  </w:footnote>
  <w:footnote w:id="136">
    <w:p w14:paraId="09BDFC34" w14:textId="77777777" w:rsidR="005D5367" w:rsidRPr="000B676B" w:rsidRDefault="005D5367" w:rsidP="00E50D0A">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شرح نهج البلاغة 2: 22، 47؛ وعنه أخذ من أتى بعده، وقد نسبه إلى نصر بن مزاحم.</w:t>
      </w:r>
    </w:p>
  </w:footnote>
  <w:footnote w:id="137">
    <w:p w14:paraId="58811621"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دراسات في ولاية الفقيه 1: 609 ـ 610.</w:t>
      </w:r>
    </w:p>
  </w:footnote>
  <w:footnote w:id="138">
    <w:p w14:paraId="6B3AD584" w14:textId="77777777" w:rsidR="005D5367" w:rsidRPr="000B676B" w:rsidRDefault="005D5367" w:rsidP="003B0240">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راجع: معجم رجال الحديث 1: 165، 166 ـ 167، 184 ـ 190.</w:t>
      </w:r>
    </w:p>
  </w:footnote>
  <w:footnote w:id="139">
    <w:p w14:paraId="4B1E0783" w14:textId="77777777" w:rsidR="005D5367" w:rsidRPr="000B676B" w:rsidRDefault="005D5367" w:rsidP="00A747B7">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xml:space="preserve">) انظر: تحقيقي </w:t>
      </w:r>
      <w:r w:rsidRPr="000B676B">
        <w:rPr>
          <w:rFonts w:ascii="Mosawi" w:eastAsiaTheme="minorHAnsi" w:hAnsi="Mosawi"/>
          <w:sz w:val="24"/>
          <w:szCs w:val="24"/>
          <w:rtl/>
          <w:lang w:bidi="fa-IR"/>
        </w:rPr>
        <w:t>پ</w:t>
      </w:r>
      <w:r w:rsidRPr="000B676B">
        <w:rPr>
          <w:rFonts w:ascii="Mosawi" w:eastAsiaTheme="minorHAnsi" w:hAnsi="Mosawi"/>
          <w:sz w:val="24"/>
          <w:szCs w:val="24"/>
          <w:rtl/>
        </w:rPr>
        <w:t>يرامون ولايت فقيه: 302 ـ 303.</w:t>
      </w:r>
    </w:p>
  </w:footnote>
  <w:footnote w:id="140">
    <w:p w14:paraId="5A130F6B" w14:textId="77777777" w:rsidR="005D5367" w:rsidRPr="000B676B" w:rsidRDefault="005D5367" w:rsidP="009F2F8B">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وقعت هذه الحركة الحَسَنيّة في الثامن من ذي الحجّة عام 169هـ في زمن الخليفة العباسي الهادي، على إثر ارتفاع مستوى التوتّر بين العباسيّين والعلويّين في مختلف المناطق. وقد انطلقت هذه الحركة في المدينة المنوّرة، فأحكمت السلطة عليها، ثم تحرّكوا قبيل موسم الحجّ باتجاه مكّة، فوقعت مواجهة بينهم وبين العباسيّين في منطقة فخّ. وتُصنّف هذه الواقعة من الوقائع الأشدّ قسوةً على العلويّين بعد واقعة الإمام الحسين بن علي، وقد قال جمال الدين الحسيني (828هـ) في (عمدة الطالب في أنساب آل أبي طالب: 183): «ونقل أبو نصر البخاري عن محمّد الجواد بن علي الرضا× أنّه قال: لم يكن لنا بعد الطفّ مصرعٌ أعظمَ من فخّ».</w:t>
      </w:r>
    </w:p>
    <w:p w14:paraId="28436C1E" w14:textId="77777777" w:rsidR="005D5367" w:rsidRPr="000B676B" w:rsidRDefault="005D5367" w:rsidP="00587A91">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وقد أدّت هذه الحركة بعد انتهائها إلى تفرّق الحسنيّين والزيديّة والمناصرين لهم في مختلف أرجاء الأرض ـ شرقاً وغرباً ـ فراراً من بطش العباسيّين، مثل يحيى بن عبد الله الذي اتجه إلى الديلم وصنع لنفسه إمامة، ثمّ قضى على حركته هارون الرشيد، ومثل إدريس بن عبد الله بن الحسن المثنّى، الذي خرج باتجاه الغرب، وصولاً إلى طنجة حيث أسّس دولة الأدارسة، وبات يعرف بإدريس الأوّل.</w:t>
      </w:r>
    </w:p>
    <w:p w14:paraId="3D97721F" w14:textId="77777777" w:rsidR="005D5367" w:rsidRPr="000B676B" w:rsidRDefault="005D5367" w:rsidP="00A5187E">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هذا، وما تزال مقبرة شهداء فخّ موجودة اليوم في مكّة، لكنّ قبورها مهدّمة. ويقصدها الكثير من الزوّار الشيعة، وتُذكر لها زيارة مستحبّة، لكنّ الاستحباب غير ثابت لها بعنوانها على مستوى الصنعة الفقهيّة.</w:t>
      </w:r>
    </w:p>
  </w:footnote>
  <w:footnote w:id="141">
    <w:p w14:paraId="7601E414" w14:textId="77777777" w:rsidR="005D5367" w:rsidRPr="000B676B" w:rsidRDefault="005D5367" w:rsidP="00E8338C">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الكفاح المسلّح: 95 ـ 91.</w:t>
      </w:r>
    </w:p>
  </w:footnote>
  <w:footnote w:id="142">
    <w:p w14:paraId="4197C4C8" w14:textId="77777777" w:rsidR="005D5367" w:rsidRPr="000B676B" w:rsidRDefault="005D5367" w:rsidP="009F2F8B">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مقاتل الطالبيّين: 289.</w:t>
      </w:r>
    </w:p>
  </w:footnote>
  <w:footnote w:id="143">
    <w:p w14:paraId="76650DAF" w14:textId="77777777" w:rsidR="005D5367" w:rsidRPr="000B676B" w:rsidRDefault="005D5367" w:rsidP="00FC2BEE">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مستدركات علم رجال الحديث 8: 576.</w:t>
      </w:r>
    </w:p>
  </w:footnote>
  <w:footnote w:id="144">
    <w:p w14:paraId="1DCAFB65"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مقاتل الطالبيّين: 290.</w:t>
      </w:r>
    </w:p>
  </w:footnote>
  <w:footnote w:id="145">
    <w:p w14:paraId="0F1B1F3F" w14:textId="77777777" w:rsidR="005D5367" w:rsidRPr="000B676B" w:rsidRDefault="005D5367" w:rsidP="004F6021">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حوله: الطوسي، الفهرست: 164؛ ومعالم العلماء: 104؛ ومعجم رجال الحديث 13: 73، رقم: 8239؛ والذريعة 16: 268.</w:t>
      </w:r>
    </w:p>
  </w:footnote>
  <w:footnote w:id="146">
    <w:p w14:paraId="1E8A674A" w14:textId="77777777" w:rsidR="005D5367" w:rsidRPr="000B676B" w:rsidRDefault="005D5367" w:rsidP="00DC6F6D">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سير أعلام النبلاء 14: 430.</w:t>
      </w:r>
    </w:p>
  </w:footnote>
  <w:footnote w:id="147">
    <w:p w14:paraId="3EA94C96" w14:textId="77777777" w:rsidR="005D5367" w:rsidRPr="000B676B" w:rsidRDefault="005D5367" w:rsidP="008C060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مقاتل الطالبيين: 290.</w:t>
      </w:r>
    </w:p>
  </w:footnote>
  <w:footnote w:id="148">
    <w:p w14:paraId="7FEBF400" w14:textId="77777777" w:rsidR="005D5367" w:rsidRPr="000B676B" w:rsidRDefault="005D5367" w:rsidP="00DC6F6D">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راجع حوله: رجال الطوسي، 148، 315؛ ومعجم رجال الحديث 20: 174 ـ 175، رقم: 13081 ـ 13082؛ وقاموس الرجال 10: 386.</w:t>
      </w:r>
    </w:p>
  </w:footnote>
  <w:footnote w:id="149">
    <w:p w14:paraId="19FC9837"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مقاتل الطالبيين: 304.</w:t>
      </w:r>
    </w:p>
  </w:footnote>
  <w:footnote w:id="150">
    <w:p w14:paraId="0A684555" w14:textId="77777777" w:rsidR="005D5367" w:rsidRPr="000B676B" w:rsidRDefault="005D5367" w:rsidP="00FC2BEE">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المصدر نفسه: 302.</w:t>
      </w:r>
    </w:p>
  </w:footnote>
  <w:footnote w:id="151">
    <w:p w14:paraId="5D388F11" w14:textId="77777777" w:rsidR="005D5367" w:rsidRPr="000B676B" w:rsidRDefault="005D5367" w:rsidP="00FC2984">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معجم رجال الحديث 7: 44؛ ودراسات في ولاية الفقيه 1: 609.</w:t>
      </w:r>
    </w:p>
  </w:footnote>
  <w:footnote w:id="152">
    <w:p w14:paraId="5DD55A10" w14:textId="77777777" w:rsidR="005D5367" w:rsidRPr="000B676B" w:rsidRDefault="005D5367" w:rsidP="009E62B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الطوسي، الرجال: 182.</w:t>
      </w:r>
    </w:p>
  </w:footnote>
  <w:footnote w:id="153">
    <w:p w14:paraId="5CECFE50" w14:textId="77777777" w:rsidR="005D5367" w:rsidRPr="000B676B" w:rsidRDefault="005D5367" w:rsidP="009E62B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رجال ابن داود: 81.</w:t>
      </w:r>
    </w:p>
  </w:footnote>
  <w:footnote w:id="154">
    <w:p w14:paraId="0AE52F7D"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نقد الرجال 2: 105.</w:t>
      </w:r>
    </w:p>
  </w:footnote>
  <w:footnote w:id="155">
    <w:p w14:paraId="155B7B85" w14:textId="77777777" w:rsidR="005D5367" w:rsidRPr="000B676B" w:rsidRDefault="005D5367" w:rsidP="009E62B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جامع الرواة 1: 248.</w:t>
      </w:r>
    </w:p>
  </w:footnote>
  <w:footnote w:id="156">
    <w:p w14:paraId="719E5E20"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التعليقة على منهج المقال: 144.</w:t>
      </w:r>
    </w:p>
  </w:footnote>
  <w:footnote w:id="157">
    <w:p w14:paraId="638DF665"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الكافي 1: 366.</w:t>
      </w:r>
    </w:p>
  </w:footnote>
  <w:footnote w:id="158">
    <w:p w14:paraId="58327BCC"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المازندراني، شرح أصول الكافي 6: 327؛ وبحار الأنوار 48: 165.</w:t>
      </w:r>
    </w:p>
  </w:footnote>
  <w:footnote w:id="159">
    <w:p w14:paraId="23C42BA9" w14:textId="77777777" w:rsidR="005D5367" w:rsidRPr="000B676B" w:rsidRDefault="005D5367" w:rsidP="00FC2BEE">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حوله: معجم رجال الحديث 17: 90، رقم: 10775؛ ومستدركات علم رجال الحديث 7: 95.</w:t>
      </w:r>
    </w:p>
  </w:footnote>
  <w:footnote w:id="160">
    <w:p w14:paraId="37CBB11C" w14:textId="77777777" w:rsidR="005D5367" w:rsidRPr="000B676B" w:rsidRDefault="005D5367" w:rsidP="001B63AC">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راجع: النجاشي، الفهرست: 225؛ وابن الغضائري، الرجال: 76؛ وخلاصة الأقوال: 373؛ ورجال ابن داود: 253؛ ومعجم رجال الحديث 11: 182 ـ 184، رقم: 6830.</w:t>
      </w:r>
    </w:p>
  </w:footnote>
  <w:footnote w:id="161">
    <w:p w14:paraId="1C565A4A" w14:textId="77777777" w:rsidR="005D5367" w:rsidRPr="000B676B" w:rsidRDefault="005D5367" w:rsidP="00F73A48">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انظر: معجم رجال الحديث 11: 148، رقم: 6764، و11: 374؛ رقم: 7188.</w:t>
      </w:r>
    </w:p>
  </w:footnote>
  <w:footnote w:id="162">
    <w:p w14:paraId="37D27790" w14:textId="77777777" w:rsidR="005D5367" w:rsidRPr="000B676B" w:rsidRDefault="005D5367" w:rsidP="001678FD">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Pr>
          <w:rFonts w:ascii="Mosawi" w:eastAsiaTheme="minorHAnsi" w:hAnsi="Mosawi" w:hint="cs"/>
          <w:sz w:val="24"/>
          <w:szCs w:val="24"/>
          <w:rtl/>
        </w:rPr>
        <w:t>إطلاق اسم "الخروج" هنا عام، أي بصرف النظر عن ذهاب بعضهم إلى أنّ الخروج يشترط أن يكون مسبوقاً ببيعةٍ، حتى يعبّر عنه بالخروج، في حين أنّ الإمام الحسين لم يكن قد بايع، علماً أنّني لا أرجّح شرط البيعة المسبقة بهذا المعنى في استخدام تعبير الخروج في الأدبيّات السياسيّة الإسلاميّة في القرون الأولى، وإنّما يكفي كونه خليفة المسلمين خارجاً ولو من غير بيعةٍ، بل بالقوّة والقهر.</w:t>
      </w:r>
    </w:p>
  </w:footnote>
  <w:footnote w:id="163">
    <w:p w14:paraId="2041AF5F" w14:textId="77777777" w:rsidR="005D5367" w:rsidRPr="000B676B" w:rsidRDefault="005D5367" w:rsidP="00D6404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 ـ على سبيل المثال ـ: محمد رفيع الكرمرودي التبريزي (حوالي: 1330هـ)، ذريعة النجاة: 14.</w:t>
      </w:r>
    </w:p>
  </w:footnote>
  <w:footnote w:id="164">
    <w:p w14:paraId="12F1A41C" w14:textId="77777777" w:rsidR="005D5367" w:rsidRPr="000B676B" w:rsidRDefault="005D5367" w:rsidP="003D44CC">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Pr>
          <w:rFonts w:ascii="Mosawi" w:hAnsi="Mosawi"/>
          <w:sz w:val="24"/>
          <w:szCs w:val="24"/>
          <w:rtl/>
        </w:rPr>
        <w:t xml:space="preserve">) </w:t>
      </w:r>
      <w:r w:rsidRPr="000B676B">
        <w:rPr>
          <w:rFonts w:ascii="Mosawi" w:hAnsi="Mosawi"/>
          <w:sz w:val="24"/>
          <w:szCs w:val="24"/>
          <w:rtl/>
        </w:rPr>
        <w:t>بحار الأنوار 45: 98 ـ 99</w:t>
      </w:r>
      <w:r>
        <w:rPr>
          <w:rFonts w:ascii="Mosawi" w:hAnsi="Mosawi" w:hint="cs"/>
          <w:sz w:val="24"/>
          <w:szCs w:val="24"/>
          <w:rtl/>
        </w:rPr>
        <w:t>.</w:t>
      </w:r>
    </w:p>
  </w:footnote>
  <w:footnote w:id="165">
    <w:p w14:paraId="5B317C6B" w14:textId="77777777" w:rsidR="005D5367" w:rsidRPr="000B676B" w:rsidRDefault="005D5367" w:rsidP="003D44CC">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w:t>
      </w:r>
      <w:r>
        <w:rPr>
          <w:rFonts w:ascii="Mosawi" w:hAnsi="Mosawi" w:hint="cs"/>
          <w:sz w:val="24"/>
          <w:szCs w:val="24"/>
          <w:rtl/>
        </w:rPr>
        <w:t xml:space="preserve"> </w:t>
      </w:r>
      <w:r w:rsidRPr="000B676B">
        <w:rPr>
          <w:rFonts w:ascii="Mosawi" w:hAnsi="Mosawi"/>
          <w:sz w:val="24"/>
          <w:szCs w:val="24"/>
          <w:rtl/>
        </w:rPr>
        <w:t>جواهر الكلام 21: 295 ـ 296</w:t>
      </w:r>
      <w:r>
        <w:rPr>
          <w:rFonts w:ascii="Mosawi" w:hAnsi="Mosawi" w:hint="cs"/>
          <w:sz w:val="24"/>
          <w:szCs w:val="24"/>
          <w:rtl/>
        </w:rPr>
        <w:t>.</w:t>
      </w:r>
    </w:p>
  </w:footnote>
  <w:footnote w:id="166">
    <w:p w14:paraId="147F0232" w14:textId="77777777" w:rsidR="005D5367" w:rsidRPr="000B676B" w:rsidRDefault="005D5367" w:rsidP="00AB392C">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حول مواقف المستشرقين وأهل السنّة وبعض الكتّاب المعاصرين، راجع ـ على سبيل المثال ـ: هاشم معروف الحسني، سيرة الأئمة الاثني عشر 2: 85 ـ 96؛ وباقر شريف القرشي، حياة الإمام الحسين 3: 402 ـ 410</w:t>
      </w:r>
      <w:r>
        <w:rPr>
          <w:rFonts w:ascii="Mosawi" w:hAnsi="Mosawi" w:hint="cs"/>
          <w:sz w:val="24"/>
          <w:szCs w:val="24"/>
          <w:rtl/>
        </w:rPr>
        <w:t>.</w:t>
      </w:r>
    </w:p>
  </w:footnote>
  <w:footnote w:id="167">
    <w:p w14:paraId="6783EC2A" w14:textId="77777777" w:rsidR="005D5367" w:rsidRPr="000B676B" w:rsidRDefault="005D5367" w:rsidP="00D6404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w:t>
      </w:r>
      <w:r>
        <w:rPr>
          <w:rFonts w:ascii="Mosawi" w:hAnsi="Mosawi" w:hint="cs"/>
          <w:sz w:val="24"/>
          <w:szCs w:val="24"/>
          <w:rtl/>
        </w:rPr>
        <w:t>: تنزيه الأنبياء: 227 ـ 231.</w:t>
      </w:r>
    </w:p>
  </w:footnote>
  <w:footnote w:id="168">
    <w:p w14:paraId="4B07E358" w14:textId="77777777" w:rsidR="005D5367" w:rsidRPr="000B676B" w:rsidRDefault="005D5367" w:rsidP="00AB392C">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لمزيد من الاطّلاع على هذا الم</w:t>
      </w:r>
      <w:r>
        <w:rPr>
          <w:rFonts w:ascii="Mosawi" w:hAnsi="Mosawi"/>
          <w:sz w:val="24"/>
          <w:szCs w:val="24"/>
          <w:rtl/>
        </w:rPr>
        <w:t xml:space="preserve">سرد من عناوين الكتب والمصنفات، </w:t>
      </w:r>
      <w:r>
        <w:rPr>
          <w:rFonts w:ascii="Mosawi" w:hAnsi="Mosawi" w:hint="cs"/>
          <w:sz w:val="24"/>
          <w:szCs w:val="24"/>
          <w:rtl/>
        </w:rPr>
        <w:t>ا</w:t>
      </w:r>
      <w:r w:rsidRPr="000B676B">
        <w:rPr>
          <w:rFonts w:ascii="Mosawi" w:hAnsi="Mosawi"/>
          <w:sz w:val="24"/>
          <w:szCs w:val="24"/>
          <w:rtl/>
        </w:rPr>
        <w:t>نظر: محمد اسفندياري، كتابشناسي تاريخي إمام حسين: 38 ـ 39</w:t>
      </w:r>
      <w:r>
        <w:rPr>
          <w:rFonts w:ascii="Mosawi" w:hAnsi="Mosawi" w:hint="cs"/>
          <w:sz w:val="24"/>
          <w:szCs w:val="24"/>
          <w:rtl/>
        </w:rPr>
        <w:t>.</w:t>
      </w:r>
    </w:p>
  </w:footnote>
  <w:footnote w:id="169">
    <w:p w14:paraId="08A989E1" w14:textId="77777777" w:rsidR="005D5367" w:rsidRPr="000B676B" w:rsidRDefault="005D5367" w:rsidP="00AB392C">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محمد صحّتي سردرودي،</w:t>
      </w:r>
      <w:r>
        <w:rPr>
          <w:rFonts w:ascii="Mosawi" w:hAnsi="Mosawi" w:hint="cs"/>
          <w:sz w:val="24"/>
          <w:szCs w:val="24"/>
          <w:rtl/>
        </w:rPr>
        <w:t xml:space="preserve"> </w:t>
      </w:r>
      <w:r w:rsidRPr="000B676B">
        <w:rPr>
          <w:rFonts w:ascii="Mosawi" w:hAnsi="Mosawi"/>
          <w:sz w:val="24"/>
          <w:szCs w:val="24"/>
          <w:rtl/>
        </w:rPr>
        <w:t>عاشورا ب</w:t>
      </w:r>
      <w:r w:rsidRPr="000B676B">
        <w:rPr>
          <w:rFonts w:ascii="Mosawi" w:hAnsi="Mosawi"/>
          <w:sz w:val="24"/>
          <w:szCs w:val="24"/>
          <w:rtl/>
          <w:lang w:bidi="fa-IR"/>
        </w:rPr>
        <w:t>ژ</w:t>
      </w:r>
      <w:r w:rsidRPr="000B676B">
        <w:rPr>
          <w:rFonts w:ascii="Mosawi" w:hAnsi="Mosawi"/>
          <w:sz w:val="24"/>
          <w:szCs w:val="24"/>
          <w:rtl/>
        </w:rPr>
        <w:t>وهي؛ با رويكرد به تحريف شناسى تاريخ إمام حسين: 281 ـ 282</w:t>
      </w:r>
      <w:r>
        <w:rPr>
          <w:rFonts w:ascii="Mosawi" w:hAnsi="Mosawi" w:hint="cs"/>
          <w:sz w:val="24"/>
          <w:szCs w:val="24"/>
          <w:rtl/>
        </w:rPr>
        <w:t>.</w:t>
      </w:r>
    </w:p>
  </w:footnote>
  <w:footnote w:id="170">
    <w:p w14:paraId="6B1B2738" w14:textId="77777777" w:rsidR="005D5367" w:rsidRPr="000B676B" w:rsidRDefault="005D5367" w:rsidP="00AB392C">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w:t>
      </w:r>
      <w:r>
        <w:rPr>
          <w:rFonts w:ascii="Mosawi" w:hAnsi="Mosawi" w:hint="cs"/>
          <w:sz w:val="24"/>
          <w:szCs w:val="24"/>
          <w:rtl/>
        </w:rPr>
        <w:t>:</w:t>
      </w:r>
      <w:r w:rsidRPr="000B676B">
        <w:rPr>
          <w:rFonts w:ascii="Mosawi" w:hAnsi="Mosawi"/>
          <w:sz w:val="24"/>
          <w:szCs w:val="24"/>
          <w:rtl/>
        </w:rPr>
        <w:t xml:space="preserve"> علي بيات، قيام عاشورا؛ بايدها وبيامدها، مجلة حوزه ودانشكاه، ع33: 11 ـ 22</w:t>
      </w:r>
      <w:r>
        <w:rPr>
          <w:rFonts w:ascii="Mosawi" w:hAnsi="Mosawi" w:hint="cs"/>
          <w:sz w:val="24"/>
          <w:szCs w:val="24"/>
          <w:rtl/>
        </w:rPr>
        <w:t>.</w:t>
      </w:r>
    </w:p>
  </w:footnote>
  <w:footnote w:id="171">
    <w:p w14:paraId="0BBC8F2D" w14:textId="77777777" w:rsidR="005D5367" w:rsidRPr="000B676B" w:rsidRDefault="005D5367" w:rsidP="009E7820">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تلوح هذه النظريّة من: بحار الأنوار 45: 98؛ وجواهر الكلام 21: 295 ـ 296؛ وتنقيح المقال 2: 327 (الطبعة الحجرية)؛ وجعفر التستري، الخصائص الحسينية: 30 ـ 31</w:t>
      </w:r>
      <w:r>
        <w:rPr>
          <w:rFonts w:ascii="Mosawi" w:hAnsi="Mosawi" w:hint="cs"/>
          <w:sz w:val="24"/>
          <w:szCs w:val="24"/>
          <w:rtl/>
        </w:rPr>
        <w:t xml:space="preserve">؛ </w:t>
      </w:r>
      <w:r w:rsidRPr="000B676B">
        <w:rPr>
          <w:rFonts w:ascii="Mosawi" w:hAnsi="Mosawi"/>
          <w:sz w:val="24"/>
          <w:szCs w:val="24"/>
          <w:rtl/>
        </w:rPr>
        <w:t>ومحمّد محمد صادق الصدر، شذرات</w:t>
      </w:r>
      <w:r>
        <w:rPr>
          <w:rFonts w:ascii="Mosawi" w:hAnsi="Mosawi" w:hint="cs"/>
          <w:sz w:val="24"/>
          <w:szCs w:val="24"/>
          <w:rtl/>
        </w:rPr>
        <w:t xml:space="preserve"> </w:t>
      </w:r>
      <w:r>
        <w:rPr>
          <w:rFonts w:ascii="Mosawi" w:hAnsi="Mosawi"/>
          <w:sz w:val="24"/>
          <w:szCs w:val="24"/>
          <w:rtl/>
        </w:rPr>
        <w:t>من فلسفة ت</w:t>
      </w:r>
      <w:r>
        <w:rPr>
          <w:rFonts w:ascii="Mosawi" w:hAnsi="Mosawi" w:hint="cs"/>
          <w:sz w:val="24"/>
          <w:szCs w:val="24"/>
          <w:rtl/>
        </w:rPr>
        <w:t>أ</w:t>
      </w:r>
      <w:r w:rsidRPr="000B676B">
        <w:rPr>
          <w:rFonts w:ascii="Mosawi" w:hAnsi="Mosawi"/>
          <w:sz w:val="24"/>
          <w:szCs w:val="24"/>
          <w:rtl/>
        </w:rPr>
        <w:t>ريخ الحسين: 165 ـ 166؛ ومحمد حسين كاشف الغطاء، جنة المأوى: 189، 192</w:t>
      </w:r>
      <w:r>
        <w:rPr>
          <w:rFonts w:ascii="Mosawi" w:hAnsi="Mosawi" w:hint="cs"/>
          <w:sz w:val="24"/>
          <w:szCs w:val="24"/>
          <w:rtl/>
        </w:rPr>
        <w:t>؛</w:t>
      </w:r>
      <w:r w:rsidRPr="000B676B">
        <w:rPr>
          <w:rFonts w:ascii="Mosawi" w:hAnsi="Mosawi"/>
          <w:sz w:val="24"/>
          <w:szCs w:val="24"/>
          <w:rtl/>
        </w:rPr>
        <w:t xml:space="preserve"> ولم يمنع احتمالَها السيد محسن الأمين في لواعج الأشجان: 253.</w:t>
      </w:r>
    </w:p>
  </w:footnote>
  <w:footnote w:id="172">
    <w:p w14:paraId="5BCD6054" w14:textId="77777777" w:rsidR="005D5367" w:rsidRPr="000B676B" w:rsidRDefault="005D5367" w:rsidP="009E7820">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حول هذه النظرية راجع: محمود الهاشمي الشاهرودي، الثورة الحسينية دراسة في الأهداف والدوافع، مجلة المنهاج، العدد 29: 26؛ ومحمد باقر الحكيم، ثورة الحسين، النظرية الموقف النتائج: 33 ـ 34.</w:t>
      </w:r>
    </w:p>
  </w:footnote>
  <w:footnote w:id="173">
    <w:p w14:paraId="70F54C15" w14:textId="77777777" w:rsidR="005D5367" w:rsidRPr="000B676B" w:rsidRDefault="005D5367" w:rsidP="00432463">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 في سرد هذه الخصائص: علي بيات، قيام عاشورا؛ بايدها وبيامدها، مجلة حوزه ودانشكاه، ع33: 6 ـ 7.</w:t>
      </w:r>
    </w:p>
  </w:footnote>
  <w:footnote w:id="174">
    <w:p w14:paraId="0D74AC1B" w14:textId="77777777" w:rsidR="005D5367" w:rsidRPr="000B676B" w:rsidRDefault="005D5367" w:rsidP="00FC2BEE">
      <w:pPr>
        <w:spacing w:line="192" w:lineRule="auto"/>
        <w:ind w:left="170" w:hanging="170"/>
        <w:rPr>
          <w:rFonts w:ascii="Mosawi" w:hAnsi="Mosawi"/>
          <w:sz w:val="24"/>
          <w:szCs w:val="24"/>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 حجية السنّة في الفكر الإسلامي: 601 ـ 636.</w:t>
      </w:r>
    </w:p>
  </w:footnote>
  <w:footnote w:id="175">
    <w:p w14:paraId="4FFB3FA1" w14:textId="77777777" w:rsidR="005D5367" w:rsidRPr="000B676B" w:rsidRDefault="005D5367" w:rsidP="00FC2BEE">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جاءت قصّة الرؤيا في: مدينة المعاجز 3: 483 ـ 484.</w:t>
      </w:r>
    </w:p>
  </w:footnote>
  <w:footnote w:id="176">
    <w:p w14:paraId="74C4E9B0" w14:textId="77777777" w:rsidR="005D5367" w:rsidRPr="000B676B" w:rsidRDefault="005D5367" w:rsidP="00FD39F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اللهوف في قتلى الطفوف: 39 ـ 40؛ والمحتضر: 82؛ وبحار الأنوار 44: 364؛ والعوالم: 214؛ وينابيع المودّة 3: 60؛ وموسوعة كلمات الإمام الحسين: 398 ـ 399.</w:t>
      </w:r>
    </w:p>
  </w:footnote>
  <w:footnote w:id="177">
    <w:p w14:paraId="4145FBD9" w14:textId="77777777" w:rsidR="005D5367" w:rsidRPr="000B676B" w:rsidRDefault="005D5367" w:rsidP="00FD39F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كامل الزيارات: 157؛ ومختصر بصائر الدرجات: 6؛ والخرائج والجرائح 2: 771 ـ 772؛ ومناقب آل أبي طالب 3: 230؛ والمحتضر: 82؛ ومدينة المعاجز 3: 461 ـ 462؛ وبحار الأنوار: 45: 87؛ والعوالم: 155، 317.</w:t>
      </w:r>
      <w:r>
        <w:rPr>
          <w:rFonts w:ascii="Mosawi" w:hAnsi="Mosawi" w:hint="cs"/>
          <w:sz w:val="24"/>
          <w:szCs w:val="24"/>
          <w:rtl/>
        </w:rPr>
        <w:t xml:space="preserve"> يُشار إلى أنّ صالحي نجف آبادي كانت له مناقشات على هذه الرواية وما يشبهها، فراجع له: الشهيد الخالد: 382 ـ 384.</w:t>
      </w:r>
    </w:p>
  </w:footnote>
  <w:footnote w:id="178">
    <w:p w14:paraId="34DB97DD" w14:textId="77777777" w:rsidR="005D5367" w:rsidRPr="000B676B" w:rsidRDefault="005D5367" w:rsidP="00FD39F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 تاريخ الطبري 4: 291 ـ 292؛ وابن أعثم الكوفي، الفتوح 5: 67؛ ومناقب آل أبي طالب 3: 245؛ والبداية والنهاية 8: 176، 181؛ والعوالم: 216؛ والكامل في التاريخ 4: 40 ـ 41؛ وإعلام الورى 1: 446؛ وشرح إحقاق الحق 33: 623.</w:t>
      </w:r>
    </w:p>
  </w:footnote>
  <w:footnote w:id="179">
    <w:p w14:paraId="675DBF91" w14:textId="77777777" w:rsidR="005D5367" w:rsidRPr="000B676B" w:rsidRDefault="005D5367" w:rsidP="00C60B05">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راجع: تاريخ الطبري 4: 260 ـ 261، 287؛ والكامل في التاريخ 4: 19، 37؛ والفتوح 5: 65 ـ 66؛ وابن الصباغ، الفصول المهمة 2: 785، 796 ـ 797؛ وتاريخ مدينة دمشق 14: 208 ـ 209؛ وتهذيب الكمال 6: 417؛ والبداية والنهاية 8: 172، 176.</w:t>
      </w:r>
    </w:p>
  </w:footnote>
  <w:footnote w:id="180">
    <w:p w14:paraId="128B060E" w14:textId="77777777" w:rsidR="005D5367" w:rsidRPr="000B676B" w:rsidRDefault="005D5367" w:rsidP="003F6435">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حول مسألة بُعد احتمال إرادة الاستخارة المتعارفة اليوم، انظر: نجم الدين الطبسي، الإمام الحسين في مكة المكرّمة (مع الركب الحسيني من المدينة إلى المدينة) 4: 226 ـ 229.</w:t>
      </w:r>
    </w:p>
  </w:footnote>
  <w:footnote w:id="181">
    <w:p w14:paraId="7A73FB88"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راجع: تاريخ الطبري 4: 301؛ والإرشاد 2: 76.</w:t>
      </w:r>
    </w:p>
  </w:footnote>
  <w:footnote w:id="182">
    <w:p w14:paraId="4E85964D" w14:textId="77777777" w:rsidR="005D5367" w:rsidRPr="000B676B" w:rsidRDefault="005D5367" w:rsidP="00C60B05">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الخصائص الحسينية: 30 ـ 31؛ وفهم ذلك المامقاني في تنقيح المقال 2: 327، عند ترجمة عمرو بن جنادة بن كعب الخزرجي؛ لأنّ هذا المناصر للحسين كان صبياً غير مراهق.</w:t>
      </w:r>
    </w:p>
  </w:footnote>
  <w:footnote w:id="183">
    <w:p w14:paraId="75E3F896" w14:textId="77777777" w:rsidR="005D5367" w:rsidRPr="000B676B" w:rsidRDefault="005D5367" w:rsidP="00B2672C">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راجع: ابن نما الحلي، مثير الأحزان: 29؛ والحلواني، نزهة الناظر وتنبيه الخاطر: 86؛ واللهوف: 38؛ وكشف الغمّة 2: 239؛ والزرندي الشافعي، معارج الوصول إلى معرفة فضل آل الرسول: 94؛ وبحار الأنوار 44: 366 ـ 367؛ والعوالم: 216 ـ 217.</w:t>
      </w:r>
    </w:p>
  </w:footnote>
  <w:footnote w:id="184">
    <w:p w14:paraId="45C492EB"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الثورة الحسينية، دراسة في الأهداف والدوافع: 27 ـ 28.</w:t>
      </w:r>
    </w:p>
  </w:footnote>
  <w:footnote w:id="185">
    <w:p w14:paraId="2145281A" w14:textId="77777777" w:rsidR="005D5367" w:rsidRPr="000B676B" w:rsidRDefault="005D5367" w:rsidP="00DD6401">
      <w:pPr>
        <w:spacing w:line="192" w:lineRule="auto"/>
        <w:ind w:left="170" w:hanging="170"/>
        <w:rPr>
          <w:rFonts w:ascii="Mosawi" w:hAnsi="Mosawi"/>
          <w:sz w:val="24"/>
          <w:szCs w:val="24"/>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w:t>
      </w:r>
      <w:r w:rsidRPr="000B676B">
        <w:rPr>
          <w:rFonts w:ascii="Mosawi" w:hAnsi="Mosawi"/>
          <w:sz w:val="24"/>
          <w:szCs w:val="24"/>
        </w:rPr>
        <w:t xml:space="preserve"> </w:t>
      </w:r>
      <w:r w:rsidRPr="000B676B">
        <w:rPr>
          <w:rFonts w:ascii="Mosawi" w:hAnsi="Mosawi"/>
          <w:sz w:val="24"/>
          <w:szCs w:val="24"/>
          <w:rtl/>
        </w:rPr>
        <w:t>المصدر نفسه: 30.</w:t>
      </w:r>
    </w:p>
  </w:footnote>
  <w:footnote w:id="186">
    <w:p w14:paraId="7520220B" w14:textId="77777777" w:rsidR="005D5367" w:rsidRPr="000B676B" w:rsidRDefault="005D5367" w:rsidP="00C60B05">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تاريخ الطبري 4: 304؛ والفتوح 5: 81؛ والكامل في التاريخ 4: 48؛ وبحار الأنوار 44: 381 ـ 382؛ والعوالم: 232 ـ 233.</w:t>
      </w:r>
    </w:p>
  </w:footnote>
  <w:footnote w:id="187">
    <w:p w14:paraId="6CC6ED77"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تاريخ الطبري 4: 305.</w:t>
      </w:r>
    </w:p>
  </w:footnote>
  <w:footnote w:id="188">
    <w:p w14:paraId="2690D69C" w14:textId="77777777" w:rsidR="005D5367" w:rsidRPr="000B676B" w:rsidRDefault="005D5367" w:rsidP="00C60B05">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تحف العقول: 245؛ وشرح الأخبار 3: 149؛ ومناقب آل أبي طالب 3: 224؛ وذخائر العقبى: 150؛ واللهوف: 48؛ وكشف الغمة 2: 242؛ ومجمع الزوائد 9: 192؛ والمعجم الكبير 3: 114 ـ 115؛ ونزهة الناظر وتنبيه الخاطر: 87 ـ 88؛ وتاريخ مدينة دمشق 14: 217 ـ 218؛ وتاريخ الإسلام 5: 12؛ وبحار الأنوار 44: 192، 381؛ والعوالم: 67، 232؛ وأعيان الشيعة 1: 598.</w:t>
      </w:r>
    </w:p>
  </w:footnote>
  <w:footnote w:id="189">
    <w:p w14:paraId="1D85D333" w14:textId="77777777" w:rsidR="005D5367" w:rsidRPr="000B676B" w:rsidRDefault="005D5367" w:rsidP="00B2672C">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الزرندي، نظم درر السمطين: 216.</w:t>
      </w:r>
    </w:p>
  </w:footnote>
  <w:footnote w:id="190">
    <w:p w14:paraId="32040BAB" w14:textId="77777777" w:rsidR="005D5367" w:rsidRPr="000B676B" w:rsidRDefault="005D5367" w:rsidP="00B2672C">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سير أعلام النبلاء 3: 310؛ وابن الدمشقي، جواهر المطالب في مناقب الإمام علي 2: 269 ـ 270؛ ولمزيد من الاطلاع انظر: شرح إحقاق الحق 11: 596، 606 ـ 607، و19: 416، و27: 134 ـ 135، و27: 181؛ ويلاحظ أنّ المصادر تختلف في موضع إلقاء هذه الخطبة، وحول ذلك انظر: المولائي والطبسي، الإمام الحسين في كربلاء (مع الركب الحسيني من المدينة إلى المدينة) 4: 102.</w:t>
      </w:r>
    </w:p>
  </w:footnote>
  <w:footnote w:id="191">
    <w:p w14:paraId="6040652D" w14:textId="77777777" w:rsidR="005D5367" w:rsidRPr="000B676B" w:rsidRDefault="005D5367" w:rsidP="00C60B05">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xml:space="preserve">) تحقيقي </w:t>
      </w:r>
      <w:r w:rsidRPr="000B676B">
        <w:rPr>
          <w:rFonts w:ascii="Mosawi" w:hAnsi="Mosawi"/>
          <w:sz w:val="24"/>
          <w:szCs w:val="24"/>
          <w:rtl/>
          <w:lang w:bidi="fa-IR"/>
        </w:rPr>
        <w:t>پ</w:t>
      </w:r>
      <w:r w:rsidRPr="000B676B">
        <w:rPr>
          <w:rFonts w:ascii="Mosawi" w:hAnsi="Mosawi"/>
          <w:sz w:val="24"/>
          <w:szCs w:val="24"/>
          <w:rtl/>
        </w:rPr>
        <w:t>يرامون ولايت فقيه: 300.</w:t>
      </w:r>
    </w:p>
  </w:footnote>
  <w:footnote w:id="192">
    <w:p w14:paraId="2176692F" w14:textId="77777777" w:rsidR="005D5367" w:rsidRPr="000B676B" w:rsidRDefault="005D5367" w:rsidP="00C60B05">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الثورة الحسينية، مصدر سابق: 32 ـ 33.</w:t>
      </w:r>
    </w:p>
  </w:footnote>
  <w:footnote w:id="193">
    <w:p w14:paraId="56ADF0E3" w14:textId="77777777" w:rsidR="005D5367" w:rsidRPr="000B676B" w:rsidRDefault="005D5367" w:rsidP="006168F2">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 حجية السنّة في الفكر الإسلامي: 601 ـ 636.</w:t>
      </w:r>
    </w:p>
  </w:footnote>
  <w:footnote w:id="194">
    <w:p w14:paraId="69FF12DF" w14:textId="77777777" w:rsidR="005D5367" w:rsidRPr="000B676B" w:rsidRDefault="005D5367" w:rsidP="00773411">
      <w:pPr>
        <w:spacing w:line="192" w:lineRule="auto"/>
        <w:ind w:left="170" w:hanging="170"/>
        <w:rPr>
          <w:rFonts w:ascii="Mosawi" w:hAnsi="Mosawi"/>
          <w:sz w:val="24"/>
          <w:szCs w:val="24"/>
          <w:rtl/>
        </w:rPr>
      </w:pPr>
      <w:r w:rsidRPr="000B676B">
        <w:rPr>
          <w:rFonts w:ascii="Mosawi" w:hAnsi="Mosawi"/>
          <w:sz w:val="24"/>
          <w:szCs w:val="24"/>
        </w:rPr>
        <w:t>(</w:t>
      </w:r>
      <w:r w:rsidRPr="000B676B">
        <w:rPr>
          <w:rFonts w:ascii="Mosawi" w:hAnsi="Mosawi"/>
          <w:sz w:val="24"/>
          <w:szCs w:val="24"/>
        </w:rPr>
        <w:footnoteRef/>
      </w:r>
      <w:r w:rsidRPr="000B676B">
        <w:rPr>
          <w:rFonts w:ascii="Mosawi" w:hAnsi="Mosawi"/>
          <w:sz w:val="24"/>
          <w:szCs w:val="24"/>
        </w:rPr>
        <w:t>)</w:t>
      </w:r>
      <w:r w:rsidRPr="000B676B">
        <w:rPr>
          <w:rFonts w:ascii="Mosawi" w:hAnsi="Mosawi"/>
          <w:sz w:val="24"/>
          <w:szCs w:val="24"/>
          <w:rtl/>
        </w:rPr>
        <w:t xml:space="preserve"> يفهم من السيد محمد الشيرازي، الفقه 47: 113؛ ويفهم من بحثهم في خصائص النبي أنّها لا تجري في حقّ الأئمة؛ حيث ناقشوا في بعضها بانتقاضها بالإمام، فلو كانت شاملةً للأئمة لما صحّ مثل هذا النقض، فانظر على سبيل المثال: مسالك الأفهام 7: 72؛ وقد لاحظنا في موسوعة الفقه الإسلامي طبقاً لمذهب أهل البيت أنهم ذكروا الكثير من خصائص الأئمّة، ولم يذكروا شيئاً يرجع إلى ما يرتبط ببحثنا، رغم استقصائهم في البحث عادةً، فقد ذكروا مثل وجوب الاعتقاد بإمامتهم، ووجوب محبّتهم، ووجوب طاعتهم، والصلاة عليهم، واحترام أسمائهم، والتوسّل والتبرّك بهم، والتسمّي بأسمائهم، وما يتصل ببعض مسائل صلاة الجمعة، والعيدين، والجهاد الابتدائي و.. </w:t>
      </w:r>
      <w:r w:rsidRPr="000B676B">
        <w:rPr>
          <w:rFonts w:ascii="Mosawi" w:hAnsi="Mosawi"/>
          <w:sz w:val="24"/>
          <w:szCs w:val="24"/>
          <w:rtl/>
        </w:rPr>
        <w:t>وكلّها خصائص لا علاقة لها بما نبحثه هنا، كما صار واضحاً، فانظر: موسوعة الفقه الإسلامي طبقاً لمذهب أهل البيت 1: 183 ـ 202.</w:t>
      </w:r>
    </w:p>
  </w:footnote>
  <w:footnote w:id="195">
    <w:p w14:paraId="7983F01E" w14:textId="77777777" w:rsidR="005D5367" w:rsidRPr="000B676B" w:rsidRDefault="005D5367" w:rsidP="00773411">
      <w:pPr>
        <w:spacing w:line="192" w:lineRule="auto"/>
        <w:ind w:left="170" w:hanging="170"/>
        <w:rPr>
          <w:rFonts w:ascii="Mosawi" w:hAnsi="Mosawi"/>
          <w:sz w:val="24"/>
          <w:szCs w:val="24"/>
          <w:rtl/>
        </w:rPr>
      </w:pPr>
      <w:r w:rsidRPr="000B676B">
        <w:rPr>
          <w:rFonts w:ascii="Mosawi" w:hAnsi="Mosawi"/>
          <w:sz w:val="24"/>
          <w:szCs w:val="24"/>
        </w:rPr>
        <w:t>(</w:t>
      </w:r>
      <w:r w:rsidRPr="000B676B">
        <w:rPr>
          <w:rFonts w:ascii="Mosawi" w:hAnsi="Mosawi"/>
          <w:sz w:val="24"/>
          <w:szCs w:val="24"/>
        </w:rPr>
        <w:footnoteRef/>
      </w:r>
      <w:r w:rsidRPr="000B676B">
        <w:rPr>
          <w:rFonts w:ascii="Mosawi" w:hAnsi="Mosawi"/>
          <w:sz w:val="24"/>
          <w:szCs w:val="24"/>
        </w:rPr>
        <w:t>)</w:t>
      </w:r>
      <w:r w:rsidRPr="000B676B">
        <w:rPr>
          <w:rFonts w:ascii="Mosawi" w:hAnsi="Mosawi"/>
          <w:sz w:val="24"/>
          <w:szCs w:val="24"/>
          <w:rtl/>
        </w:rPr>
        <w:t xml:space="preserve"> نصّ السيّد الخميني على قلّة مختصّات الأئمة، وذلك في كتاب الاجتهاد والتقليد: 54؛ ولعله أراد مثل صلاة الجمعة والعيدين والجهاد </w:t>
      </w:r>
      <w:proofErr w:type="gramStart"/>
      <w:r w:rsidRPr="000B676B">
        <w:rPr>
          <w:rFonts w:ascii="Mosawi" w:hAnsi="Mosawi"/>
          <w:sz w:val="24"/>
          <w:szCs w:val="24"/>
          <w:rtl/>
        </w:rPr>
        <w:t>الابتدائي..</w:t>
      </w:r>
      <w:proofErr w:type="gramEnd"/>
      <w:r w:rsidRPr="000B676B">
        <w:rPr>
          <w:rFonts w:ascii="Mosawi" w:hAnsi="Mosawi"/>
          <w:sz w:val="24"/>
          <w:szCs w:val="24"/>
          <w:rtl/>
        </w:rPr>
        <w:t xml:space="preserve"> مما لا يدخل في المختصّات التي نبحث عنها هنا؛ وحول مسألة الجنابة لمحمد وعلي و.. راجع: تفصيل وسائل الشيعة 2: 207 ـ 208، كتاب الطهارة، أبواب الجنابة، باب 15، ح11، 12، 13، 14، 21؛ ومستدرك الوسائل 1: 459 ـ 462.</w:t>
      </w:r>
    </w:p>
  </w:footnote>
  <w:footnote w:id="196">
    <w:p w14:paraId="559F9972"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Pr>
        <w:t>(</w:t>
      </w:r>
      <w:r w:rsidRPr="000B676B">
        <w:rPr>
          <w:rFonts w:ascii="Mosawi" w:hAnsi="Mosawi"/>
          <w:sz w:val="24"/>
          <w:szCs w:val="24"/>
        </w:rPr>
        <w:footnoteRef/>
      </w:r>
      <w:r w:rsidRPr="000B676B">
        <w:rPr>
          <w:rFonts w:ascii="Mosawi" w:hAnsi="Mosawi"/>
          <w:sz w:val="24"/>
          <w:szCs w:val="24"/>
        </w:rPr>
        <w:t>)</w:t>
      </w:r>
      <w:r w:rsidRPr="000B676B">
        <w:rPr>
          <w:rFonts w:ascii="Mosawi" w:hAnsi="Mosawi"/>
          <w:sz w:val="24"/>
          <w:szCs w:val="24"/>
          <w:rtl/>
        </w:rPr>
        <w:t xml:space="preserve"> انظر كلام الشريف الرضي في هذا الخصوص في مقدّمة كتابه خصائص الأئمّة: 3.</w:t>
      </w:r>
    </w:p>
  </w:footnote>
  <w:footnote w:id="197">
    <w:p w14:paraId="66CE8FA4"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Pr>
        <w:t>(</w:t>
      </w:r>
      <w:r w:rsidRPr="000B676B">
        <w:rPr>
          <w:rFonts w:ascii="Mosawi" w:hAnsi="Mosawi"/>
          <w:sz w:val="24"/>
          <w:szCs w:val="24"/>
        </w:rPr>
        <w:footnoteRef/>
      </w:r>
      <w:r w:rsidRPr="000B676B">
        <w:rPr>
          <w:rFonts w:ascii="Mosawi" w:hAnsi="Mosawi"/>
          <w:sz w:val="24"/>
          <w:szCs w:val="24"/>
        </w:rPr>
        <w:t>)</w:t>
      </w:r>
      <w:r w:rsidRPr="000B676B">
        <w:rPr>
          <w:rFonts w:ascii="Mosawi" w:hAnsi="Mosawi"/>
          <w:sz w:val="24"/>
          <w:szCs w:val="24"/>
          <w:rtl/>
        </w:rPr>
        <w:t xml:space="preserve"> انظر: مدينة المعاجز 4: 52.</w:t>
      </w:r>
    </w:p>
  </w:footnote>
  <w:footnote w:id="198">
    <w:p w14:paraId="1D696FA1" w14:textId="77777777" w:rsidR="005D5367" w:rsidRPr="000B676B" w:rsidRDefault="005D5367" w:rsidP="00B2672C">
      <w:pPr>
        <w:spacing w:line="192" w:lineRule="auto"/>
        <w:ind w:left="170" w:hanging="170"/>
        <w:rPr>
          <w:rFonts w:ascii="Mosawi" w:hAnsi="Mosawi"/>
          <w:sz w:val="24"/>
          <w:szCs w:val="24"/>
          <w:rtl/>
        </w:rPr>
      </w:pPr>
      <w:r w:rsidRPr="000B676B">
        <w:rPr>
          <w:rFonts w:ascii="Mosawi" w:hAnsi="Mosawi"/>
          <w:sz w:val="24"/>
          <w:szCs w:val="24"/>
        </w:rPr>
        <w:t>(</w:t>
      </w:r>
      <w:r w:rsidRPr="000B676B">
        <w:rPr>
          <w:rFonts w:ascii="Mosawi" w:hAnsi="Mosawi"/>
          <w:sz w:val="24"/>
          <w:szCs w:val="24"/>
        </w:rPr>
        <w:footnoteRef/>
      </w:r>
      <w:r w:rsidRPr="000B676B">
        <w:rPr>
          <w:rFonts w:ascii="Mosawi" w:hAnsi="Mosawi"/>
          <w:sz w:val="24"/>
          <w:szCs w:val="24"/>
        </w:rPr>
        <w:t>)</w:t>
      </w:r>
      <w:r w:rsidRPr="000B676B">
        <w:rPr>
          <w:rFonts w:ascii="Mosawi" w:hAnsi="Mosawi"/>
          <w:sz w:val="24"/>
          <w:szCs w:val="24"/>
          <w:rtl/>
        </w:rPr>
        <w:t xml:space="preserve"> انظر: محمد باقر الحكيم، ثورة الحسين: 35 ـ 36.</w:t>
      </w:r>
    </w:p>
  </w:footnote>
  <w:footnote w:id="199">
    <w:p w14:paraId="70EC404A" w14:textId="77777777" w:rsidR="005D5367" w:rsidRPr="000B676B" w:rsidRDefault="005D5367" w:rsidP="002E176B">
      <w:pPr>
        <w:spacing w:line="192" w:lineRule="auto"/>
        <w:ind w:left="170" w:hanging="170"/>
        <w:rPr>
          <w:rFonts w:ascii="Mosawi" w:hAnsi="Mosawi"/>
          <w:sz w:val="24"/>
          <w:szCs w:val="24"/>
          <w:rtl/>
        </w:rPr>
      </w:pPr>
      <w:r w:rsidRPr="000B676B">
        <w:rPr>
          <w:rFonts w:ascii="Mosawi" w:hAnsi="Mosawi"/>
          <w:sz w:val="24"/>
          <w:szCs w:val="24"/>
        </w:rPr>
        <w:t>(</w:t>
      </w:r>
      <w:r w:rsidRPr="000B676B">
        <w:rPr>
          <w:rFonts w:ascii="Mosawi" w:hAnsi="Mosawi"/>
          <w:sz w:val="24"/>
          <w:szCs w:val="24"/>
        </w:rPr>
        <w:footnoteRef/>
      </w:r>
      <w:r w:rsidRPr="000B676B">
        <w:rPr>
          <w:rFonts w:ascii="Mosawi" w:hAnsi="Mosawi"/>
          <w:sz w:val="24"/>
          <w:szCs w:val="24"/>
        </w:rPr>
        <w:t>)</w:t>
      </w:r>
      <w:r w:rsidRPr="000B676B">
        <w:rPr>
          <w:rFonts w:ascii="Mosawi" w:hAnsi="Mosawi"/>
          <w:sz w:val="24"/>
          <w:szCs w:val="24"/>
          <w:rtl/>
        </w:rPr>
        <w:t xml:space="preserve"> انظر: الفصول المهمّة 2: 797.</w:t>
      </w:r>
    </w:p>
  </w:footnote>
  <w:footnote w:id="200">
    <w:p w14:paraId="326B37B1" w14:textId="77777777" w:rsidR="005D5367" w:rsidRPr="000B676B" w:rsidRDefault="005D5367" w:rsidP="00432463">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محمد حسين فضل الله، تأملات في حركة ذكرى عاشوراء،</w:t>
      </w:r>
      <w:r>
        <w:rPr>
          <w:rFonts w:ascii="Mosawi" w:hAnsi="Mosawi"/>
          <w:sz w:val="24"/>
          <w:szCs w:val="24"/>
          <w:rtl/>
        </w:rPr>
        <w:t xml:space="preserve"> مجلة رسالة الحسين، ع1: 16 ـ 17</w:t>
      </w:r>
      <w:r w:rsidRPr="000B676B">
        <w:rPr>
          <w:rFonts w:ascii="Mosawi" w:hAnsi="Mosawi"/>
          <w:sz w:val="24"/>
          <w:szCs w:val="24"/>
          <w:rtl/>
        </w:rPr>
        <w:t>؛ وحول موضوع التهلكة وحركة الإمام الحسين، انظر: المفيد، المسائل العكبرية، سلسلة مصنفات الشيخ المفيد 6: 69 ـ 71؛ وعبد الرزاق الموسوي المقرّم، مقتل الحسين: 54 ـ 66؛ ومحم</w:t>
      </w:r>
      <w:r>
        <w:rPr>
          <w:rFonts w:ascii="Mosawi" w:hAnsi="Mosawi" w:hint="cs"/>
          <w:sz w:val="24"/>
          <w:szCs w:val="24"/>
          <w:rtl/>
        </w:rPr>
        <w:t>ّ</w:t>
      </w:r>
      <w:r w:rsidRPr="000B676B">
        <w:rPr>
          <w:rFonts w:ascii="Mosawi" w:hAnsi="Mosawi"/>
          <w:sz w:val="24"/>
          <w:szCs w:val="24"/>
          <w:rtl/>
        </w:rPr>
        <w:t>د الصدر، أضواء على ثورة الإمام الحسين: 36 ـ 45</w:t>
      </w:r>
      <w:r>
        <w:rPr>
          <w:rFonts w:ascii="Mosawi" w:hAnsi="Mosawi" w:hint="cs"/>
          <w:sz w:val="24"/>
          <w:szCs w:val="24"/>
          <w:rtl/>
        </w:rPr>
        <w:t>.</w:t>
      </w:r>
    </w:p>
  </w:footnote>
  <w:footnote w:id="201">
    <w:p w14:paraId="56444EDA" w14:textId="77777777" w:rsidR="005D5367" w:rsidRPr="000B676B" w:rsidRDefault="005D5367" w:rsidP="00B761A5">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xml:space="preserve">) </w:t>
      </w:r>
      <w:r>
        <w:rPr>
          <w:rFonts w:ascii="Mosawi" w:hAnsi="Mosawi" w:hint="cs"/>
          <w:sz w:val="24"/>
          <w:szCs w:val="24"/>
          <w:rtl/>
        </w:rPr>
        <w:t>كانت لنعمة الله صالحي نجف آبادي مناقشة موسّعة في قضية الرؤيا بكلّ صيغها تقريباً، فراجع له: الشهيد الخالد: 340 ـ 351؛ كما أنّه ناقش بالتفصيل ـ صدوراً ودلالةً ـ رواية الحوار مع محمّد بن الحنفيّة بالخصوص، فراجع حتى لا نطيل كتابَه: الشهيد الخالد: 362 ـ 370.</w:t>
      </w:r>
    </w:p>
  </w:footnote>
  <w:footnote w:id="202">
    <w:p w14:paraId="1591DAF6"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أمالي الصدوق: 217.</w:t>
      </w:r>
    </w:p>
  </w:footnote>
  <w:footnote w:id="203">
    <w:p w14:paraId="1789DA13" w14:textId="77777777" w:rsidR="005D5367" w:rsidRPr="000B676B" w:rsidRDefault="005D5367" w:rsidP="0077341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راجع: قاموس الرجال 12: 344؛ ومستدركات علم رجال الحديث 8: 584 ـ 585.</w:t>
      </w:r>
    </w:p>
  </w:footnote>
  <w:footnote w:id="204">
    <w:p w14:paraId="1E7FC20D" w14:textId="77777777" w:rsidR="005D5367" w:rsidRPr="000B676B" w:rsidRDefault="005D5367" w:rsidP="006A776D">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xml:space="preserve">) </w:t>
      </w:r>
      <w:r>
        <w:rPr>
          <w:rFonts w:ascii="Mosawi" w:hAnsi="Mosawi" w:hint="cs"/>
          <w:sz w:val="24"/>
          <w:szCs w:val="24"/>
          <w:rtl/>
        </w:rPr>
        <w:t>كانت لصالحي نجف آبادي مقاربة تفسيريّة وتقويميّة لهذه الرواية، وكذلك لرواية ابن لوذان، فانظر له: الشهيد الخالد: 356 ـ 361، 384 ـ 388.</w:t>
      </w:r>
    </w:p>
  </w:footnote>
  <w:footnote w:id="205">
    <w:p w14:paraId="26443A93" w14:textId="77777777" w:rsidR="005D5367" w:rsidRPr="000B676B" w:rsidRDefault="005D5367" w:rsidP="00B2672C">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xml:space="preserve">) راجع: </w:t>
      </w:r>
      <w:r>
        <w:rPr>
          <w:rFonts w:ascii="Mosawi" w:hAnsi="Mosawi" w:hint="cs"/>
          <w:sz w:val="24"/>
          <w:szCs w:val="24"/>
          <w:rtl/>
        </w:rPr>
        <w:t>ميثاق العسر، كربلاء بنظرة لا مذهبيّة: 119 ـ 146.</w:t>
      </w:r>
    </w:p>
  </w:footnote>
  <w:footnote w:id="206">
    <w:p w14:paraId="2287E8AE"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 الآصفي، الجهاد: 162 ـ 163.</w:t>
      </w:r>
    </w:p>
  </w:footnote>
  <w:footnote w:id="207">
    <w:p w14:paraId="52F6156E" w14:textId="77777777" w:rsidR="005D5367" w:rsidRPr="000B676B" w:rsidRDefault="005D5367" w:rsidP="0077341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تلوح هذه النظرية من بعض كلمات: المجلسي (على سبيل التنزّل حسب الظاهر)، بحار الأنوار 45: 99 ـ 100؛ ومثله: لواعج الأشجان: 252؛ وقد جعلها الطبرسي أحد احتمالين في تفسير خروج الحسين، فانظر له: مجمع البيان 2: 35؛ واحتمل ذلك أيضاً المحقّق الكركي، جامع المقاصد 3: 467.</w:t>
      </w:r>
    </w:p>
  </w:footnote>
  <w:footnote w:id="208">
    <w:p w14:paraId="45A0FBF8"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محمد الشيرازي، الفقه 47: 10.</w:t>
      </w:r>
    </w:p>
  </w:footnote>
  <w:footnote w:id="209">
    <w:p w14:paraId="4BEF3F38" w14:textId="77777777" w:rsidR="005D5367" w:rsidRPr="000B676B" w:rsidRDefault="005D5367" w:rsidP="00A80198">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الشهرستاني، نهضة الحسين: 59، 66</w:t>
      </w:r>
      <w:r>
        <w:rPr>
          <w:rFonts w:ascii="Mosawi" w:hAnsi="Mosawi" w:hint="cs"/>
          <w:sz w:val="24"/>
          <w:szCs w:val="24"/>
          <w:rtl/>
        </w:rPr>
        <w:t>.</w:t>
      </w:r>
    </w:p>
  </w:footnote>
  <w:footnote w:id="210">
    <w:p w14:paraId="3459374A" w14:textId="77777777" w:rsidR="005D5367" w:rsidRPr="000B676B" w:rsidRDefault="005D5367" w:rsidP="00B2672C">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في مسألة وصول رسائل إليه في المدينة، وحصول خلط في بعض النصوص في هذا الإطار، انظر: علي الشاوي، مع الركب الحسيني.. الإمام الحسين في المدينة المنوّرة 1: 423 ـ 426.</w:t>
      </w:r>
    </w:p>
  </w:footnote>
  <w:footnote w:id="211">
    <w:p w14:paraId="5DAAD398" w14:textId="77777777" w:rsidR="005D5367" w:rsidRPr="000B676B" w:rsidRDefault="005D5367" w:rsidP="00B2672C">
      <w:pPr>
        <w:spacing w:line="192" w:lineRule="auto"/>
        <w:ind w:left="170" w:hanging="170"/>
        <w:rPr>
          <w:rFonts w:ascii="Mosawi" w:hAnsi="Mosawi"/>
          <w:sz w:val="24"/>
          <w:szCs w:val="24"/>
          <w:rtl/>
        </w:rPr>
      </w:pPr>
      <w:r w:rsidRPr="000B676B">
        <w:rPr>
          <w:rFonts w:ascii="Mosawi" w:hAnsi="Mosawi"/>
          <w:sz w:val="24"/>
          <w:szCs w:val="24"/>
        </w:rPr>
        <w:t>(</w:t>
      </w:r>
      <w:r w:rsidRPr="000B676B">
        <w:rPr>
          <w:rFonts w:ascii="Mosawi" w:hAnsi="Mosawi"/>
          <w:sz w:val="24"/>
          <w:szCs w:val="24"/>
        </w:rPr>
        <w:footnoteRef/>
      </w:r>
      <w:r w:rsidRPr="000B676B">
        <w:rPr>
          <w:rFonts w:ascii="Mosawi" w:hAnsi="Mosawi"/>
          <w:sz w:val="24"/>
          <w:szCs w:val="24"/>
        </w:rPr>
        <w:t>)</w:t>
      </w:r>
      <w:r w:rsidRPr="000B676B">
        <w:rPr>
          <w:rFonts w:ascii="Mosawi" w:hAnsi="Mosawi"/>
          <w:sz w:val="24"/>
          <w:szCs w:val="24"/>
          <w:rtl/>
        </w:rPr>
        <w:t xml:space="preserve"> راجع في هذه الحوارات: محمد بن سليمان الكوفي، مناقب الإمام أمير المؤمنين 2: 260؛ والمحاملي، الأمالي: 226؛ ومناقب آل أبي طالب 3: 211؛ وذخائر العقبى: 150 ـ 151؛ واللهوف: 39 ـ 40؛ ومدينة المعاجز 3: 503؛ والمعجم الكبير 3: 119 ـ 120؛ والدرجات الرفيعة في طبقات الشيعة: 130؛ وتاريخ مدينة دمشق 14: 200 ـ 201، 203، 211؛ وسير أعلام النبلاء 3: 292؛ وتاريخ الإسلام 5: 106؛ والبداية والنهاية 8: 174، 178؛ وسبل الهدى والرشاد 11: 78؛ وينابيع المودة 3: 9؛ وبحار الأنوار 44: 185، 364؛ والعوالم: 54، 214؛ ومجمع الزوائد 9: 192؛ ولواعج الأشجان: 72؛ وأعيان الشيعة 1: 593؛ وشرح إحقاق الحق 11: 435، و27: 186، 188، 254 ـ 255.</w:t>
      </w:r>
    </w:p>
  </w:footnote>
  <w:footnote w:id="212">
    <w:p w14:paraId="7D845385"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بحار الأنوار 45: 99؛ وقد أشار محقّق البحار إلى أنّ هذا الكتاب المعتبر هو كتاب المنتخب.</w:t>
      </w:r>
    </w:p>
  </w:footnote>
  <w:footnote w:id="213">
    <w:p w14:paraId="58850555"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راجع ـ مع اختلافات طفيفة في النقل ـ: تاريخ الطبري 4: 289؛ والفتوح 5: 67؛ وشرح الأخبار 3: 145؛ ومدينة المعاجز 3: 485؛ وبحار الأنوار 45: 99؛ و..</w:t>
      </w:r>
    </w:p>
  </w:footnote>
  <w:footnote w:id="214">
    <w:p w14:paraId="022A7D00" w14:textId="77777777" w:rsidR="005D5367" w:rsidRPr="000B676B" w:rsidRDefault="005D5367" w:rsidP="0077341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تاريخ الطبري 4: 296؛ والإرشاد 2: 76؛ والكامل في التاريخ 4: 39؛ والبداية والنهاية 8: 183؛ وتاريخ مدينة دمشق 14: 216؛ وإعلام الورى 1: 448؛ وبحار الأنوار 44: 375؛ والعوالم: 225؛ وأعيان الشيعة 1: 593.</w:t>
      </w:r>
    </w:p>
  </w:footnote>
  <w:footnote w:id="215">
    <w:p w14:paraId="330A2ACA"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 بحار الأنوار 45: 99 ـ 100.</w:t>
      </w:r>
    </w:p>
  </w:footnote>
  <w:footnote w:id="216">
    <w:p w14:paraId="28184D4C"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نهضة الحسين: 67، الهامش رقم: 1.</w:t>
      </w:r>
    </w:p>
  </w:footnote>
  <w:footnote w:id="217">
    <w:p w14:paraId="475A12C8" w14:textId="77777777" w:rsidR="005D5367" w:rsidRPr="000B676B" w:rsidRDefault="005D5367" w:rsidP="00A80198">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 تاريخ الطبري 4: 250 ـ 252، 254؛ والفتوح 5: 18، 22؛ وروضة الواعظين: 171 ـ 172؛ والإرشاد 2: 34 ـ 35؛ والأخبار الطوال: 227 ـ 228؛ ومناقب آل أبي طالب 3: 241؛ وإعلام الورى 1: 434 ـ 435؛ وسبط ابن الجوزي، تذكرة الخواص</w:t>
      </w:r>
      <w:r>
        <w:rPr>
          <w:rFonts w:ascii="Mosawi" w:hAnsi="Mosawi" w:hint="cs"/>
          <w:sz w:val="24"/>
          <w:szCs w:val="24"/>
          <w:rtl/>
        </w:rPr>
        <w:t>ّ</w:t>
      </w:r>
      <w:r w:rsidRPr="000B676B">
        <w:rPr>
          <w:rFonts w:ascii="Mosawi" w:hAnsi="Mosawi"/>
          <w:sz w:val="24"/>
          <w:szCs w:val="24"/>
          <w:rtl/>
        </w:rPr>
        <w:t>: 235 ـ 236؛ وابن الصباغ، الفصول المهمة 2: 777 ـ 784؛ والكامل في التاريخ 4: 14 ـ 17؛ و..</w:t>
      </w:r>
    </w:p>
  </w:footnote>
  <w:footnote w:id="218">
    <w:p w14:paraId="658F6902" w14:textId="77777777" w:rsidR="005D5367" w:rsidRPr="000B676B" w:rsidRDefault="005D5367" w:rsidP="0077341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الفتوح 5: 13؛ وروضة الواعظين: 171؛ والإرشاد 2: 32 ـ 33؛ وإعلام الورى 1: 434؛ والفصول المهمة 2: 779 ـ 780؛ والكامل في التاريخ 4: 15؛ وبحار الأنوار 44: 324.</w:t>
      </w:r>
    </w:p>
  </w:footnote>
  <w:footnote w:id="219">
    <w:p w14:paraId="49BC5036"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 ـ على سبيل المثال ـ: الفتوح 5: 18، على أحد التفسيرات.</w:t>
      </w:r>
    </w:p>
  </w:footnote>
  <w:footnote w:id="220">
    <w:p w14:paraId="585E0354"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 ـ على سبيل المثال ـ: اللهوف: 21.</w:t>
      </w:r>
    </w:p>
  </w:footnote>
  <w:footnote w:id="221">
    <w:p w14:paraId="29B293F2"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 فيهما ـ على سبيل المثال ـ: تذكرة الخواص: 236، 237.</w:t>
      </w:r>
    </w:p>
  </w:footnote>
  <w:footnote w:id="222">
    <w:p w14:paraId="42E26A01" w14:textId="77777777" w:rsidR="005D5367" w:rsidRPr="000B676B" w:rsidRDefault="005D5367" w:rsidP="0077341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سيرة الأئمّة الاثني عشر 2: 56.</w:t>
      </w:r>
    </w:p>
  </w:footnote>
  <w:footnote w:id="223">
    <w:p w14:paraId="03097FF5" w14:textId="77777777" w:rsidR="005D5367" w:rsidRPr="000B676B" w:rsidRDefault="005D5367" w:rsidP="0077341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تاريخ الطبري 4: 313؛ والإرشاد 2: 87 ـ 88؛ وإعلام الورى 1: 453؛ وتاريخ مدينة دمشق 45: 51؛ والكامل في التاريخ 4: 55؛ وتاريخ الإسلام 5: 195؛ وأعيان الشيعة 1: 599 ـ 600؛ وقريب من ذلك ما في البداية والنهاية 6: 260.</w:t>
      </w:r>
    </w:p>
  </w:footnote>
  <w:footnote w:id="224">
    <w:p w14:paraId="1E7E9A72" w14:textId="77777777" w:rsidR="005D5367" w:rsidRPr="000B676B" w:rsidRDefault="005D5367" w:rsidP="005222C7">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xml:space="preserve">) تنزيه الأنبياء: </w:t>
      </w:r>
      <w:r>
        <w:rPr>
          <w:rFonts w:ascii="Mosawi" w:hAnsi="Mosawi" w:hint="cs"/>
          <w:sz w:val="24"/>
          <w:szCs w:val="24"/>
          <w:rtl/>
        </w:rPr>
        <w:t>229</w:t>
      </w:r>
      <w:r w:rsidRPr="000B676B">
        <w:rPr>
          <w:rFonts w:ascii="Mosawi" w:hAnsi="Mosawi"/>
          <w:sz w:val="24"/>
          <w:szCs w:val="24"/>
          <w:rtl/>
        </w:rPr>
        <w:t>؛ وتلخيص الشافي 4: 185؛ ولهذا وغيره رجّح المرتضى أن يكون الإمام الحسين أراد الرجوع وفعلَ ما فعله أخوه الحسن، لكن حيل بينه وبين ذلك، فانظر: تنزيه الأنبياء: 2</w:t>
      </w:r>
      <w:r>
        <w:rPr>
          <w:rFonts w:ascii="Mosawi" w:hAnsi="Mosawi" w:hint="cs"/>
          <w:sz w:val="24"/>
          <w:szCs w:val="24"/>
          <w:rtl/>
        </w:rPr>
        <w:t>30 ـ 231</w:t>
      </w:r>
      <w:r w:rsidRPr="000B676B">
        <w:rPr>
          <w:rFonts w:ascii="Mosawi" w:hAnsi="Mosawi"/>
          <w:sz w:val="24"/>
          <w:szCs w:val="24"/>
          <w:rtl/>
        </w:rPr>
        <w:t>.</w:t>
      </w:r>
    </w:p>
  </w:footnote>
  <w:footnote w:id="225">
    <w:p w14:paraId="79F7C2FB" w14:textId="77777777" w:rsidR="005D5367" w:rsidRPr="000B676B" w:rsidRDefault="005D5367" w:rsidP="0054403D">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 ابن قتيبة، الإمامة والسياسة 1: 175 ـ 176، و 2: 3، تحقيق: الزيني (ج1: 227، و2: 6، بتحقيق الشيري)؛ والبري، الجوهرة في نسب الإمام علي وآله: 42؛ وابن الدمشقي، جواهر المطالب 2: 264.</w:t>
      </w:r>
    </w:p>
  </w:footnote>
  <w:footnote w:id="226">
    <w:p w14:paraId="31001789"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تاريخ اليعقوبي 2: 248 ـ 249.</w:t>
      </w:r>
    </w:p>
  </w:footnote>
  <w:footnote w:id="227">
    <w:p w14:paraId="6B93C273"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الفتوح 5: 87.</w:t>
      </w:r>
    </w:p>
  </w:footnote>
  <w:footnote w:id="228">
    <w:p w14:paraId="1E97B442" w14:textId="77777777" w:rsidR="005D5367" w:rsidRPr="000B676B" w:rsidRDefault="005D5367" w:rsidP="00A80198">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تذكرة الخواص: 248؛ ونحوه: باقر شريف القرشي، حياة الإمام الحسين 3: 128، ناقلاً ذلك عن الصراط السوي في مناقب آل النبيّ: 78.</w:t>
      </w:r>
    </w:p>
  </w:footnote>
  <w:footnote w:id="229">
    <w:p w14:paraId="3CEB12D5" w14:textId="77777777" w:rsidR="005D5367" w:rsidRPr="000B676B" w:rsidRDefault="005D5367" w:rsidP="002D0533">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أمالي الصدوق: 218؛ والفتوح 5: 71؛ واللهوف: 43 ـ 44؛ ومثير الأحزان: 33؛ و..</w:t>
      </w:r>
    </w:p>
  </w:footnote>
  <w:footnote w:id="230">
    <w:p w14:paraId="213E3A77" w14:textId="77777777" w:rsidR="005D5367" w:rsidRPr="000B676B" w:rsidRDefault="005D5367" w:rsidP="00977D85">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xml:space="preserve">) الإرشاد 2: 79؛ وانظر: الخوارزمي، مقتل </w:t>
      </w:r>
      <w:r>
        <w:rPr>
          <w:rFonts w:ascii="Mosawi" w:hAnsi="Mosawi"/>
          <w:sz w:val="24"/>
          <w:szCs w:val="24"/>
          <w:rtl/>
        </w:rPr>
        <w:t>الحسين 1: 232</w:t>
      </w:r>
      <w:r>
        <w:rPr>
          <w:rFonts w:ascii="Mosawi" w:hAnsi="Mosawi" w:hint="cs"/>
          <w:sz w:val="24"/>
          <w:szCs w:val="24"/>
          <w:rtl/>
        </w:rPr>
        <w:t>؛</w:t>
      </w:r>
      <w:r w:rsidRPr="000B676B">
        <w:rPr>
          <w:rFonts w:ascii="Mosawi" w:hAnsi="Mosawi"/>
          <w:sz w:val="24"/>
          <w:szCs w:val="24"/>
          <w:rtl/>
        </w:rPr>
        <w:t xml:space="preserve"> وأعيان الشيعة 4: 612.</w:t>
      </w:r>
    </w:p>
  </w:footnote>
  <w:footnote w:id="231">
    <w:p w14:paraId="6B55ACD6"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بحار الأنوار 44: 383.</w:t>
      </w:r>
    </w:p>
  </w:footnote>
  <w:footnote w:id="232">
    <w:p w14:paraId="50D48421"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Pr>
        <w:t>(</w:t>
      </w:r>
      <w:r w:rsidRPr="000B676B">
        <w:rPr>
          <w:rFonts w:ascii="Mosawi" w:hAnsi="Mosawi"/>
          <w:sz w:val="24"/>
          <w:szCs w:val="24"/>
        </w:rPr>
        <w:footnoteRef/>
      </w:r>
      <w:r w:rsidRPr="000B676B">
        <w:rPr>
          <w:rFonts w:ascii="Mosawi" w:hAnsi="Mosawi"/>
          <w:sz w:val="24"/>
          <w:szCs w:val="24"/>
        </w:rPr>
        <w:t>)</w:t>
      </w:r>
      <w:r w:rsidRPr="000B676B">
        <w:rPr>
          <w:rFonts w:ascii="Mosawi" w:hAnsi="Mosawi"/>
          <w:sz w:val="24"/>
          <w:szCs w:val="24"/>
          <w:rtl/>
        </w:rPr>
        <w:t xml:space="preserve"> تاريخ الطبري 4: 323؛ والبداية والنهاية 8: 194؛ والكامل في التاريخ 4: 62.</w:t>
      </w:r>
    </w:p>
  </w:footnote>
  <w:footnote w:id="233">
    <w:p w14:paraId="03DDBF88"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البداية والنهاية 8: 189 ـ 190؛ ووردت باختلاف بسيط في تاريخ الطبري 4: 313؛ والكامل في التاريخ 4: 54 ـ 55.</w:t>
      </w:r>
    </w:p>
  </w:footnote>
  <w:footnote w:id="234">
    <w:p w14:paraId="6D097A34" w14:textId="77777777" w:rsidR="005D5367" w:rsidRPr="000B676B" w:rsidRDefault="005D5367" w:rsidP="0077341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 الطبقات الكبرى 6: 349؛ وتاريخ ابن معين، الدوري 1: 199؛ والتاريخ الصغير 2: 74؛ والتاريخ الكبير 8: 9؛ والضعفاء الصغير: 116؛ والعجلي، معرفة الثقات 2: 264 ـ 265؛ وعلل الترمذي: 401؛ والنسائي، كتاب الضعفاء والمتروكين: 236؛ والعقيلي، الضعفاء 4: 232 ـ 234؛ والجرح والتعديل 8: 361 ـ 362؛ وابن حبان، كتاب المجروحين 3: 10 ـ 11؛ والكامل 6: 420 ـ 423؛ وغير ذلك الكثير.</w:t>
      </w:r>
    </w:p>
  </w:footnote>
  <w:footnote w:id="235">
    <w:p w14:paraId="1FA206C4" w14:textId="77777777" w:rsidR="005D5367" w:rsidRPr="000B676B" w:rsidRDefault="005D5367" w:rsidP="0077341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لاحظ: مستدركات علم رجال الحديث 4: 268.</w:t>
      </w:r>
    </w:p>
  </w:footnote>
  <w:footnote w:id="236">
    <w:p w14:paraId="25EA5A02" w14:textId="77777777" w:rsidR="005D5367" w:rsidRPr="000B676B" w:rsidRDefault="005D5367" w:rsidP="0077341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ابن حبان، الثقات 6: 479؛ والمستدرك 1: 49.</w:t>
      </w:r>
    </w:p>
  </w:footnote>
  <w:footnote w:id="237">
    <w:p w14:paraId="2A8BB92C" w14:textId="77777777" w:rsidR="005D5367" w:rsidRPr="000B676B" w:rsidRDefault="005D5367" w:rsidP="00773411">
      <w:pPr>
        <w:spacing w:line="192" w:lineRule="auto"/>
        <w:ind w:left="170" w:hanging="170"/>
        <w:rPr>
          <w:rFonts w:ascii="Mosawi" w:hAnsi="Mosawi"/>
          <w:sz w:val="24"/>
          <w:szCs w:val="24"/>
          <w:rtl/>
        </w:rPr>
      </w:pPr>
      <w:r w:rsidRPr="000B676B">
        <w:rPr>
          <w:rFonts w:ascii="Mosawi" w:hAnsi="Mosawi"/>
          <w:sz w:val="24"/>
          <w:szCs w:val="24"/>
        </w:rPr>
        <w:t>(</w:t>
      </w:r>
      <w:r w:rsidRPr="000B676B">
        <w:rPr>
          <w:rFonts w:ascii="Mosawi" w:hAnsi="Mosawi"/>
          <w:sz w:val="24"/>
          <w:szCs w:val="24"/>
        </w:rPr>
        <w:footnoteRef/>
      </w:r>
      <w:r w:rsidRPr="000B676B">
        <w:rPr>
          <w:rFonts w:ascii="Mosawi" w:hAnsi="Mosawi"/>
          <w:sz w:val="24"/>
          <w:szCs w:val="24"/>
        </w:rPr>
        <w:t>)</w:t>
      </w:r>
      <w:r w:rsidRPr="000B676B">
        <w:rPr>
          <w:rFonts w:ascii="Mosawi" w:hAnsi="Mosawi"/>
          <w:sz w:val="24"/>
          <w:szCs w:val="24"/>
          <w:rtl/>
        </w:rPr>
        <w:t xml:space="preserve"> معجم رجال الحديث 12: 169 ـ 170، رقم: 7736؛ ومستدركات علم رجال الحديث 5: 248.</w:t>
      </w:r>
    </w:p>
  </w:footnote>
  <w:footnote w:id="238">
    <w:p w14:paraId="4D4B9A89"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Pr>
        <w:t>(</w:t>
      </w:r>
      <w:r w:rsidRPr="000B676B">
        <w:rPr>
          <w:rFonts w:ascii="Mosawi" w:hAnsi="Mosawi"/>
          <w:sz w:val="24"/>
          <w:szCs w:val="24"/>
        </w:rPr>
        <w:footnoteRef/>
      </w:r>
      <w:r w:rsidRPr="000B676B">
        <w:rPr>
          <w:rFonts w:ascii="Mosawi" w:hAnsi="Mosawi"/>
          <w:sz w:val="24"/>
          <w:szCs w:val="24"/>
        </w:rPr>
        <w:t>)</w:t>
      </w:r>
      <w:r w:rsidRPr="000B676B">
        <w:rPr>
          <w:rFonts w:ascii="Mosawi" w:hAnsi="Mosawi"/>
          <w:sz w:val="24"/>
          <w:szCs w:val="24"/>
          <w:rtl/>
        </w:rPr>
        <w:t xml:space="preserve"> الحكيم، ثورة الحسين: 19.</w:t>
      </w:r>
    </w:p>
  </w:footnote>
  <w:footnote w:id="239">
    <w:p w14:paraId="68745388" w14:textId="77777777" w:rsidR="005D5367" w:rsidRPr="000B676B" w:rsidRDefault="005D5367" w:rsidP="0077341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 تلخيص الشافي 3: 86.</w:t>
      </w:r>
    </w:p>
  </w:footnote>
  <w:footnote w:id="240">
    <w:p w14:paraId="51B57979" w14:textId="77777777" w:rsidR="005D5367" w:rsidRPr="000B676B" w:rsidRDefault="005D5367" w:rsidP="0077341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xml:space="preserve">) راجع: عاشورا </w:t>
      </w:r>
      <w:proofErr w:type="spellStart"/>
      <w:r w:rsidRPr="000B676B">
        <w:rPr>
          <w:rFonts w:ascii="Mosawi" w:hAnsi="Mosawi"/>
          <w:sz w:val="24"/>
          <w:szCs w:val="24"/>
          <w:rtl/>
          <w:lang w:bidi="fa-IR"/>
        </w:rPr>
        <w:t>پژ</w:t>
      </w:r>
      <w:proofErr w:type="spellEnd"/>
      <w:r w:rsidRPr="000B676B">
        <w:rPr>
          <w:rFonts w:ascii="Mosawi" w:hAnsi="Mosawi"/>
          <w:sz w:val="24"/>
          <w:szCs w:val="24"/>
          <w:rtl/>
        </w:rPr>
        <w:t>وهى: 296 ـ 297، 298 ـ 299.</w:t>
      </w:r>
    </w:p>
  </w:footnote>
  <w:footnote w:id="241">
    <w:p w14:paraId="3A01F478" w14:textId="77777777" w:rsidR="005D5367" w:rsidRPr="000B676B" w:rsidRDefault="005D5367" w:rsidP="0077341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نقل ذلك عنه في: المصدر نفسه: 305 ـ 307.</w:t>
      </w:r>
    </w:p>
  </w:footnote>
  <w:footnote w:id="242">
    <w:p w14:paraId="780C6D71" w14:textId="77777777" w:rsidR="005D5367" w:rsidRPr="000B676B" w:rsidRDefault="005D5367" w:rsidP="0077341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نقل عنه ذلك في: المصدر نفسه: 307 ـ 309.</w:t>
      </w:r>
    </w:p>
  </w:footnote>
  <w:footnote w:id="243">
    <w:p w14:paraId="0FCF7DB1" w14:textId="77777777" w:rsidR="005D5367" w:rsidRPr="000B676B" w:rsidRDefault="005D5367" w:rsidP="009B5DAA">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Pr>
          <w:rFonts w:ascii="Mosawi" w:hAnsi="Mosawi"/>
          <w:sz w:val="24"/>
          <w:szCs w:val="24"/>
          <w:rtl/>
        </w:rPr>
        <w:t xml:space="preserve">) </w:t>
      </w:r>
      <w:r>
        <w:rPr>
          <w:rFonts w:ascii="Mosawi" w:hAnsi="Mosawi" w:hint="cs"/>
          <w:sz w:val="24"/>
          <w:szCs w:val="24"/>
          <w:rtl/>
        </w:rPr>
        <w:t>انظر لها: حقول الدم، الدين وتاريخ العنف: 523.</w:t>
      </w:r>
    </w:p>
  </w:footnote>
  <w:footnote w:id="244">
    <w:p w14:paraId="2615A9AC" w14:textId="77777777" w:rsidR="005D5367" w:rsidRPr="000B676B" w:rsidRDefault="005D5367" w:rsidP="00997057">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xml:space="preserve">) </w:t>
      </w:r>
      <w:r>
        <w:rPr>
          <w:rFonts w:ascii="Mosawi" w:hAnsi="Mosawi" w:hint="cs"/>
          <w:sz w:val="24"/>
          <w:szCs w:val="24"/>
          <w:rtl/>
        </w:rPr>
        <w:t xml:space="preserve">يشار إلى أنّ </w:t>
      </w:r>
      <w:r w:rsidRPr="00997057">
        <w:rPr>
          <w:rFonts w:ascii="Mosawi" w:hAnsi="Mosawi" w:hint="cs"/>
          <w:sz w:val="24"/>
          <w:szCs w:val="24"/>
          <w:rtl/>
        </w:rPr>
        <w:t xml:space="preserve">السيد الخامنئي </w:t>
      </w:r>
      <w:r>
        <w:rPr>
          <w:rFonts w:ascii="Mosawi" w:hAnsi="Mosawi" w:hint="cs"/>
          <w:sz w:val="24"/>
          <w:szCs w:val="24"/>
          <w:rtl/>
        </w:rPr>
        <w:t xml:space="preserve">ذكر في (عقد المهادنة: 14) </w:t>
      </w:r>
      <w:r w:rsidRPr="00997057">
        <w:rPr>
          <w:rFonts w:ascii="Mosawi" w:hAnsi="Mosawi" w:hint="cs"/>
          <w:sz w:val="24"/>
          <w:szCs w:val="24"/>
          <w:rtl/>
        </w:rPr>
        <w:t>ـ باختصارٍ شديد ـ أنّ قضيّة الإمام الحسين قضيّةٌ في واقعة، وليس لها إطلاق، فهي سنّة فعليّة وليست قوليّة، فلا يمكن الأخذ بإطلاق الحكم المستفاد منها</w:t>
      </w:r>
      <w:r>
        <w:rPr>
          <w:rFonts w:ascii="Mosawi" w:hAnsi="Mosawi" w:hint="cs"/>
          <w:sz w:val="24"/>
          <w:szCs w:val="24"/>
          <w:rtl/>
        </w:rPr>
        <w:t>، لكن سوف يأتي معنا أنّه من البعيد أنّه يقصد إجهاض التفسير السياسي ولو بالنظريّة الرابعة، بل الأرجح أنّه يقصد إضعاف الاستدلال بإطلاقها على أحكام شرعيّة؛ لأنّها فعلٌ، والفعل دليلٌ صامت.</w:t>
      </w:r>
    </w:p>
  </w:footnote>
  <w:footnote w:id="245">
    <w:p w14:paraId="281AF212" w14:textId="77777777" w:rsidR="005D5367" w:rsidRPr="000B676B" w:rsidRDefault="005D5367" w:rsidP="00977D85">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حول كتاب (الشهيد الخالد)، والمواقف وردود الأفعال عليه، والمشهد التاريخي الذي تركه، انظر: السيد حسن إسلامي، مقال: العزاء سنّة دينيّة أم فعل اجتماعي؟، مجلة نصوص معاصرة، العدد 8: 13 ـ 25</w:t>
      </w:r>
      <w:r>
        <w:rPr>
          <w:rFonts w:ascii="Mosawi" w:hAnsi="Mosawi" w:hint="cs"/>
          <w:sz w:val="24"/>
          <w:szCs w:val="24"/>
          <w:rtl/>
        </w:rPr>
        <w:t>.</w:t>
      </w:r>
    </w:p>
  </w:footnote>
  <w:footnote w:id="246">
    <w:p w14:paraId="2CC55410" w14:textId="77777777" w:rsidR="005D5367" w:rsidRPr="000B676B" w:rsidRDefault="005D5367" w:rsidP="00EA0EBC">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xml:space="preserve">) </w:t>
      </w:r>
      <w:r>
        <w:rPr>
          <w:rFonts w:ascii="Mosawi" w:hAnsi="Mosawi" w:hint="cs"/>
          <w:sz w:val="24"/>
          <w:szCs w:val="24"/>
          <w:rtl/>
        </w:rPr>
        <w:t>حول تاريخ ومسارات كتاب الشهيد الخالد انظر أيضاً: شوكران انديشه: 213 ـ 339؛ وراجع أيضاً محمد علي كوشا، وكتابه: "نقد ونظر، آيت الله صالحي نجف آبادي".</w:t>
      </w:r>
    </w:p>
  </w:footnote>
  <w:footnote w:id="247">
    <w:p w14:paraId="2936B425" w14:textId="77777777" w:rsidR="005D5367" w:rsidRPr="000B676B" w:rsidRDefault="005D5367" w:rsidP="006F017D">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xml:space="preserve">) </w:t>
      </w:r>
      <w:r>
        <w:rPr>
          <w:rFonts w:ascii="Mosawi" w:hAnsi="Mosawi" w:hint="cs"/>
          <w:sz w:val="24"/>
          <w:szCs w:val="24"/>
          <w:rtl/>
        </w:rPr>
        <w:t xml:space="preserve">قد يفضّل بعضٌ التعبير هنا بأنّهم كانوا ضمن </w:t>
      </w:r>
      <w:r>
        <w:rPr>
          <w:rFonts w:ascii="Mosawi" w:hAnsi="Mosawi" w:cs="Cambria" w:hint="cs"/>
          <w:sz w:val="24"/>
          <w:szCs w:val="24"/>
          <w:rtl/>
        </w:rPr>
        <w:t>"</w:t>
      </w:r>
      <w:r>
        <w:rPr>
          <w:rFonts w:ascii="Mosawi" w:hAnsi="Mosawi" w:hint="cs"/>
          <w:sz w:val="24"/>
          <w:szCs w:val="24"/>
          <w:rtl/>
        </w:rPr>
        <w:t>المعارضة السلميّة</w:t>
      </w:r>
      <w:r>
        <w:rPr>
          <w:rFonts w:ascii="Mosawi" w:hAnsi="Mosawi" w:cs="Cambria" w:hint="cs"/>
          <w:sz w:val="24"/>
          <w:szCs w:val="24"/>
          <w:rtl/>
        </w:rPr>
        <w:t>"</w:t>
      </w:r>
      <w:r>
        <w:rPr>
          <w:rFonts w:ascii="Mosawi" w:hAnsi="Mosawi" w:hint="cs"/>
          <w:sz w:val="24"/>
          <w:szCs w:val="24"/>
          <w:rtl/>
        </w:rPr>
        <w:t>، أو يفضّل آخرون القول بأنّهم كانوا ينتمون إلى نوع من "السلبيّة السياسيّة</w:t>
      </w:r>
      <w:r>
        <w:rPr>
          <w:rFonts w:ascii="Mosawi" w:hAnsi="Mosawi" w:cs="Cambria" w:hint="cs"/>
          <w:sz w:val="24"/>
          <w:szCs w:val="24"/>
          <w:rtl/>
        </w:rPr>
        <w:t>"</w:t>
      </w:r>
      <w:r>
        <w:rPr>
          <w:rFonts w:ascii="Mosawi" w:hAnsi="Mosawi" w:hint="cs"/>
          <w:sz w:val="24"/>
          <w:szCs w:val="24"/>
          <w:rtl/>
        </w:rPr>
        <w:t>.</w:t>
      </w:r>
    </w:p>
  </w:footnote>
  <w:footnote w:id="248">
    <w:p w14:paraId="32A9AA1D" w14:textId="77777777" w:rsidR="005D5367" w:rsidRPr="000B676B" w:rsidRDefault="005D5367" w:rsidP="00C1235D">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xml:space="preserve">) </w:t>
      </w:r>
      <w:r>
        <w:rPr>
          <w:rFonts w:ascii="Mosawi" w:hAnsi="Mosawi" w:hint="cs"/>
          <w:sz w:val="24"/>
          <w:szCs w:val="24"/>
          <w:rtl/>
        </w:rPr>
        <w:t>أعتقد أنّه بسبب هذا كلّه، وبسبب كون صالحي نجف آبادي من أوائل من طرح نظريّة ولاية الفقيه الانتخابيّة الإنشائيّة، تحوّل هو وتياره إلى خارج السياق الثوري الرسمي في الإسلام السياسي الشيعي المعاصر، وصار مرفوضاً حتى من قبل الثوريّين التقليديّين، حتى أنّه لم يتمّ تأبينه في الإذاعة والتلفزيون الإيراني أصلاً، رغم أنّه من قدامى الثوريّين..</w:t>
      </w:r>
    </w:p>
  </w:footnote>
  <w:footnote w:id="249">
    <w:p w14:paraId="31EFD6A1" w14:textId="77777777" w:rsidR="005D5367" w:rsidRPr="000B676B" w:rsidRDefault="005D5367" w:rsidP="00E8434A">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Pr>
          <w:rFonts w:ascii="Mosawi" w:hAnsi="Mosawi"/>
          <w:sz w:val="24"/>
          <w:szCs w:val="24"/>
          <w:rtl/>
        </w:rPr>
        <w:t xml:space="preserve">) </w:t>
      </w:r>
      <w:r>
        <w:rPr>
          <w:rFonts w:ascii="Mosawi" w:hAnsi="Mosawi" w:hint="cs"/>
          <w:sz w:val="24"/>
          <w:szCs w:val="24"/>
          <w:rtl/>
        </w:rPr>
        <w:t>راجع: الشهيد الخالد: 137 ـ 175.</w:t>
      </w:r>
    </w:p>
  </w:footnote>
  <w:footnote w:id="250">
    <w:p w14:paraId="5909ABE3"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Pr>
        <w:t>(</w:t>
      </w:r>
      <w:r w:rsidRPr="000B676B">
        <w:rPr>
          <w:rFonts w:ascii="Mosawi" w:hAnsi="Mosawi"/>
          <w:sz w:val="24"/>
          <w:szCs w:val="24"/>
        </w:rPr>
        <w:footnoteRef/>
      </w:r>
      <w:r w:rsidRPr="000B676B">
        <w:rPr>
          <w:rFonts w:ascii="Mosawi" w:hAnsi="Mosawi"/>
          <w:sz w:val="24"/>
          <w:szCs w:val="24"/>
        </w:rPr>
        <w:t>)</w:t>
      </w:r>
      <w:r w:rsidRPr="000B676B">
        <w:rPr>
          <w:rFonts w:ascii="Mosawi" w:hAnsi="Mosawi"/>
          <w:sz w:val="24"/>
          <w:szCs w:val="24"/>
          <w:rtl/>
        </w:rPr>
        <w:t xml:space="preserve"> انظر ـ مع اختلافات طفيفة في النقل ـ: تاريخ الطبري، 4: 262؛ والإرشاد 2: 39؛ وروضة الواعظين: 173؛ والكامل في التاريخ 4: 21؛ وبحار الأنوار 44: 334 ـ 335.</w:t>
      </w:r>
    </w:p>
  </w:footnote>
  <w:footnote w:id="251">
    <w:p w14:paraId="631415A7"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Pr>
        <w:t>(</w:t>
      </w:r>
      <w:r w:rsidRPr="000B676B">
        <w:rPr>
          <w:rFonts w:ascii="Mosawi" w:hAnsi="Mosawi"/>
          <w:sz w:val="24"/>
          <w:szCs w:val="24"/>
        </w:rPr>
        <w:footnoteRef/>
      </w:r>
      <w:r w:rsidRPr="000B676B">
        <w:rPr>
          <w:rFonts w:ascii="Mosawi" w:hAnsi="Mosawi"/>
          <w:sz w:val="24"/>
          <w:szCs w:val="24"/>
        </w:rPr>
        <w:t>)</w:t>
      </w:r>
      <w:r w:rsidRPr="000B676B">
        <w:rPr>
          <w:rFonts w:ascii="Mosawi" w:hAnsi="Mosawi"/>
          <w:sz w:val="24"/>
          <w:szCs w:val="24"/>
          <w:rtl/>
        </w:rPr>
        <w:t xml:space="preserve"> تاريخ الطبري، 4: 266؛ والبداية والنهاية 8: 170؛ وأعيان الشيعة 1: 590.</w:t>
      </w:r>
    </w:p>
  </w:footnote>
  <w:footnote w:id="252">
    <w:p w14:paraId="148FA0FB" w14:textId="77777777" w:rsidR="005D5367" w:rsidRDefault="005D5367" w:rsidP="00CA47BA">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xml:space="preserve">) </w:t>
      </w:r>
      <w:r>
        <w:rPr>
          <w:rFonts w:ascii="Mosawi" w:hAnsi="Mosawi" w:hint="cs"/>
          <w:sz w:val="24"/>
          <w:szCs w:val="24"/>
          <w:rtl/>
        </w:rPr>
        <w:t>إنّ مسألة علم الإمام بالغيب يمكن تصنيفها من نظريّات الأمور النظريّة، في مقابل البديهي، والروايات فيها شديدة التعارض ومتعدّدة الطوائف والمجموعات، فالتشنيع على التفسير السياسي بمعارضته لعلم الإمام بالغيب، وكأنّه يعارض أمراً بديهيّاً، أمرٌ غير مقبول علميّاً.</w:t>
      </w:r>
    </w:p>
    <w:p w14:paraId="651F7394" w14:textId="77777777" w:rsidR="005D5367" w:rsidRPr="00927AC9" w:rsidRDefault="005D5367" w:rsidP="00837A28">
      <w:pPr>
        <w:spacing w:line="192" w:lineRule="auto"/>
        <w:ind w:left="170" w:hanging="170"/>
        <w:rPr>
          <w:rFonts w:ascii="Mosawi" w:hAnsi="Mosawi"/>
          <w:b/>
          <w:bCs/>
          <w:sz w:val="24"/>
          <w:szCs w:val="24"/>
          <w:rtl/>
        </w:rPr>
      </w:pPr>
      <w:r w:rsidRPr="00927AC9">
        <w:rPr>
          <w:rFonts w:ascii="Mosawi" w:hAnsi="Mosawi" w:hint="cs"/>
          <w:b/>
          <w:bCs/>
          <w:sz w:val="24"/>
          <w:szCs w:val="24"/>
          <w:rtl/>
        </w:rPr>
        <w:t>ولكي نعطي صورةً مختصرة عن مشهد الانقسام في علم الأئمّة، بوفاتهم تحديداً، يمكن القول بأنّه ت</w:t>
      </w:r>
      <w:r w:rsidRPr="00927AC9">
        <w:rPr>
          <w:rFonts w:ascii="Mosawi" w:hAnsi="Mosawi"/>
          <w:b/>
          <w:bCs/>
          <w:sz w:val="24"/>
          <w:szCs w:val="24"/>
          <w:rtl/>
        </w:rPr>
        <w:t xml:space="preserve">وجد أقوال وآراء </w:t>
      </w:r>
      <w:r w:rsidRPr="00927AC9">
        <w:rPr>
          <w:rFonts w:ascii="Mosawi" w:hAnsi="Mosawi" w:hint="cs"/>
          <w:b/>
          <w:bCs/>
          <w:sz w:val="24"/>
          <w:szCs w:val="24"/>
          <w:rtl/>
        </w:rPr>
        <w:t>عدّة هنا، من أبرزها:</w:t>
      </w:r>
    </w:p>
    <w:p w14:paraId="02A1F007" w14:textId="77777777" w:rsidR="005D5367" w:rsidRPr="00837A28" w:rsidRDefault="005D5367" w:rsidP="00927AC9">
      <w:pPr>
        <w:spacing w:line="192" w:lineRule="auto"/>
        <w:ind w:left="170" w:hanging="170"/>
        <w:rPr>
          <w:rFonts w:ascii="Mosawi" w:hAnsi="Mosawi"/>
          <w:sz w:val="24"/>
          <w:szCs w:val="24"/>
          <w:rtl/>
        </w:rPr>
      </w:pPr>
      <w:r w:rsidRPr="001F0457">
        <w:rPr>
          <w:rFonts w:ascii="Mosawi" w:hAnsi="Mosawi" w:hint="cs"/>
          <w:b/>
          <w:bCs/>
          <w:sz w:val="24"/>
          <w:szCs w:val="24"/>
          <w:rtl/>
        </w:rPr>
        <w:t xml:space="preserve">1 ـ </w:t>
      </w:r>
      <w:r>
        <w:rPr>
          <w:rFonts w:ascii="Mosawi" w:hAnsi="Mosawi" w:hint="cs"/>
          <w:b/>
          <w:bCs/>
          <w:sz w:val="24"/>
          <w:szCs w:val="24"/>
          <w:rtl/>
        </w:rPr>
        <w:t>العلم الإجمالي بالوفاة دون التفصيلي،</w:t>
      </w:r>
      <w:r w:rsidRPr="001F0457">
        <w:rPr>
          <w:rFonts w:ascii="Mosawi" w:hAnsi="Mosawi" w:hint="cs"/>
          <w:sz w:val="24"/>
          <w:szCs w:val="24"/>
          <w:rtl/>
        </w:rPr>
        <w:t xml:space="preserve"> أي </w:t>
      </w:r>
      <w:r w:rsidRPr="001F0457">
        <w:rPr>
          <w:rFonts w:ascii="Mosawi" w:hAnsi="Mosawi"/>
          <w:sz w:val="24"/>
          <w:szCs w:val="24"/>
          <w:rtl/>
        </w:rPr>
        <w:t>أنّهم يعلمون وفاتهم إجمالاً لا تفصيلاً، وه</w:t>
      </w:r>
      <w:r w:rsidRPr="00837A28">
        <w:rPr>
          <w:rFonts w:ascii="Mosawi" w:hAnsi="Mosawi"/>
          <w:sz w:val="24"/>
          <w:szCs w:val="24"/>
          <w:rtl/>
        </w:rPr>
        <w:t xml:space="preserve">و ما ذهب إليه بعض العلماء، مثل ما يفهم من بعض كلمات الشيخ المفيد </w:t>
      </w:r>
      <w:r>
        <w:rPr>
          <w:rFonts w:ascii="Mosawi" w:hAnsi="Mosawi" w:hint="cs"/>
          <w:sz w:val="24"/>
          <w:szCs w:val="24"/>
          <w:rtl/>
        </w:rPr>
        <w:t>(</w:t>
      </w:r>
      <w:r w:rsidRPr="000B676B">
        <w:rPr>
          <w:rFonts w:ascii="Mosawi" w:hAnsi="Mosawi"/>
          <w:sz w:val="24"/>
          <w:szCs w:val="24"/>
          <w:rtl/>
        </w:rPr>
        <w:t>المسائل العكبرية: 69 ـ 7</w:t>
      </w:r>
      <w:r>
        <w:rPr>
          <w:rFonts w:ascii="Mosawi" w:hAnsi="Mosawi" w:hint="cs"/>
          <w:sz w:val="24"/>
          <w:szCs w:val="24"/>
          <w:rtl/>
        </w:rPr>
        <w:t>1)،</w:t>
      </w:r>
      <w:r w:rsidRPr="00837A28">
        <w:rPr>
          <w:rFonts w:ascii="Mosawi" w:hAnsi="Mosawi"/>
          <w:sz w:val="24"/>
          <w:szCs w:val="24"/>
          <w:rtl/>
        </w:rPr>
        <w:t xml:space="preserve"> وابن شهر آشوب والعلامة الحلي وغيرهم</w:t>
      </w:r>
      <w:r>
        <w:rPr>
          <w:rFonts w:ascii="Mosawi" w:hAnsi="Mosawi" w:hint="cs"/>
          <w:sz w:val="24"/>
          <w:szCs w:val="24"/>
          <w:rtl/>
        </w:rPr>
        <w:t xml:space="preserve"> (انظر: </w:t>
      </w:r>
      <w:r w:rsidRPr="000B676B">
        <w:rPr>
          <w:rFonts w:ascii="Mosawi" w:hAnsi="Mosawi"/>
          <w:sz w:val="24"/>
          <w:szCs w:val="24"/>
          <w:rtl/>
        </w:rPr>
        <w:t>الطوسي، تلخيص الشافي 4: 189 ـ 190</w:t>
      </w:r>
      <w:r>
        <w:rPr>
          <w:rFonts w:ascii="Mosawi" w:hAnsi="Mosawi" w:hint="cs"/>
          <w:sz w:val="24"/>
          <w:szCs w:val="24"/>
          <w:rtl/>
        </w:rPr>
        <w:t>)</w:t>
      </w:r>
      <w:r w:rsidRPr="00837A28">
        <w:rPr>
          <w:rFonts w:ascii="Mosawi" w:hAnsi="Mosawi"/>
          <w:sz w:val="24"/>
          <w:szCs w:val="24"/>
          <w:rtl/>
        </w:rPr>
        <w:t>، كالقول بأنّ الإمام الحسين يعلم بأنّه سوف يموت شهيداً في كربلاء وأنّ النبي أخبر بذلك، وهذا ما دلّت عليه العديد من الروايات، لكنّه لا يعلم متى بالضبط سيكون ذلك</w:t>
      </w:r>
      <w:r>
        <w:rPr>
          <w:rFonts w:ascii="Mosawi" w:hAnsi="Mosawi" w:hint="cs"/>
          <w:sz w:val="24"/>
          <w:szCs w:val="24"/>
          <w:rtl/>
        </w:rPr>
        <w:t xml:space="preserve">، فهو </w:t>
      </w:r>
      <w:r w:rsidRPr="00837A28">
        <w:rPr>
          <w:rFonts w:ascii="Mosawi" w:hAnsi="Mosawi"/>
          <w:sz w:val="24"/>
          <w:szCs w:val="24"/>
          <w:rtl/>
        </w:rPr>
        <w:t>تحرّك عالماً بأنّ شهادته في كربلاء لكنّه ليس عالماً بأنّ هذه الشهادة ستكون في نفس هذا الع</w:t>
      </w:r>
      <w:r>
        <w:rPr>
          <w:rFonts w:ascii="Mosawi" w:hAnsi="Mosawi"/>
          <w:sz w:val="24"/>
          <w:szCs w:val="24"/>
          <w:rtl/>
        </w:rPr>
        <w:t>ام الذي خرج فيه أو في الذي يليه</w:t>
      </w:r>
      <w:r>
        <w:rPr>
          <w:rFonts w:ascii="Mosawi" w:hAnsi="Mosawi" w:hint="cs"/>
          <w:sz w:val="24"/>
          <w:szCs w:val="24"/>
          <w:rtl/>
        </w:rPr>
        <w:t>.</w:t>
      </w:r>
    </w:p>
    <w:p w14:paraId="1981E84E" w14:textId="77777777" w:rsidR="005D5367" w:rsidRPr="00837A28" w:rsidRDefault="005D5367" w:rsidP="00927AC9">
      <w:pPr>
        <w:spacing w:line="192" w:lineRule="auto"/>
        <w:ind w:left="170" w:hanging="170"/>
        <w:rPr>
          <w:rFonts w:ascii="Mosawi" w:hAnsi="Mosawi"/>
          <w:sz w:val="24"/>
          <w:szCs w:val="24"/>
        </w:rPr>
      </w:pPr>
      <w:r w:rsidRPr="001F0457">
        <w:rPr>
          <w:rFonts w:ascii="Mosawi" w:hAnsi="Mosawi" w:hint="cs"/>
          <w:b/>
          <w:bCs/>
          <w:sz w:val="24"/>
          <w:szCs w:val="24"/>
          <w:rtl/>
        </w:rPr>
        <w:t xml:space="preserve">2 ـ </w:t>
      </w:r>
      <w:r w:rsidRPr="001F0457">
        <w:rPr>
          <w:rFonts w:ascii="Mosawi" w:hAnsi="Mosawi"/>
          <w:b/>
          <w:bCs/>
          <w:sz w:val="24"/>
          <w:szCs w:val="24"/>
          <w:rtl/>
        </w:rPr>
        <w:t>العلم التفصيلي بالوفاة،</w:t>
      </w:r>
      <w:r w:rsidRPr="00837A28">
        <w:rPr>
          <w:rFonts w:ascii="Mosawi" w:hAnsi="Mosawi"/>
          <w:sz w:val="24"/>
          <w:szCs w:val="24"/>
          <w:rtl/>
        </w:rPr>
        <w:t xml:space="preserve"> سواء كان علماً حصوليّاً أم حضوريّاً، وهنا يمكن فرض حالات متعدّدة تبعاً لاختلاف النظريات</w:t>
      </w:r>
      <w:r>
        <w:rPr>
          <w:rFonts w:ascii="Mosawi" w:hAnsi="Mosawi" w:hint="cs"/>
          <w:sz w:val="24"/>
          <w:szCs w:val="24"/>
          <w:rtl/>
        </w:rPr>
        <w:t>،</w:t>
      </w:r>
      <w:r w:rsidRPr="00837A28">
        <w:rPr>
          <w:rFonts w:ascii="Mosawi" w:hAnsi="Mosawi"/>
          <w:sz w:val="24"/>
          <w:szCs w:val="24"/>
          <w:rtl/>
        </w:rPr>
        <w:t xml:space="preserve"> وأبرزه</w:t>
      </w:r>
      <w:r w:rsidRPr="00837A28">
        <w:rPr>
          <w:rFonts w:ascii="Mosawi" w:hAnsi="Mosawi" w:hint="cs"/>
          <w:sz w:val="24"/>
          <w:szCs w:val="24"/>
          <w:rtl/>
        </w:rPr>
        <w:t>ا:</w:t>
      </w:r>
    </w:p>
    <w:p w14:paraId="27B9AED0" w14:textId="77777777" w:rsidR="005D5367" w:rsidRPr="00837A28" w:rsidRDefault="005D5367" w:rsidP="00927AC9">
      <w:pPr>
        <w:spacing w:line="192" w:lineRule="auto"/>
        <w:ind w:left="170" w:hanging="170"/>
        <w:rPr>
          <w:rFonts w:ascii="Mosawi" w:hAnsi="Mosawi"/>
          <w:sz w:val="24"/>
          <w:szCs w:val="24"/>
          <w:rtl/>
        </w:rPr>
      </w:pPr>
      <w:r w:rsidRPr="001F0457">
        <w:rPr>
          <w:rFonts w:ascii="Mosawi" w:hAnsi="Mosawi"/>
          <w:b/>
          <w:bCs/>
          <w:sz w:val="24"/>
          <w:szCs w:val="24"/>
          <w:rtl/>
        </w:rPr>
        <w:t>أ ـ العلم التفصيلي التعليقي،</w:t>
      </w:r>
      <w:r w:rsidRPr="00837A28">
        <w:rPr>
          <w:rFonts w:ascii="Mosawi" w:hAnsi="Mosawi"/>
          <w:sz w:val="24"/>
          <w:szCs w:val="24"/>
          <w:rtl/>
        </w:rPr>
        <w:t xml:space="preserve"> وهي التي تنتج عن الرأي القائل بأنّ المعصوم لا يعلم الغيب بنحو الفعليّة، بل هو لو أراد المعرفة علم</w:t>
      </w:r>
      <w:r>
        <w:rPr>
          <w:rFonts w:ascii="Mosawi" w:hAnsi="Mosawi" w:hint="cs"/>
          <w:sz w:val="24"/>
          <w:szCs w:val="24"/>
          <w:rtl/>
        </w:rPr>
        <w:t>، وإلا فلا علم عنده.</w:t>
      </w:r>
    </w:p>
    <w:p w14:paraId="19742E11" w14:textId="77777777" w:rsidR="005D5367" w:rsidRPr="00A1745C" w:rsidRDefault="005D5367" w:rsidP="00977D85">
      <w:pPr>
        <w:spacing w:line="192" w:lineRule="auto"/>
        <w:ind w:left="170" w:hanging="170"/>
        <w:rPr>
          <w:rFonts w:ascii="Mosawi" w:hAnsi="Mosawi"/>
          <w:b/>
          <w:bCs/>
          <w:sz w:val="24"/>
          <w:szCs w:val="24"/>
          <w:rtl/>
        </w:rPr>
      </w:pPr>
      <w:r w:rsidRPr="001F0457">
        <w:rPr>
          <w:rFonts w:ascii="Mosawi" w:hAnsi="Mosawi"/>
          <w:b/>
          <w:bCs/>
          <w:sz w:val="24"/>
          <w:szCs w:val="24"/>
          <w:rtl/>
        </w:rPr>
        <w:t xml:space="preserve">ب ـ العلم التفصيلي الفعلي والتعليقي معاً، </w:t>
      </w:r>
      <w:r w:rsidRPr="00837A28">
        <w:rPr>
          <w:rFonts w:ascii="Mosawi" w:hAnsi="Mosawi"/>
          <w:sz w:val="24"/>
          <w:szCs w:val="24"/>
          <w:rtl/>
        </w:rPr>
        <w:t>وهي النظرية التي ذهب إليها بعض العلماء</w:t>
      </w:r>
      <w:r>
        <w:rPr>
          <w:rFonts w:ascii="Mosawi" w:hAnsi="Mosawi" w:hint="cs"/>
          <w:sz w:val="24"/>
          <w:szCs w:val="24"/>
          <w:rtl/>
        </w:rPr>
        <w:t>،</w:t>
      </w:r>
      <w:r w:rsidRPr="00837A28">
        <w:rPr>
          <w:rFonts w:ascii="Mosawi" w:hAnsi="Mosawi"/>
          <w:sz w:val="24"/>
          <w:szCs w:val="24"/>
          <w:rtl/>
        </w:rPr>
        <w:t xml:space="preserve"> مثل الشيخ محمد حسين كاشف الغطاء</w:t>
      </w:r>
      <w:r>
        <w:rPr>
          <w:rFonts w:ascii="Mosawi" w:hAnsi="Mosawi" w:hint="cs"/>
          <w:sz w:val="24"/>
          <w:szCs w:val="24"/>
          <w:rtl/>
        </w:rPr>
        <w:t xml:space="preserve"> (جنّة المأوى: 189 ـ 190)</w:t>
      </w:r>
      <w:r w:rsidRPr="00837A28">
        <w:rPr>
          <w:rFonts w:ascii="Mosawi" w:hAnsi="Mosawi"/>
          <w:sz w:val="24"/>
          <w:szCs w:val="24"/>
          <w:rtl/>
        </w:rPr>
        <w:t>، وهي تقول ـ خلافاً لبعض كلمات العلامة الطباطبائي ـ بأنّ المعصوم يعلم بزمان وفاته بنحو العلم بلوح المحو والإثبات، بمعنى أنّ ما يعلمه هو المدوّن في هذا اللوح، وهذا اللوح عندهم قابلٌ لعروض البداء عليه، بمعنى أنّ ما فيه يمكن أن يتغيّر، فهو يعلم فعلاً بأنّه سيموت تفصيلاً لكنّ معلومه قابل للتغيّر من عند الله، ولا يعلم المعصوم بالمتغيّر الجديد، فهو يذهب إلى كربلاء مثلاً عالماً بأنّ موته هناك، لكنّه يحتمل أنّ الله قد يغيّر قراره بذلك فيجعل موته بعد خمسة أعوام مثلاً</w:t>
      </w:r>
      <w:r w:rsidRPr="00837A28">
        <w:rPr>
          <w:rFonts w:ascii="Mosawi" w:hAnsi="Mosawi" w:hint="cs"/>
          <w:sz w:val="24"/>
          <w:szCs w:val="24"/>
          <w:rtl/>
        </w:rPr>
        <w:t>.</w:t>
      </w:r>
    </w:p>
    <w:p w14:paraId="1918071D" w14:textId="77777777" w:rsidR="005D5367" w:rsidRPr="00837A28" w:rsidRDefault="005D5367" w:rsidP="00927AC9">
      <w:pPr>
        <w:spacing w:line="192" w:lineRule="auto"/>
        <w:ind w:left="170" w:hanging="170"/>
        <w:rPr>
          <w:rFonts w:ascii="Mosawi" w:hAnsi="Mosawi"/>
          <w:sz w:val="24"/>
          <w:szCs w:val="24"/>
          <w:rtl/>
        </w:rPr>
      </w:pPr>
      <w:r w:rsidRPr="00A1745C">
        <w:rPr>
          <w:rFonts w:ascii="Mosawi" w:hAnsi="Mosawi"/>
          <w:b/>
          <w:bCs/>
          <w:sz w:val="24"/>
          <w:szCs w:val="24"/>
          <w:rtl/>
        </w:rPr>
        <w:t>ج ـ العلم التفصيلي الفعلي المسلوب،</w:t>
      </w:r>
      <w:r w:rsidRPr="00837A28">
        <w:rPr>
          <w:rFonts w:ascii="Mosawi" w:hAnsi="Mosawi"/>
          <w:sz w:val="24"/>
          <w:szCs w:val="24"/>
          <w:rtl/>
        </w:rPr>
        <w:t xml:space="preserve"> وه</w:t>
      </w:r>
      <w:r>
        <w:rPr>
          <w:rFonts w:ascii="Mosawi" w:hAnsi="Mosawi" w:hint="cs"/>
          <w:sz w:val="24"/>
          <w:szCs w:val="24"/>
          <w:rtl/>
        </w:rPr>
        <w:t>و</w:t>
      </w:r>
      <w:r w:rsidRPr="00837A28">
        <w:rPr>
          <w:rFonts w:ascii="Mosawi" w:hAnsi="Mosawi"/>
          <w:sz w:val="24"/>
          <w:szCs w:val="24"/>
          <w:rtl/>
        </w:rPr>
        <w:t xml:space="preserve"> قول تمّ الاستناد فيه لرواية</w:t>
      </w:r>
      <w:r>
        <w:rPr>
          <w:rFonts w:ascii="Mosawi" w:hAnsi="Mosawi" w:hint="cs"/>
          <w:sz w:val="24"/>
          <w:szCs w:val="24"/>
          <w:rtl/>
        </w:rPr>
        <w:t>ٍ</w:t>
      </w:r>
      <w:r w:rsidRPr="00837A28">
        <w:rPr>
          <w:rFonts w:ascii="Mosawi" w:hAnsi="Mosawi"/>
          <w:sz w:val="24"/>
          <w:szCs w:val="24"/>
          <w:rtl/>
        </w:rPr>
        <w:t xml:space="preserve"> فهموا منها أنّ المعصوم ي</w:t>
      </w:r>
      <w:r>
        <w:rPr>
          <w:rFonts w:ascii="Mosawi" w:hAnsi="Mosawi" w:hint="cs"/>
          <w:sz w:val="24"/>
          <w:szCs w:val="24"/>
          <w:rtl/>
        </w:rPr>
        <w:t>ُ</w:t>
      </w:r>
      <w:r w:rsidRPr="00837A28">
        <w:rPr>
          <w:rFonts w:ascii="Mosawi" w:hAnsi="Mosawi"/>
          <w:sz w:val="24"/>
          <w:szCs w:val="24"/>
          <w:rtl/>
        </w:rPr>
        <w:t>سلب منه العلم بوفاته قبيل الوفاة</w:t>
      </w:r>
      <w:r>
        <w:rPr>
          <w:rFonts w:ascii="Mosawi" w:hAnsi="Mosawi" w:hint="cs"/>
          <w:sz w:val="24"/>
          <w:szCs w:val="24"/>
          <w:rtl/>
        </w:rPr>
        <w:t>،</w:t>
      </w:r>
      <w:r w:rsidRPr="00837A28">
        <w:rPr>
          <w:rFonts w:ascii="Mosawi" w:hAnsi="Mosawi"/>
          <w:sz w:val="24"/>
          <w:szCs w:val="24"/>
          <w:rtl/>
        </w:rPr>
        <w:t xml:space="preserve"> فيُقدم على مقدّمات الموت غير عالم</w:t>
      </w:r>
      <w:r>
        <w:rPr>
          <w:rFonts w:ascii="Mosawi" w:hAnsi="Mosawi" w:hint="cs"/>
          <w:sz w:val="24"/>
          <w:szCs w:val="24"/>
          <w:rtl/>
        </w:rPr>
        <w:t>ٍ.</w:t>
      </w:r>
    </w:p>
    <w:p w14:paraId="49D59B35" w14:textId="77777777" w:rsidR="005D5367" w:rsidRDefault="005D5367" w:rsidP="00927AC9">
      <w:pPr>
        <w:spacing w:line="192" w:lineRule="auto"/>
        <w:ind w:left="170" w:hanging="170"/>
        <w:rPr>
          <w:rFonts w:ascii="Mosawi" w:hAnsi="Mosawi"/>
          <w:b/>
          <w:bCs/>
          <w:sz w:val="24"/>
          <w:szCs w:val="24"/>
          <w:rtl/>
        </w:rPr>
      </w:pPr>
      <w:r w:rsidRPr="00A1745C">
        <w:rPr>
          <w:rFonts w:ascii="Mosawi" w:hAnsi="Mosawi"/>
          <w:b/>
          <w:bCs/>
          <w:sz w:val="24"/>
          <w:szCs w:val="24"/>
          <w:rtl/>
        </w:rPr>
        <w:t>د ـ العلم التفصيلي الفعلي مطلقاً، بلا فرض البداء</w:t>
      </w:r>
      <w:r w:rsidRPr="00A1745C">
        <w:rPr>
          <w:rFonts w:ascii="Mosawi" w:hAnsi="Mosawi" w:hint="cs"/>
          <w:b/>
          <w:bCs/>
          <w:sz w:val="24"/>
          <w:szCs w:val="24"/>
          <w:rtl/>
        </w:rPr>
        <w:t>.</w:t>
      </w:r>
    </w:p>
    <w:p w14:paraId="22B01886" w14:textId="77777777" w:rsidR="005D5367" w:rsidRPr="00A1745C" w:rsidRDefault="005D5367" w:rsidP="005A6FEB">
      <w:pPr>
        <w:spacing w:line="192" w:lineRule="auto"/>
        <w:ind w:left="170" w:hanging="170"/>
        <w:rPr>
          <w:rFonts w:ascii="Mosawi" w:hAnsi="Mosawi"/>
          <w:b/>
          <w:bCs/>
          <w:sz w:val="24"/>
          <w:szCs w:val="24"/>
          <w:rtl/>
        </w:rPr>
      </w:pPr>
      <w:r>
        <w:rPr>
          <w:rFonts w:ascii="Mosawi" w:hAnsi="Mosawi" w:hint="cs"/>
          <w:b/>
          <w:bCs/>
          <w:sz w:val="24"/>
          <w:szCs w:val="24"/>
          <w:rtl/>
        </w:rPr>
        <w:t>3 ـ عدم العلم بالوفاة لا تفصيلاً ولا إجمالاً إلا ما قام عليه دليلٌ خاصّ في موردٍ خاصّ.</w:t>
      </w:r>
    </w:p>
  </w:footnote>
  <w:footnote w:id="253">
    <w:p w14:paraId="58A97F1B" w14:textId="77777777" w:rsidR="005D5367" w:rsidRPr="000B676B" w:rsidRDefault="005D5367" w:rsidP="0077341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راجع: الخصائص الحسيني</w:t>
      </w:r>
      <w:r>
        <w:rPr>
          <w:rFonts w:ascii="Mosawi" w:hAnsi="Mosawi" w:hint="cs"/>
          <w:sz w:val="24"/>
          <w:szCs w:val="24"/>
          <w:rtl/>
        </w:rPr>
        <w:t>ّ</w:t>
      </w:r>
      <w:r w:rsidRPr="000B676B">
        <w:rPr>
          <w:rFonts w:ascii="Mosawi" w:hAnsi="Mosawi"/>
          <w:sz w:val="24"/>
          <w:szCs w:val="24"/>
          <w:rtl/>
        </w:rPr>
        <w:t>ة: 43 ـ 46؛ وأضواء على ثورة الحسين: 38.</w:t>
      </w:r>
    </w:p>
  </w:footnote>
  <w:footnote w:id="254">
    <w:p w14:paraId="797E1203" w14:textId="77777777" w:rsidR="005D5367" w:rsidRPr="000B676B" w:rsidRDefault="005D5367" w:rsidP="00DB66A4">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xml:space="preserve">) </w:t>
      </w:r>
      <w:r>
        <w:rPr>
          <w:rFonts w:ascii="Mosawi" w:hAnsi="Mosawi" w:hint="cs"/>
          <w:sz w:val="24"/>
          <w:szCs w:val="24"/>
          <w:rtl/>
        </w:rPr>
        <w:t>يشار إلى أنّ صالحي نجف آبادي كانت لديه مناقشات على رواية أمّ سلمة بأشكالها، فراجع له: الشهيد الخالد: 370 ـ 376.</w:t>
      </w:r>
    </w:p>
  </w:footnote>
  <w:footnote w:id="255">
    <w:p w14:paraId="7485E9CF"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 مجمل هذه الملاحظة عند: الآصفي، الجهاد: 157 ـ 159.</w:t>
      </w:r>
    </w:p>
  </w:footnote>
  <w:footnote w:id="256">
    <w:p w14:paraId="5067999E" w14:textId="77777777" w:rsidR="005D5367" w:rsidRPr="000B676B" w:rsidRDefault="005D5367" w:rsidP="0077341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راجع: تلخيص الشافي 4: 183 ـ 185؛ والمسائل العكبريّة: 71.</w:t>
      </w:r>
    </w:p>
  </w:footnote>
  <w:footnote w:id="257">
    <w:p w14:paraId="317D2023" w14:textId="77777777" w:rsidR="005D5367" w:rsidRPr="000B676B" w:rsidRDefault="005D5367" w:rsidP="0077341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جنّة المأوى: 189 ـ 190.</w:t>
      </w:r>
    </w:p>
  </w:footnote>
  <w:footnote w:id="258">
    <w:p w14:paraId="28469B1C" w14:textId="77777777" w:rsidR="005D5367" w:rsidRPr="000B676B" w:rsidRDefault="005D5367" w:rsidP="0077341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 الثورة الحسينية دراسة في الأهداف والدوافع، القسم الثاني، مجلّة المنهاج، العدد 30: 21 ـ 23.</w:t>
      </w:r>
    </w:p>
  </w:footnote>
  <w:footnote w:id="259">
    <w:p w14:paraId="37B94415"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الآصفي، الجهاد: 159 ـ 160.</w:t>
      </w:r>
    </w:p>
  </w:footnote>
  <w:footnote w:id="260">
    <w:p w14:paraId="5975BB56" w14:textId="77777777" w:rsidR="005D5367" w:rsidRPr="000B676B" w:rsidRDefault="005D5367" w:rsidP="00584BAE">
      <w:pPr>
        <w:spacing w:line="192" w:lineRule="auto"/>
        <w:ind w:left="173" w:hanging="173"/>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 المواقف كما جمعها مثل: الذهبي، سير أعلام النبلاء 3: 292 ـ 298؛ وباقر شريف القرشي، حياة الإمام الحسين 3: 23 ـ 38؛ ومحمد جواد الطبسي، مع الركب الحسيني.. وقائع الطريق من مكة إلى كربلاء 3: 175 وما بعدها؛ وعلي الشاوي، الإمام الحسين في المدينة المنوّرة 1: 411 وما بعدها.</w:t>
      </w:r>
    </w:p>
  </w:footnote>
  <w:footnote w:id="261">
    <w:p w14:paraId="14A0A6B0" w14:textId="77777777" w:rsidR="005D5367" w:rsidRPr="000B676B" w:rsidRDefault="005D5367" w:rsidP="00584BAE">
      <w:pPr>
        <w:spacing w:line="192" w:lineRule="auto"/>
        <w:ind w:left="173" w:hanging="173"/>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الحكيم، ثورة الحسين: 21 ـ 22؛ ومحمد الصدر، أضواء على ثورة الحسين: 75.</w:t>
      </w:r>
    </w:p>
  </w:footnote>
  <w:footnote w:id="262">
    <w:p w14:paraId="72277C9C" w14:textId="77777777" w:rsidR="005D5367" w:rsidRPr="000B676B" w:rsidRDefault="005D5367" w:rsidP="00810091">
      <w:pPr>
        <w:spacing w:line="178"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 روضة الواعظين: 171؛ وتاريخ مدينة دمشق 14: 205؛ وتهذيب الكمال 6: 412 ـ 413؛ وسير أعلام النبلاء 3: 293 ـ 294؛ والبداية والنهاية 8: 174؛ وشرح إحقاق الحق 27: 168، 515.</w:t>
      </w:r>
    </w:p>
  </w:footnote>
  <w:footnote w:id="263">
    <w:p w14:paraId="6FE4623B" w14:textId="77777777" w:rsidR="005D5367" w:rsidRPr="000B676B" w:rsidRDefault="005D5367" w:rsidP="00637739">
      <w:pPr>
        <w:spacing w:line="187" w:lineRule="auto"/>
        <w:ind w:left="173" w:hanging="173"/>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 الإرشاد 2: 32؛ وروضة الواعظين: 171.</w:t>
      </w:r>
    </w:p>
  </w:footnote>
  <w:footnote w:id="264">
    <w:p w14:paraId="2799717D" w14:textId="77777777" w:rsidR="005D5367" w:rsidRPr="000B676B" w:rsidRDefault="005D5367" w:rsidP="00637739">
      <w:pPr>
        <w:spacing w:line="187" w:lineRule="auto"/>
        <w:ind w:left="173" w:hanging="173"/>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حول منطلقات عدم الثورة في عهد معاوية، انظر: محمد مهدي شمس الدين، ثورة الحسين ظروفها الاجتماعية وآثارها الإنسانية: 137 ـ 165؛ وعلي الشاوي، مع الركب الحسيني.. الإمام الحسين في المدينة المنوّرة 1: 232 ـ 243.</w:t>
      </w:r>
    </w:p>
  </w:footnote>
  <w:footnote w:id="265">
    <w:p w14:paraId="44A38C38" w14:textId="77777777" w:rsidR="005D5367" w:rsidRPr="000B676B" w:rsidRDefault="005D5367" w:rsidP="00637739">
      <w:pPr>
        <w:spacing w:line="187" w:lineRule="auto"/>
        <w:ind w:left="173" w:hanging="173"/>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سير أعلام النبلاء 3: 299؛ وانظر في الصحائف أيضاً: بحار الأنوار 44: 333 ـ 334.</w:t>
      </w:r>
    </w:p>
  </w:footnote>
  <w:footnote w:id="266">
    <w:p w14:paraId="514728F1" w14:textId="77777777" w:rsidR="005D5367" w:rsidRPr="000B676B" w:rsidRDefault="005D5367" w:rsidP="00637739">
      <w:pPr>
        <w:spacing w:line="187" w:lineRule="auto"/>
        <w:ind w:left="173" w:hanging="173"/>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 في التعليق على هذه الفكرة: محمد علي عابدين، مبعوث الحسين: 76؛ وحول تأنّيه في الجواب راجع: اللهوف على قتلى الطفوف: 24؛ وبحار الأنوار 44: 334؛ وأعيان الشيعة 1: 589؛ ولواعج الأشجان: 34.</w:t>
      </w:r>
    </w:p>
  </w:footnote>
  <w:footnote w:id="267">
    <w:p w14:paraId="31FA9545" w14:textId="77777777" w:rsidR="005D5367" w:rsidRPr="000B676B" w:rsidRDefault="005D5367" w:rsidP="00637739">
      <w:pPr>
        <w:spacing w:line="187" w:lineRule="auto"/>
        <w:ind w:left="173" w:hanging="173"/>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xml:space="preserve">) </w:t>
      </w:r>
      <w:r>
        <w:rPr>
          <w:rFonts w:ascii="Mosawi" w:hAnsi="Mosawi" w:hint="cs"/>
          <w:sz w:val="24"/>
          <w:szCs w:val="24"/>
          <w:rtl/>
        </w:rPr>
        <w:t xml:space="preserve">قال السيد المرتضى: </w:t>
      </w:r>
      <w:r>
        <w:rPr>
          <w:rFonts w:ascii="Mosawi" w:hAnsi="Mosawi" w:hint="eastAsia"/>
          <w:sz w:val="24"/>
          <w:szCs w:val="24"/>
          <w:rtl/>
        </w:rPr>
        <w:t>«</w:t>
      </w:r>
      <w:r w:rsidRPr="009F0157">
        <w:rPr>
          <w:rFonts w:ascii="Mosawi" w:hAnsi="Mosawi"/>
          <w:sz w:val="24"/>
          <w:szCs w:val="24"/>
          <w:rtl/>
        </w:rPr>
        <w:t>وسي</w:t>
      </w:r>
      <w:r>
        <w:rPr>
          <w:rFonts w:ascii="Mosawi" w:hAnsi="Mosawi" w:hint="cs"/>
          <w:sz w:val="24"/>
          <w:szCs w:val="24"/>
          <w:rtl/>
        </w:rPr>
        <w:t>ّ</w:t>
      </w:r>
      <w:r w:rsidRPr="009F0157">
        <w:rPr>
          <w:rFonts w:ascii="Mosawi" w:hAnsi="Mosawi"/>
          <w:sz w:val="24"/>
          <w:szCs w:val="24"/>
          <w:rtl/>
        </w:rPr>
        <w:t>دنا أبو عبد الله</w:t>
      </w:r>
      <w:r>
        <w:rPr>
          <w:rFonts w:ascii="Mosawi" w:hAnsi="Mosawi" w:hint="cs"/>
          <w:sz w:val="24"/>
          <w:szCs w:val="24"/>
          <w:rtl/>
        </w:rPr>
        <w:t>×</w:t>
      </w:r>
      <w:r w:rsidRPr="009F0157">
        <w:rPr>
          <w:rFonts w:ascii="Mosawi" w:hAnsi="Mosawi"/>
          <w:sz w:val="24"/>
          <w:szCs w:val="24"/>
          <w:rtl/>
        </w:rPr>
        <w:t xml:space="preserve"> لم</w:t>
      </w:r>
      <w:r>
        <w:rPr>
          <w:rFonts w:ascii="Mosawi" w:hAnsi="Mosawi" w:hint="cs"/>
          <w:sz w:val="24"/>
          <w:szCs w:val="24"/>
          <w:rtl/>
        </w:rPr>
        <w:t xml:space="preserve"> </w:t>
      </w:r>
      <w:r w:rsidRPr="009F0157">
        <w:rPr>
          <w:rFonts w:ascii="Mosawi" w:hAnsi="Mosawi"/>
          <w:sz w:val="24"/>
          <w:szCs w:val="24"/>
          <w:rtl/>
        </w:rPr>
        <w:t>يسر طالبا</w:t>
      </w:r>
      <w:r>
        <w:rPr>
          <w:rFonts w:ascii="Mosawi" w:hAnsi="Mosawi" w:hint="cs"/>
          <w:sz w:val="24"/>
          <w:szCs w:val="24"/>
          <w:rtl/>
        </w:rPr>
        <w:t>ً</w:t>
      </w:r>
      <w:r>
        <w:rPr>
          <w:rFonts w:ascii="Mosawi" w:hAnsi="Mosawi"/>
          <w:sz w:val="24"/>
          <w:szCs w:val="24"/>
          <w:rtl/>
        </w:rPr>
        <w:t xml:space="preserve"> للكوفة </w:t>
      </w:r>
      <w:r>
        <w:rPr>
          <w:rFonts w:ascii="Mosawi" w:hAnsi="Mosawi" w:hint="cs"/>
          <w:sz w:val="24"/>
          <w:szCs w:val="24"/>
          <w:rtl/>
        </w:rPr>
        <w:t>إ</w:t>
      </w:r>
      <w:r w:rsidRPr="009F0157">
        <w:rPr>
          <w:rFonts w:ascii="Mosawi" w:hAnsi="Mosawi"/>
          <w:sz w:val="24"/>
          <w:szCs w:val="24"/>
          <w:rtl/>
        </w:rPr>
        <w:t>لا بعد توثق</w:t>
      </w:r>
      <w:r>
        <w:rPr>
          <w:rFonts w:ascii="Mosawi" w:hAnsi="Mosawi" w:hint="cs"/>
          <w:sz w:val="24"/>
          <w:szCs w:val="24"/>
          <w:rtl/>
        </w:rPr>
        <w:t>ٍ</w:t>
      </w:r>
      <w:r w:rsidRPr="009F0157">
        <w:rPr>
          <w:rFonts w:ascii="Mosawi" w:hAnsi="Mosawi"/>
          <w:sz w:val="24"/>
          <w:szCs w:val="24"/>
          <w:rtl/>
        </w:rPr>
        <w:t xml:space="preserve"> من القوم وعهود وعقود،</w:t>
      </w:r>
      <w:r>
        <w:rPr>
          <w:rFonts w:ascii="Mosawi" w:hAnsi="Mosawi" w:hint="cs"/>
          <w:sz w:val="24"/>
          <w:szCs w:val="24"/>
          <w:rtl/>
        </w:rPr>
        <w:t xml:space="preserve"> </w:t>
      </w:r>
      <w:r>
        <w:rPr>
          <w:rFonts w:ascii="Mosawi" w:hAnsi="Mosawi"/>
          <w:sz w:val="24"/>
          <w:szCs w:val="24"/>
          <w:rtl/>
        </w:rPr>
        <w:t xml:space="preserve">وبعد </w:t>
      </w:r>
      <w:r>
        <w:rPr>
          <w:rFonts w:ascii="Mosawi" w:hAnsi="Mosawi" w:hint="cs"/>
          <w:sz w:val="24"/>
          <w:szCs w:val="24"/>
          <w:rtl/>
        </w:rPr>
        <w:t>أ</w:t>
      </w:r>
      <w:r w:rsidRPr="009F0157">
        <w:rPr>
          <w:rFonts w:ascii="Mosawi" w:hAnsi="Mosawi"/>
          <w:sz w:val="24"/>
          <w:szCs w:val="24"/>
          <w:rtl/>
        </w:rPr>
        <w:t>ن كاتبوه</w:t>
      </w:r>
      <w:r>
        <w:rPr>
          <w:rFonts w:ascii="Mosawi" w:hAnsi="Mosawi" w:hint="cs"/>
          <w:sz w:val="24"/>
          <w:szCs w:val="24"/>
          <w:rtl/>
        </w:rPr>
        <w:t>×</w:t>
      </w:r>
      <w:r w:rsidRPr="009F0157">
        <w:rPr>
          <w:rFonts w:ascii="Mosawi" w:hAnsi="Mosawi"/>
          <w:sz w:val="24"/>
          <w:szCs w:val="24"/>
          <w:rtl/>
        </w:rPr>
        <w:t xml:space="preserve"> طائعين غير مكرهين ومبتدئين غير مجيبين. وقد كانت المكاتبة من</w:t>
      </w:r>
      <w:r>
        <w:rPr>
          <w:rFonts w:ascii="Mosawi" w:hAnsi="Mosawi" w:hint="cs"/>
          <w:sz w:val="24"/>
          <w:szCs w:val="24"/>
          <w:rtl/>
        </w:rPr>
        <w:t xml:space="preserve"> </w:t>
      </w:r>
      <w:r w:rsidRPr="009F0157">
        <w:rPr>
          <w:rFonts w:ascii="Mosawi" w:hAnsi="Mosawi"/>
          <w:sz w:val="24"/>
          <w:szCs w:val="24"/>
          <w:rtl/>
        </w:rPr>
        <w:t>وجوه أهل الكوفة</w:t>
      </w:r>
      <w:r>
        <w:rPr>
          <w:rFonts w:ascii="Mosawi" w:hAnsi="Mosawi" w:hint="cs"/>
          <w:sz w:val="24"/>
          <w:szCs w:val="24"/>
          <w:rtl/>
        </w:rPr>
        <w:t xml:space="preserve"> </w:t>
      </w:r>
      <w:r>
        <w:rPr>
          <w:rFonts w:ascii="Mosawi" w:hAnsi="Mosawi"/>
          <w:sz w:val="24"/>
          <w:szCs w:val="24"/>
          <w:rtl/>
        </w:rPr>
        <w:t>و</w:t>
      </w:r>
      <w:r>
        <w:rPr>
          <w:rFonts w:ascii="Mosawi" w:hAnsi="Mosawi" w:hint="cs"/>
          <w:sz w:val="24"/>
          <w:szCs w:val="24"/>
          <w:rtl/>
        </w:rPr>
        <w:t>أ</w:t>
      </w:r>
      <w:r w:rsidRPr="009F0157">
        <w:rPr>
          <w:rFonts w:ascii="Mosawi" w:hAnsi="Mosawi"/>
          <w:sz w:val="24"/>
          <w:szCs w:val="24"/>
          <w:rtl/>
        </w:rPr>
        <w:t>شرافها وقر</w:t>
      </w:r>
      <w:r>
        <w:rPr>
          <w:rFonts w:ascii="Mosawi" w:hAnsi="Mosawi" w:hint="cs"/>
          <w:sz w:val="24"/>
          <w:szCs w:val="24"/>
          <w:rtl/>
        </w:rPr>
        <w:t>ّ</w:t>
      </w:r>
      <w:r w:rsidRPr="009F0157">
        <w:rPr>
          <w:rFonts w:ascii="Mosawi" w:hAnsi="Mosawi"/>
          <w:sz w:val="24"/>
          <w:szCs w:val="24"/>
          <w:rtl/>
        </w:rPr>
        <w:t>ائها، تقد</w:t>
      </w:r>
      <w:r>
        <w:rPr>
          <w:rFonts w:ascii="Mosawi" w:hAnsi="Mosawi" w:hint="cs"/>
          <w:sz w:val="24"/>
          <w:szCs w:val="24"/>
          <w:rtl/>
        </w:rPr>
        <w:t>ّ</w:t>
      </w:r>
      <w:r w:rsidRPr="009F0157">
        <w:rPr>
          <w:rFonts w:ascii="Mosawi" w:hAnsi="Mosawi"/>
          <w:sz w:val="24"/>
          <w:szCs w:val="24"/>
          <w:rtl/>
        </w:rPr>
        <w:t>مت إليه في أيام معاوية وبعد الصلح</w:t>
      </w:r>
      <w:r>
        <w:rPr>
          <w:rFonts w:ascii="Mosawi" w:hAnsi="Mosawi" w:hint="cs"/>
          <w:sz w:val="24"/>
          <w:szCs w:val="24"/>
          <w:rtl/>
        </w:rPr>
        <w:t xml:space="preserve"> </w:t>
      </w:r>
      <w:r w:rsidRPr="009F0157">
        <w:rPr>
          <w:rFonts w:ascii="Mosawi" w:hAnsi="Mosawi"/>
          <w:sz w:val="24"/>
          <w:szCs w:val="24"/>
          <w:rtl/>
        </w:rPr>
        <w:t>الواقع بينه وبين الحسن</w:t>
      </w:r>
      <w:r>
        <w:rPr>
          <w:rFonts w:ascii="Mosawi" w:hAnsi="Mosawi" w:hint="cs"/>
          <w:sz w:val="24"/>
          <w:szCs w:val="24"/>
          <w:rtl/>
        </w:rPr>
        <w:t>×،</w:t>
      </w:r>
      <w:r w:rsidRPr="009F0157">
        <w:rPr>
          <w:rFonts w:ascii="Mosawi" w:hAnsi="Mosawi"/>
          <w:sz w:val="24"/>
          <w:szCs w:val="24"/>
          <w:rtl/>
        </w:rPr>
        <w:t xml:space="preserve"> فدفعهم</w:t>
      </w:r>
      <w:r>
        <w:rPr>
          <w:rFonts w:ascii="Mosawi" w:hAnsi="Mosawi" w:hint="cs"/>
          <w:sz w:val="24"/>
          <w:szCs w:val="24"/>
          <w:rtl/>
        </w:rPr>
        <w:t>،</w:t>
      </w:r>
      <w:r w:rsidRPr="009F0157">
        <w:rPr>
          <w:rFonts w:ascii="Mosawi" w:hAnsi="Mosawi"/>
          <w:sz w:val="24"/>
          <w:szCs w:val="24"/>
          <w:rtl/>
        </w:rPr>
        <w:t xml:space="preserve"> وقال في</w:t>
      </w:r>
      <w:r>
        <w:rPr>
          <w:rFonts w:ascii="Mosawi" w:hAnsi="Mosawi" w:hint="cs"/>
          <w:sz w:val="24"/>
          <w:szCs w:val="24"/>
          <w:rtl/>
        </w:rPr>
        <w:t xml:space="preserve"> </w:t>
      </w:r>
      <w:r w:rsidRPr="009F0157">
        <w:rPr>
          <w:rFonts w:ascii="Mosawi" w:hAnsi="Mosawi"/>
          <w:sz w:val="24"/>
          <w:szCs w:val="24"/>
          <w:rtl/>
        </w:rPr>
        <w:t>الجواب ما وجب. ثم</w:t>
      </w:r>
      <w:r>
        <w:rPr>
          <w:rFonts w:ascii="Mosawi" w:hAnsi="Mosawi" w:hint="cs"/>
          <w:sz w:val="24"/>
          <w:szCs w:val="24"/>
          <w:rtl/>
        </w:rPr>
        <w:t>ّ</w:t>
      </w:r>
      <w:r w:rsidRPr="009F0157">
        <w:rPr>
          <w:rFonts w:ascii="Mosawi" w:hAnsi="Mosawi"/>
          <w:sz w:val="24"/>
          <w:szCs w:val="24"/>
          <w:rtl/>
        </w:rPr>
        <w:t xml:space="preserve"> كاتبوه</w:t>
      </w:r>
      <w:r>
        <w:rPr>
          <w:rFonts w:ascii="Mosawi" w:hAnsi="Mosawi" w:hint="cs"/>
          <w:sz w:val="24"/>
          <w:szCs w:val="24"/>
          <w:rtl/>
        </w:rPr>
        <w:t xml:space="preserve"> </w:t>
      </w:r>
      <w:r w:rsidRPr="009F0157">
        <w:rPr>
          <w:rFonts w:ascii="Mosawi" w:hAnsi="Mosawi"/>
          <w:sz w:val="24"/>
          <w:szCs w:val="24"/>
          <w:rtl/>
        </w:rPr>
        <w:t>بعد وفاة الحسن</w:t>
      </w:r>
      <w:r>
        <w:rPr>
          <w:rFonts w:ascii="Mosawi" w:hAnsi="Mosawi" w:hint="cs"/>
          <w:sz w:val="24"/>
          <w:szCs w:val="24"/>
          <w:rtl/>
        </w:rPr>
        <w:t>×</w:t>
      </w:r>
      <w:r w:rsidRPr="009F0157">
        <w:rPr>
          <w:rFonts w:ascii="Mosawi" w:hAnsi="Mosawi"/>
          <w:sz w:val="24"/>
          <w:szCs w:val="24"/>
          <w:rtl/>
        </w:rPr>
        <w:t xml:space="preserve"> ومعاوية باق</w:t>
      </w:r>
      <w:r>
        <w:rPr>
          <w:rFonts w:ascii="Mosawi" w:hAnsi="Mosawi" w:hint="cs"/>
          <w:sz w:val="24"/>
          <w:szCs w:val="24"/>
          <w:rtl/>
        </w:rPr>
        <w:t>ٍ</w:t>
      </w:r>
      <w:r w:rsidRPr="009F0157">
        <w:rPr>
          <w:rFonts w:ascii="Mosawi" w:hAnsi="Mosawi"/>
          <w:sz w:val="24"/>
          <w:szCs w:val="24"/>
          <w:rtl/>
        </w:rPr>
        <w:t xml:space="preserve"> فوعدهم ومن</w:t>
      </w:r>
      <w:r>
        <w:rPr>
          <w:rFonts w:ascii="Mosawi" w:hAnsi="Mosawi" w:hint="cs"/>
          <w:sz w:val="24"/>
          <w:szCs w:val="24"/>
          <w:rtl/>
        </w:rPr>
        <w:t>ّ</w:t>
      </w:r>
      <w:r w:rsidRPr="009F0157">
        <w:rPr>
          <w:rFonts w:ascii="Mosawi" w:hAnsi="Mosawi"/>
          <w:sz w:val="24"/>
          <w:szCs w:val="24"/>
          <w:rtl/>
        </w:rPr>
        <w:t>اهم، وكانت</w:t>
      </w:r>
      <w:r>
        <w:rPr>
          <w:rFonts w:ascii="Mosawi" w:hAnsi="Mosawi" w:hint="cs"/>
          <w:sz w:val="24"/>
          <w:szCs w:val="24"/>
          <w:rtl/>
        </w:rPr>
        <w:t xml:space="preserve"> </w:t>
      </w:r>
      <w:r w:rsidRPr="009F0157">
        <w:rPr>
          <w:rFonts w:ascii="Mosawi" w:hAnsi="Mosawi"/>
          <w:sz w:val="24"/>
          <w:szCs w:val="24"/>
          <w:rtl/>
        </w:rPr>
        <w:t>أياما</w:t>
      </w:r>
      <w:r>
        <w:rPr>
          <w:rFonts w:ascii="Mosawi" w:hAnsi="Mosawi" w:hint="cs"/>
          <w:sz w:val="24"/>
          <w:szCs w:val="24"/>
          <w:rtl/>
        </w:rPr>
        <w:t>ً</w:t>
      </w:r>
      <w:r w:rsidRPr="009F0157">
        <w:rPr>
          <w:rFonts w:ascii="Mosawi" w:hAnsi="Mosawi"/>
          <w:sz w:val="24"/>
          <w:szCs w:val="24"/>
          <w:rtl/>
        </w:rPr>
        <w:t xml:space="preserve"> صعبة لا يطمع</w:t>
      </w:r>
      <w:r>
        <w:rPr>
          <w:rFonts w:ascii="Mosawi" w:hAnsi="Mosawi" w:hint="cs"/>
          <w:sz w:val="24"/>
          <w:szCs w:val="24"/>
          <w:rtl/>
        </w:rPr>
        <w:t xml:space="preserve"> </w:t>
      </w:r>
      <w:r w:rsidRPr="009F0157">
        <w:rPr>
          <w:rFonts w:ascii="Mosawi" w:hAnsi="Mosawi"/>
          <w:sz w:val="24"/>
          <w:szCs w:val="24"/>
          <w:rtl/>
        </w:rPr>
        <w:t>في مثلها. فلما مضى معاوية وأعادوا المكاتبة بذلوا</w:t>
      </w:r>
      <w:r>
        <w:rPr>
          <w:rFonts w:ascii="Mosawi" w:hAnsi="Mosawi" w:hint="cs"/>
          <w:sz w:val="24"/>
          <w:szCs w:val="24"/>
          <w:rtl/>
        </w:rPr>
        <w:t xml:space="preserve"> </w:t>
      </w:r>
      <w:r w:rsidRPr="009F0157">
        <w:rPr>
          <w:rFonts w:ascii="Mosawi" w:hAnsi="Mosawi"/>
          <w:sz w:val="24"/>
          <w:szCs w:val="24"/>
          <w:rtl/>
        </w:rPr>
        <w:t>الطاعة وكر</w:t>
      </w:r>
      <w:r>
        <w:rPr>
          <w:rFonts w:ascii="Mosawi" w:hAnsi="Mosawi" w:hint="cs"/>
          <w:sz w:val="24"/>
          <w:szCs w:val="24"/>
          <w:rtl/>
        </w:rPr>
        <w:t>ّ</w:t>
      </w:r>
      <w:r w:rsidRPr="009F0157">
        <w:rPr>
          <w:rFonts w:ascii="Mosawi" w:hAnsi="Mosawi"/>
          <w:sz w:val="24"/>
          <w:szCs w:val="24"/>
          <w:rtl/>
        </w:rPr>
        <w:t>روا الطلب والرغبة</w:t>
      </w:r>
      <w:r>
        <w:rPr>
          <w:rFonts w:ascii="Mosawi" w:hAnsi="Mosawi" w:hint="cs"/>
          <w:sz w:val="24"/>
          <w:szCs w:val="24"/>
          <w:rtl/>
        </w:rPr>
        <w:t>،</w:t>
      </w:r>
      <w:r w:rsidRPr="009F0157">
        <w:rPr>
          <w:rFonts w:ascii="Mosawi" w:hAnsi="Mosawi"/>
          <w:sz w:val="24"/>
          <w:szCs w:val="24"/>
          <w:rtl/>
        </w:rPr>
        <w:t xml:space="preserve"> ورأى</w:t>
      </w:r>
      <w:r>
        <w:rPr>
          <w:rFonts w:ascii="Mosawi" w:hAnsi="Mosawi" w:hint="cs"/>
          <w:sz w:val="24"/>
          <w:szCs w:val="24"/>
          <w:rtl/>
        </w:rPr>
        <w:t>×</w:t>
      </w:r>
      <w:r w:rsidRPr="009F0157">
        <w:rPr>
          <w:rFonts w:ascii="Mosawi" w:hAnsi="Mosawi"/>
          <w:sz w:val="24"/>
          <w:szCs w:val="24"/>
          <w:rtl/>
        </w:rPr>
        <w:t xml:space="preserve"> من قو</w:t>
      </w:r>
      <w:r>
        <w:rPr>
          <w:rFonts w:ascii="Mosawi" w:hAnsi="Mosawi" w:hint="cs"/>
          <w:sz w:val="24"/>
          <w:szCs w:val="24"/>
          <w:rtl/>
        </w:rPr>
        <w:t>ّ</w:t>
      </w:r>
      <w:r w:rsidRPr="009F0157">
        <w:rPr>
          <w:rFonts w:ascii="Mosawi" w:hAnsi="Mosawi"/>
          <w:sz w:val="24"/>
          <w:szCs w:val="24"/>
          <w:rtl/>
        </w:rPr>
        <w:t>تهم عل</w:t>
      </w:r>
      <w:r>
        <w:rPr>
          <w:rFonts w:ascii="Mosawi" w:hAnsi="Mosawi" w:hint="cs"/>
          <w:sz w:val="24"/>
          <w:szCs w:val="24"/>
          <w:rtl/>
        </w:rPr>
        <w:t xml:space="preserve">ى </w:t>
      </w:r>
      <w:r w:rsidRPr="009F0157">
        <w:rPr>
          <w:rFonts w:ascii="Mosawi" w:hAnsi="Mosawi"/>
          <w:sz w:val="24"/>
          <w:szCs w:val="24"/>
          <w:rtl/>
        </w:rPr>
        <w:t>من كان</w:t>
      </w:r>
      <w:r>
        <w:rPr>
          <w:rFonts w:ascii="Mosawi" w:hAnsi="Mosawi" w:hint="cs"/>
          <w:sz w:val="24"/>
          <w:szCs w:val="24"/>
          <w:rtl/>
        </w:rPr>
        <w:t xml:space="preserve"> </w:t>
      </w:r>
      <w:r w:rsidRPr="009F0157">
        <w:rPr>
          <w:rFonts w:ascii="Mosawi" w:hAnsi="Mosawi"/>
          <w:sz w:val="24"/>
          <w:szCs w:val="24"/>
          <w:rtl/>
        </w:rPr>
        <w:t>يليهم في الحال من قبل يزيد، وتشح</w:t>
      </w:r>
      <w:r>
        <w:rPr>
          <w:rFonts w:ascii="Mosawi" w:hAnsi="Mosawi" w:hint="cs"/>
          <w:sz w:val="24"/>
          <w:szCs w:val="24"/>
          <w:rtl/>
        </w:rPr>
        <w:t>ّ</w:t>
      </w:r>
      <w:r w:rsidRPr="009F0157">
        <w:rPr>
          <w:rFonts w:ascii="Mosawi" w:hAnsi="Mosawi"/>
          <w:sz w:val="24"/>
          <w:szCs w:val="24"/>
          <w:rtl/>
        </w:rPr>
        <w:t>نهم عليه وضعفه عنهم، ما قو</w:t>
      </w:r>
      <w:r>
        <w:rPr>
          <w:rFonts w:ascii="Mosawi" w:hAnsi="Mosawi" w:hint="cs"/>
          <w:sz w:val="24"/>
          <w:szCs w:val="24"/>
          <w:rtl/>
        </w:rPr>
        <w:t>ّ</w:t>
      </w:r>
      <w:r w:rsidRPr="009F0157">
        <w:rPr>
          <w:rFonts w:ascii="Mosawi" w:hAnsi="Mosawi"/>
          <w:sz w:val="24"/>
          <w:szCs w:val="24"/>
          <w:rtl/>
        </w:rPr>
        <w:t>ى في</w:t>
      </w:r>
      <w:r>
        <w:rPr>
          <w:rFonts w:ascii="Mosawi" w:hAnsi="Mosawi" w:hint="cs"/>
          <w:sz w:val="24"/>
          <w:szCs w:val="24"/>
          <w:rtl/>
        </w:rPr>
        <w:t xml:space="preserve"> </w:t>
      </w:r>
      <w:r w:rsidRPr="009F0157">
        <w:rPr>
          <w:rFonts w:ascii="Mosawi" w:hAnsi="Mosawi"/>
          <w:sz w:val="24"/>
          <w:szCs w:val="24"/>
          <w:rtl/>
        </w:rPr>
        <w:t>ظن</w:t>
      </w:r>
      <w:r>
        <w:rPr>
          <w:rFonts w:ascii="Mosawi" w:hAnsi="Mosawi" w:hint="cs"/>
          <w:sz w:val="24"/>
          <w:szCs w:val="24"/>
          <w:rtl/>
        </w:rPr>
        <w:t>ّ</w:t>
      </w:r>
      <w:r>
        <w:rPr>
          <w:rFonts w:ascii="Mosawi" w:hAnsi="Mosawi"/>
          <w:sz w:val="24"/>
          <w:szCs w:val="24"/>
          <w:rtl/>
        </w:rPr>
        <w:t xml:space="preserve">ه </w:t>
      </w:r>
      <w:r>
        <w:rPr>
          <w:rFonts w:ascii="Mosawi" w:hAnsi="Mosawi" w:hint="cs"/>
          <w:sz w:val="24"/>
          <w:szCs w:val="24"/>
          <w:rtl/>
        </w:rPr>
        <w:t>أ</w:t>
      </w:r>
      <w:r w:rsidRPr="009F0157">
        <w:rPr>
          <w:rFonts w:ascii="Mosawi" w:hAnsi="Mosawi"/>
          <w:sz w:val="24"/>
          <w:szCs w:val="24"/>
          <w:rtl/>
        </w:rPr>
        <w:t>ن</w:t>
      </w:r>
      <w:r>
        <w:rPr>
          <w:rFonts w:ascii="Mosawi" w:hAnsi="Mosawi" w:hint="cs"/>
          <w:sz w:val="24"/>
          <w:szCs w:val="24"/>
          <w:rtl/>
        </w:rPr>
        <w:t>ّ</w:t>
      </w:r>
      <w:r w:rsidRPr="009F0157">
        <w:rPr>
          <w:rFonts w:ascii="Mosawi" w:hAnsi="Mosawi"/>
          <w:sz w:val="24"/>
          <w:szCs w:val="24"/>
          <w:rtl/>
        </w:rPr>
        <w:t xml:space="preserve"> المسير هو الواجب،</w:t>
      </w:r>
      <w:r>
        <w:rPr>
          <w:rFonts w:ascii="Mosawi" w:hAnsi="Mosawi" w:hint="cs"/>
          <w:sz w:val="24"/>
          <w:szCs w:val="24"/>
          <w:rtl/>
        </w:rPr>
        <w:t xml:space="preserve"> </w:t>
      </w:r>
      <w:r w:rsidRPr="009F0157">
        <w:rPr>
          <w:rFonts w:ascii="Mosawi" w:hAnsi="Mosawi"/>
          <w:sz w:val="24"/>
          <w:szCs w:val="24"/>
          <w:rtl/>
        </w:rPr>
        <w:t>تعين عليه ما فعله من الاجتهاد والتسب</w:t>
      </w:r>
      <w:r>
        <w:rPr>
          <w:rFonts w:ascii="Mosawi" w:hAnsi="Mosawi" w:hint="cs"/>
          <w:sz w:val="24"/>
          <w:szCs w:val="24"/>
          <w:rtl/>
        </w:rPr>
        <w:t>ّ</w:t>
      </w:r>
      <w:r w:rsidRPr="009F0157">
        <w:rPr>
          <w:rFonts w:ascii="Mosawi" w:hAnsi="Mosawi"/>
          <w:sz w:val="24"/>
          <w:szCs w:val="24"/>
          <w:rtl/>
        </w:rPr>
        <w:t>ب، ولم</w:t>
      </w:r>
      <w:r>
        <w:rPr>
          <w:rFonts w:ascii="Mosawi" w:hAnsi="Mosawi" w:hint="cs"/>
          <w:sz w:val="24"/>
          <w:szCs w:val="24"/>
          <w:rtl/>
        </w:rPr>
        <w:t xml:space="preserve"> </w:t>
      </w:r>
      <w:r w:rsidRPr="009F0157">
        <w:rPr>
          <w:rFonts w:ascii="Mosawi" w:hAnsi="Mosawi"/>
          <w:sz w:val="24"/>
          <w:szCs w:val="24"/>
          <w:rtl/>
        </w:rPr>
        <w:t>يكن في حسابه أن</w:t>
      </w:r>
      <w:r>
        <w:rPr>
          <w:rFonts w:ascii="Mosawi" w:hAnsi="Mosawi" w:hint="cs"/>
          <w:sz w:val="24"/>
          <w:szCs w:val="24"/>
          <w:rtl/>
        </w:rPr>
        <w:t>ّ</w:t>
      </w:r>
      <w:r w:rsidRPr="009F0157">
        <w:rPr>
          <w:rFonts w:ascii="Mosawi" w:hAnsi="Mosawi"/>
          <w:sz w:val="24"/>
          <w:szCs w:val="24"/>
          <w:rtl/>
        </w:rPr>
        <w:t xml:space="preserve"> القوم يغدر بعضهم، ويضعف أهل الحق</w:t>
      </w:r>
      <w:r>
        <w:rPr>
          <w:rFonts w:ascii="Mosawi" w:hAnsi="Mosawi" w:hint="cs"/>
          <w:sz w:val="24"/>
          <w:szCs w:val="24"/>
          <w:rtl/>
        </w:rPr>
        <w:t>ّ</w:t>
      </w:r>
      <w:r w:rsidRPr="009F0157">
        <w:rPr>
          <w:rFonts w:ascii="Mosawi" w:hAnsi="Mosawi"/>
          <w:sz w:val="24"/>
          <w:szCs w:val="24"/>
          <w:rtl/>
        </w:rPr>
        <w:t xml:space="preserve"> عن</w:t>
      </w:r>
      <w:r>
        <w:rPr>
          <w:rFonts w:ascii="Mosawi" w:hAnsi="Mosawi" w:hint="cs"/>
          <w:sz w:val="24"/>
          <w:szCs w:val="24"/>
          <w:rtl/>
        </w:rPr>
        <w:t xml:space="preserve"> </w:t>
      </w:r>
      <w:r w:rsidRPr="009F0157">
        <w:rPr>
          <w:rFonts w:ascii="Mosawi" w:hAnsi="Mosawi"/>
          <w:sz w:val="24"/>
          <w:szCs w:val="24"/>
          <w:rtl/>
        </w:rPr>
        <w:t>نصرته ويتفق</w:t>
      </w:r>
      <w:r>
        <w:rPr>
          <w:rFonts w:ascii="Mosawi" w:hAnsi="Mosawi" w:hint="cs"/>
          <w:sz w:val="24"/>
          <w:szCs w:val="24"/>
          <w:rtl/>
        </w:rPr>
        <w:t xml:space="preserve"> </w:t>
      </w:r>
      <w:r w:rsidRPr="009F0157">
        <w:rPr>
          <w:rFonts w:ascii="Mosawi" w:hAnsi="Mosawi"/>
          <w:sz w:val="24"/>
          <w:szCs w:val="24"/>
          <w:rtl/>
        </w:rPr>
        <w:t>بما اتفق من الأمور الغريبة</w:t>
      </w:r>
      <w:r>
        <w:rPr>
          <w:rFonts w:ascii="Mosawi" w:hAnsi="Mosawi" w:hint="cs"/>
          <w:sz w:val="24"/>
          <w:szCs w:val="24"/>
          <w:rtl/>
        </w:rPr>
        <w:t>؛</w:t>
      </w:r>
      <w:r w:rsidRPr="009F0157">
        <w:rPr>
          <w:rFonts w:ascii="Mosawi" w:hAnsi="Mosawi"/>
          <w:sz w:val="24"/>
          <w:szCs w:val="24"/>
          <w:rtl/>
        </w:rPr>
        <w:t xml:space="preserve"> فإن</w:t>
      </w:r>
      <w:r>
        <w:rPr>
          <w:rFonts w:ascii="Mosawi" w:hAnsi="Mosawi" w:hint="cs"/>
          <w:sz w:val="24"/>
          <w:szCs w:val="24"/>
          <w:rtl/>
        </w:rPr>
        <w:t>ّ</w:t>
      </w:r>
      <w:r w:rsidRPr="009F0157">
        <w:rPr>
          <w:rFonts w:ascii="Mosawi" w:hAnsi="Mosawi"/>
          <w:sz w:val="24"/>
          <w:szCs w:val="24"/>
          <w:rtl/>
        </w:rPr>
        <w:t xml:space="preserve"> مسلم بن عقيل رحمة الله عليه لما دخل</w:t>
      </w:r>
      <w:r>
        <w:rPr>
          <w:rFonts w:ascii="Mosawi" w:hAnsi="Mosawi" w:hint="cs"/>
          <w:sz w:val="24"/>
          <w:szCs w:val="24"/>
          <w:rtl/>
        </w:rPr>
        <w:t xml:space="preserve"> </w:t>
      </w:r>
      <w:r w:rsidRPr="009F0157">
        <w:rPr>
          <w:rFonts w:ascii="Mosawi" w:hAnsi="Mosawi"/>
          <w:sz w:val="24"/>
          <w:szCs w:val="24"/>
          <w:rtl/>
        </w:rPr>
        <w:t>الكوفة أخذ البيعة على أكثر أهلها</w:t>
      </w:r>
      <w:r>
        <w:rPr>
          <w:rFonts w:ascii="Mosawi" w:hAnsi="Mosawi" w:hint="cs"/>
          <w:sz w:val="24"/>
          <w:szCs w:val="24"/>
          <w:rtl/>
        </w:rPr>
        <w:t xml:space="preserve">.. </w:t>
      </w:r>
      <w:r w:rsidRPr="006F35AD">
        <w:rPr>
          <w:rFonts w:ascii="Mosawi" w:hAnsi="Mosawi"/>
          <w:sz w:val="24"/>
          <w:szCs w:val="24"/>
          <w:rtl/>
        </w:rPr>
        <w:t>وإن</w:t>
      </w:r>
      <w:r>
        <w:rPr>
          <w:rFonts w:ascii="Mosawi" w:hAnsi="Mosawi" w:hint="cs"/>
          <w:sz w:val="24"/>
          <w:szCs w:val="24"/>
          <w:rtl/>
        </w:rPr>
        <w:t>ّ</w:t>
      </w:r>
      <w:r w:rsidRPr="006F35AD">
        <w:rPr>
          <w:rFonts w:ascii="Mosawi" w:hAnsi="Mosawi"/>
          <w:sz w:val="24"/>
          <w:szCs w:val="24"/>
          <w:rtl/>
        </w:rPr>
        <w:t>ما أردنا بذكر هذه</w:t>
      </w:r>
      <w:r>
        <w:rPr>
          <w:rFonts w:ascii="Mosawi" w:hAnsi="Mosawi" w:hint="cs"/>
          <w:sz w:val="24"/>
          <w:szCs w:val="24"/>
          <w:rtl/>
        </w:rPr>
        <w:t xml:space="preserve"> </w:t>
      </w:r>
      <w:r w:rsidRPr="006F35AD">
        <w:rPr>
          <w:rFonts w:ascii="Mosawi" w:hAnsi="Mosawi"/>
          <w:sz w:val="24"/>
          <w:szCs w:val="24"/>
          <w:rtl/>
        </w:rPr>
        <w:t>الجملة أن</w:t>
      </w:r>
      <w:r>
        <w:rPr>
          <w:rFonts w:ascii="Mosawi" w:hAnsi="Mosawi" w:hint="cs"/>
          <w:sz w:val="24"/>
          <w:szCs w:val="24"/>
          <w:rtl/>
        </w:rPr>
        <w:t>ّ</w:t>
      </w:r>
      <w:r w:rsidRPr="006F35AD">
        <w:rPr>
          <w:rFonts w:ascii="Mosawi" w:hAnsi="Mosawi"/>
          <w:sz w:val="24"/>
          <w:szCs w:val="24"/>
          <w:rtl/>
        </w:rPr>
        <w:t xml:space="preserve"> أسباب الظ</w:t>
      </w:r>
      <w:r>
        <w:rPr>
          <w:rFonts w:ascii="Mosawi" w:hAnsi="Mosawi"/>
          <w:sz w:val="24"/>
          <w:szCs w:val="24"/>
          <w:rtl/>
        </w:rPr>
        <w:t>فر بال</w:t>
      </w:r>
      <w:r>
        <w:rPr>
          <w:rFonts w:ascii="Mosawi" w:hAnsi="Mosawi" w:hint="cs"/>
          <w:sz w:val="24"/>
          <w:szCs w:val="24"/>
          <w:rtl/>
        </w:rPr>
        <w:t>أ</w:t>
      </w:r>
      <w:r w:rsidRPr="006F35AD">
        <w:rPr>
          <w:rFonts w:ascii="Mosawi" w:hAnsi="Mosawi"/>
          <w:sz w:val="24"/>
          <w:szCs w:val="24"/>
          <w:rtl/>
        </w:rPr>
        <w:t>عداء كانت لايحة متوجهة، و</w:t>
      </w:r>
      <w:r>
        <w:rPr>
          <w:rFonts w:ascii="Mosawi" w:hAnsi="Mosawi" w:hint="cs"/>
          <w:sz w:val="24"/>
          <w:szCs w:val="24"/>
          <w:rtl/>
        </w:rPr>
        <w:t>أ</w:t>
      </w:r>
      <w:r w:rsidRPr="006F35AD">
        <w:rPr>
          <w:rFonts w:ascii="Mosawi" w:hAnsi="Mosawi"/>
          <w:sz w:val="24"/>
          <w:szCs w:val="24"/>
          <w:rtl/>
        </w:rPr>
        <w:t>ن</w:t>
      </w:r>
      <w:r>
        <w:rPr>
          <w:rFonts w:ascii="Mosawi" w:hAnsi="Mosawi" w:hint="cs"/>
          <w:sz w:val="24"/>
          <w:szCs w:val="24"/>
          <w:rtl/>
        </w:rPr>
        <w:t>ّ</w:t>
      </w:r>
      <w:r w:rsidRPr="006F35AD">
        <w:rPr>
          <w:rFonts w:ascii="Mosawi" w:hAnsi="Mosawi"/>
          <w:sz w:val="24"/>
          <w:szCs w:val="24"/>
          <w:rtl/>
        </w:rPr>
        <w:t xml:space="preserve"> الاتفاق الس</w:t>
      </w:r>
      <w:r>
        <w:rPr>
          <w:rFonts w:ascii="Mosawi" w:hAnsi="Mosawi" w:hint="cs"/>
          <w:sz w:val="24"/>
          <w:szCs w:val="24"/>
          <w:rtl/>
        </w:rPr>
        <w:t xml:space="preserve">يء </w:t>
      </w:r>
      <w:r>
        <w:rPr>
          <w:rFonts w:ascii="Mosawi" w:hAnsi="Mosawi"/>
          <w:sz w:val="24"/>
          <w:szCs w:val="24"/>
          <w:rtl/>
        </w:rPr>
        <w:t>عكس ال</w:t>
      </w:r>
      <w:r>
        <w:rPr>
          <w:rFonts w:ascii="Mosawi" w:hAnsi="Mosawi" w:hint="cs"/>
          <w:sz w:val="24"/>
          <w:szCs w:val="24"/>
          <w:rtl/>
        </w:rPr>
        <w:t>أ</w:t>
      </w:r>
      <w:r w:rsidRPr="006F35AD">
        <w:rPr>
          <w:rFonts w:ascii="Mosawi" w:hAnsi="Mosawi"/>
          <w:sz w:val="24"/>
          <w:szCs w:val="24"/>
          <w:rtl/>
        </w:rPr>
        <w:t>مر وقلبه حتى تم</w:t>
      </w:r>
      <w:r>
        <w:rPr>
          <w:rFonts w:ascii="Mosawi" w:hAnsi="Mosawi" w:hint="cs"/>
          <w:sz w:val="24"/>
          <w:szCs w:val="24"/>
          <w:rtl/>
        </w:rPr>
        <w:t>ّ</w:t>
      </w:r>
      <w:r w:rsidRPr="006F35AD">
        <w:rPr>
          <w:rFonts w:ascii="Mosawi" w:hAnsi="Mosawi"/>
          <w:sz w:val="24"/>
          <w:szCs w:val="24"/>
          <w:rtl/>
        </w:rPr>
        <w:t xml:space="preserve"> فيه ما</w:t>
      </w:r>
      <w:r>
        <w:rPr>
          <w:rFonts w:ascii="Mosawi" w:hAnsi="Mosawi" w:hint="cs"/>
          <w:sz w:val="24"/>
          <w:szCs w:val="24"/>
          <w:rtl/>
        </w:rPr>
        <w:t xml:space="preserve"> </w:t>
      </w:r>
      <w:r w:rsidRPr="006F35AD">
        <w:rPr>
          <w:rFonts w:ascii="Mosawi" w:hAnsi="Mosawi"/>
          <w:sz w:val="24"/>
          <w:szCs w:val="24"/>
          <w:rtl/>
        </w:rPr>
        <w:t>تم</w:t>
      </w:r>
      <w:r>
        <w:rPr>
          <w:rFonts w:ascii="Mosawi" w:hAnsi="Mosawi" w:hint="cs"/>
          <w:sz w:val="24"/>
          <w:szCs w:val="24"/>
          <w:rtl/>
        </w:rPr>
        <w:t>ّ..» (تنزيه الأنبياء: 227 ـ 229).</w:t>
      </w:r>
    </w:p>
  </w:footnote>
  <w:footnote w:id="268">
    <w:p w14:paraId="753D4B3C" w14:textId="77777777" w:rsidR="005D5367" w:rsidRPr="000B676B" w:rsidRDefault="005D5367" w:rsidP="00637739">
      <w:pPr>
        <w:spacing w:line="187" w:lineRule="auto"/>
        <w:ind w:left="173" w:hanging="173"/>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تاريخ الطبري 4: 297؛ والبداية والنهاية 8: 181.</w:t>
      </w:r>
    </w:p>
  </w:footnote>
  <w:footnote w:id="269">
    <w:p w14:paraId="4B7C2E76" w14:textId="77777777" w:rsidR="005D5367" w:rsidRPr="000B676B" w:rsidRDefault="005D5367" w:rsidP="00637739">
      <w:pPr>
        <w:spacing w:line="187" w:lineRule="auto"/>
        <w:ind w:left="173" w:hanging="173"/>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تاريخ الطبري 4: 275، 281.</w:t>
      </w:r>
    </w:p>
  </w:footnote>
  <w:footnote w:id="270">
    <w:p w14:paraId="760F53D5"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الفتوح 5: 40.</w:t>
      </w:r>
    </w:p>
  </w:footnote>
  <w:footnote w:id="271">
    <w:p w14:paraId="451012F5" w14:textId="77777777" w:rsidR="005D5367" w:rsidRPr="000B676B" w:rsidRDefault="005D5367" w:rsidP="0081009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الإمامة والسياسة 2: 8؛ وجواهر المطالب 2: 265.</w:t>
      </w:r>
    </w:p>
  </w:footnote>
  <w:footnote w:id="272">
    <w:p w14:paraId="14B40F28" w14:textId="77777777" w:rsidR="005D5367" w:rsidRPr="000B676B" w:rsidRDefault="005D5367" w:rsidP="0081009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راجع: مبعوث الحسين: 102.</w:t>
      </w:r>
    </w:p>
  </w:footnote>
  <w:footnote w:id="273">
    <w:p w14:paraId="5AB63650" w14:textId="77777777" w:rsidR="005D5367" w:rsidRPr="000B676B" w:rsidRDefault="005D5367" w:rsidP="00637739">
      <w:pPr>
        <w:spacing w:line="214" w:lineRule="auto"/>
        <w:ind w:left="173" w:hanging="173"/>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 حول مبرّرات ترجيح الكوفة في حركة الإمام الحسين على غيرها: باقر شريف القرشي، حياة الإمام الحسين 3: 11 ـ 20؛ ومحمد جواد الطبسي، مع الركب الحسيني من المدينة إلى المدينة، وقائع الطريق من مكة إلى كربلاء 3: 15 ـ 27.</w:t>
      </w:r>
    </w:p>
  </w:footnote>
  <w:footnote w:id="274">
    <w:p w14:paraId="1B4E9187" w14:textId="77777777" w:rsidR="005D5367" w:rsidRDefault="005D5367" w:rsidP="00637739">
      <w:pPr>
        <w:spacing w:line="214" w:lineRule="auto"/>
        <w:ind w:left="173" w:hanging="173"/>
        <w:rPr>
          <w:rFonts w:ascii="Mosawi" w:hAnsi="Mosawi"/>
          <w:sz w:val="24"/>
          <w:szCs w:val="24"/>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 تنزيه الأنبياء:</w:t>
      </w:r>
      <w:r>
        <w:rPr>
          <w:rFonts w:ascii="Mosawi" w:hAnsi="Mosawi" w:hint="cs"/>
          <w:sz w:val="24"/>
          <w:szCs w:val="24"/>
          <w:rtl/>
        </w:rPr>
        <w:t xml:space="preserve"> 229 ـ 230</w:t>
      </w:r>
      <w:r w:rsidRPr="000B676B">
        <w:rPr>
          <w:rFonts w:ascii="Mosawi" w:hAnsi="Mosawi"/>
          <w:sz w:val="24"/>
          <w:szCs w:val="24"/>
          <w:rtl/>
        </w:rPr>
        <w:t>؛ وتلخيص الشافي 4: 187.</w:t>
      </w:r>
    </w:p>
    <w:p w14:paraId="54A5611D" w14:textId="77777777" w:rsidR="00637739" w:rsidRPr="00637739" w:rsidRDefault="00637739" w:rsidP="00637739">
      <w:pPr>
        <w:spacing w:line="214" w:lineRule="auto"/>
        <w:ind w:left="173" w:hanging="173"/>
        <w:rPr>
          <w:rFonts w:ascii="Mosawi" w:hAnsi="Mosawi"/>
          <w:sz w:val="6"/>
          <w:szCs w:val="6"/>
          <w:rtl/>
        </w:rPr>
      </w:pPr>
    </w:p>
  </w:footnote>
  <w:footnote w:id="275">
    <w:p w14:paraId="3031A230" w14:textId="77777777" w:rsidR="005D5367" w:rsidRPr="000B676B" w:rsidRDefault="005D5367" w:rsidP="00810091">
      <w:pPr>
        <w:spacing w:line="192" w:lineRule="auto"/>
        <w:ind w:left="170" w:hanging="170"/>
        <w:rPr>
          <w:rFonts w:ascii="Mosawi" w:hAnsi="Mosawi"/>
          <w:sz w:val="24"/>
          <w:szCs w:val="24"/>
          <w:rtl/>
        </w:rPr>
      </w:pPr>
      <w:r w:rsidRPr="000B676B">
        <w:rPr>
          <w:rFonts w:ascii="Mosawi" w:hAnsi="Mosawi"/>
          <w:sz w:val="24"/>
          <w:szCs w:val="24"/>
        </w:rPr>
        <w:t>(</w:t>
      </w:r>
      <w:r w:rsidRPr="000B676B">
        <w:rPr>
          <w:rFonts w:ascii="Mosawi" w:hAnsi="Mosawi"/>
          <w:sz w:val="24"/>
          <w:szCs w:val="24"/>
        </w:rPr>
        <w:footnoteRef/>
      </w:r>
      <w:r w:rsidRPr="000B676B">
        <w:rPr>
          <w:rFonts w:ascii="Mosawi" w:hAnsi="Mosawi"/>
          <w:sz w:val="24"/>
          <w:szCs w:val="24"/>
        </w:rPr>
        <w:t>)</w:t>
      </w:r>
      <w:r w:rsidRPr="000B676B">
        <w:rPr>
          <w:rFonts w:ascii="Mosawi" w:hAnsi="Mosawi"/>
          <w:sz w:val="24"/>
          <w:szCs w:val="24"/>
          <w:rtl/>
        </w:rPr>
        <w:t xml:space="preserve"> انظر: الحكيم، ثورة الحسين: 22؛ وتأمّلات في حركة ذكرى عاشوراء: 19؛ ومحمد الصدر، أضواء على ثورة الحسين: 76 ـ 78.</w:t>
      </w:r>
    </w:p>
  </w:footnote>
  <w:footnote w:id="276">
    <w:p w14:paraId="7B27E37A" w14:textId="77777777" w:rsidR="005D5367" w:rsidRPr="000B676B" w:rsidRDefault="005D5367" w:rsidP="0086220E">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 تاريخ الطبري 4: 290؛ الإرشاد 2: 67 ـ 68؛ ومناقب آل أبي طالب 3: 245؛ ومقاتل الطالبيين: 83؛ ومثير الأحزان: 28 ـ 29؛ والكامل في التاريخ 4: 40؛ والبداية والنهاية 8: 180؛ وإعلام الورى 1: 445 ـ 446؛ ومحمد بن طلحة الشافعي، مطالب السؤول في مناقب آل الرسول: 396؛ وكشف الغمة 2: 253 ـ 254؛ والفصول المهمة 2: 803 و.. وحول الخلاف في تحديد مكان لقيا الفرزدق انظر: محمد جواد الطبسي، مع الركب الحسيني.. وقائع الطريق من مكّة إلى كربلاء 3: 186 ـ 188.</w:t>
      </w:r>
    </w:p>
  </w:footnote>
  <w:footnote w:id="277">
    <w:p w14:paraId="444EA992"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 مقاتل الطالبيين: 73.</w:t>
      </w:r>
    </w:p>
  </w:footnote>
  <w:footnote w:id="278">
    <w:p w14:paraId="18CC0F66"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 الفتوح 5: 69 ـ 70؛ واللهوف: 43؛ وأمالي الصدوق: 217 ـ 218؛ وبحار الأنوار 44: 367؛ والعوالم: 217؛ و..</w:t>
      </w:r>
    </w:p>
  </w:footnote>
  <w:footnote w:id="279">
    <w:p w14:paraId="677768DC" w14:textId="77777777" w:rsidR="005D5367" w:rsidRPr="000B676B" w:rsidRDefault="005D5367" w:rsidP="0081009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أضواء على ثورة الحسين: 77 ـ 78.</w:t>
      </w:r>
    </w:p>
  </w:footnote>
  <w:footnote w:id="280">
    <w:p w14:paraId="6AFEB196" w14:textId="77777777" w:rsidR="005D5367" w:rsidRPr="000B676B" w:rsidRDefault="005D5367" w:rsidP="0081009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مجمع البيان 2: 35؛ وقد استعرض هذا الاحتمال محمد جواد الطبسي ثم ردّه بمسألة الاعتقاد الشيعي بعلم الإمام بغدر أهل الكوفة، فراجع: مع الركب الحسيني.. وقائع الطريق من مكّة إلى كربلاء 3: 22 ـ 23.</w:t>
      </w:r>
    </w:p>
  </w:footnote>
  <w:footnote w:id="281">
    <w:p w14:paraId="47EFB663"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نهضة الحسين: 87.</w:t>
      </w:r>
    </w:p>
  </w:footnote>
  <w:footnote w:id="282">
    <w:p w14:paraId="5234C736"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الإرشاد 2: 80 ـ 81؛ وروضة الواعظين: 179.</w:t>
      </w:r>
    </w:p>
  </w:footnote>
  <w:footnote w:id="283">
    <w:p w14:paraId="4DCB34E3" w14:textId="77777777" w:rsidR="005D5367" w:rsidRPr="000B676B" w:rsidRDefault="005D5367" w:rsidP="00977D85">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 حول رأي مرتضى مطهري: الملحمة الحسينية 2: 7 ـ 51، 227 ـ 256؛ ومهدي بيشوائي، سيرة الأئمة: 145 ـ 163</w:t>
      </w:r>
      <w:r>
        <w:rPr>
          <w:rFonts w:ascii="Mosawi" w:hAnsi="Mosawi" w:hint="cs"/>
          <w:sz w:val="24"/>
          <w:szCs w:val="24"/>
          <w:rtl/>
        </w:rPr>
        <w:t>؛</w:t>
      </w:r>
      <w:r w:rsidRPr="000B676B">
        <w:rPr>
          <w:rFonts w:ascii="Mosawi" w:hAnsi="Mosawi"/>
          <w:sz w:val="24"/>
          <w:szCs w:val="24"/>
          <w:rtl/>
        </w:rPr>
        <w:t xml:space="preserve"> وقد حاول بعضهم التأكيد على الامتزاج بين العوامل الثلاثة وأنّها لم تكن مترتبة زماناً بل متداخلة؛ فانظر: علي الشاوي، مع الركب الحسيني.. الإمام الحسين في المدينة المنوّرة 1: 365 ـ 369.</w:t>
      </w:r>
    </w:p>
  </w:footnote>
  <w:footnote w:id="284">
    <w:p w14:paraId="07B8D33E" w14:textId="77777777" w:rsidR="005D5367" w:rsidRPr="000B676B" w:rsidRDefault="005D5367" w:rsidP="00DD640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راجع حول هذه النصوص مختلف مصادر السيرة والمقاتل وكتب التاريخ المعروفة، ومن باب المثال انظر: مع الركب الحسيني من المدينة إلى المدينة، الشيخ عزت المولائي والشيخ محمد جعفر الطبسي، الإمام الحسين في كربلاء 4: 36 ـ 68.</w:t>
      </w:r>
    </w:p>
  </w:footnote>
  <w:footnote w:id="285">
    <w:p w14:paraId="588C9EC7" w14:textId="77777777" w:rsidR="005D5367" w:rsidRPr="000B676B" w:rsidRDefault="005D5367" w:rsidP="009A4307">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xml:space="preserve">) انظر: </w:t>
      </w:r>
      <w:r>
        <w:rPr>
          <w:rFonts w:ascii="Mosawi" w:hAnsi="Mosawi" w:hint="cs"/>
          <w:sz w:val="24"/>
          <w:szCs w:val="24"/>
          <w:rtl/>
        </w:rPr>
        <w:t xml:space="preserve">هاشم معروف الحسني، </w:t>
      </w:r>
      <w:r w:rsidRPr="000B676B">
        <w:rPr>
          <w:rFonts w:ascii="Mosawi" w:hAnsi="Mosawi"/>
          <w:sz w:val="24"/>
          <w:szCs w:val="24"/>
          <w:rtl/>
        </w:rPr>
        <w:t xml:space="preserve">سيرة الأئمة الاثني عشر 2: 90 ـ 92؛ </w:t>
      </w:r>
      <w:r>
        <w:rPr>
          <w:rFonts w:ascii="Mosawi" w:hAnsi="Mosawi" w:hint="cs"/>
          <w:sz w:val="24"/>
          <w:szCs w:val="24"/>
          <w:rtl/>
        </w:rPr>
        <w:t xml:space="preserve">وموسى الصدر، سفر شهادت، </w:t>
      </w:r>
      <w:r>
        <w:rPr>
          <w:rFonts w:ascii="Mosawi" w:hAnsi="Mosawi" w:hint="cs"/>
          <w:sz w:val="24"/>
          <w:szCs w:val="24"/>
          <w:rtl/>
          <w:lang w:bidi="fa-IR"/>
        </w:rPr>
        <w:t>گ</w:t>
      </w:r>
      <w:r>
        <w:rPr>
          <w:rFonts w:ascii="Mosawi" w:hAnsi="Mosawi" w:hint="cs"/>
          <w:sz w:val="24"/>
          <w:szCs w:val="24"/>
          <w:rtl/>
        </w:rPr>
        <w:t>فتارهاى درباره واقع</w:t>
      </w:r>
      <w:r>
        <w:rPr>
          <w:rFonts w:ascii="Mosawi" w:hAnsi="Mosawi" w:hint="cs"/>
          <w:sz w:val="24"/>
          <w:szCs w:val="24"/>
          <w:rtl/>
          <w:lang w:bidi="fa-IR"/>
        </w:rPr>
        <w:t>ه</w:t>
      </w:r>
      <w:r>
        <w:rPr>
          <w:rFonts w:ascii="Mosawi" w:hAnsi="Mosawi" w:hint="cs"/>
          <w:sz w:val="24"/>
          <w:szCs w:val="24"/>
          <w:rtl/>
        </w:rPr>
        <w:t xml:space="preserve"> عاشورا: 13 ـ 32؛ </w:t>
      </w:r>
      <w:r w:rsidRPr="000B676B">
        <w:rPr>
          <w:rFonts w:ascii="Mosawi" w:hAnsi="Mosawi"/>
          <w:sz w:val="24"/>
          <w:szCs w:val="24"/>
          <w:rtl/>
        </w:rPr>
        <w:t>وعبد الحسين شرف الدين، المجالس الفاخرة: 44 ـ 51؛ ومحمد جواد مغنية، الحسين وبطلة كربلاء: 17 ـ 18، 22، 67 ـ 68؛ وشريعتي، الحسين وارث آدم، مجموعه آثار 19: 189؛ ومحمد حسين الطباطبائي، بحثى كوتاه درباره علم إمام: 52 ـ 56؛</w:t>
      </w:r>
      <w:r>
        <w:rPr>
          <w:rFonts w:ascii="Mosawi" w:hAnsi="Mosawi" w:hint="cs"/>
          <w:sz w:val="24"/>
          <w:szCs w:val="24"/>
          <w:rtl/>
        </w:rPr>
        <w:t xml:space="preserve"> و</w:t>
      </w:r>
      <w:r w:rsidRPr="000B676B">
        <w:rPr>
          <w:rFonts w:ascii="Mosawi" w:hAnsi="Mosawi"/>
          <w:sz w:val="24"/>
          <w:szCs w:val="24"/>
          <w:rtl/>
        </w:rPr>
        <w:t>جعفر السبحاني، الأئمة الاثني عشر: 77 ـ 89؛ وله أيضاً: أضواء على عقائد الشيعة الإمامية: 157 ـ 162</w:t>
      </w:r>
      <w:r>
        <w:rPr>
          <w:rFonts w:ascii="Mosawi" w:hAnsi="Mosawi" w:hint="cs"/>
          <w:sz w:val="24"/>
          <w:szCs w:val="24"/>
          <w:rtl/>
        </w:rPr>
        <w:t>؛ وغيرهم.</w:t>
      </w:r>
    </w:p>
  </w:footnote>
  <w:footnote w:id="286">
    <w:p w14:paraId="25B42D68" w14:textId="77777777" w:rsidR="005D5367" w:rsidRPr="000B676B" w:rsidRDefault="005D5367" w:rsidP="00272118">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xml:space="preserve">) انظر: </w:t>
      </w:r>
      <w:r>
        <w:rPr>
          <w:rFonts w:ascii="Mosawi" w:hAnsi="Mosawi" w:hint="cs"/>
          <w:sz w:val="24"/>
          <w:szCs w:val="24"/>
          <w:rtl/>
        </w:rPr>
        <w:t>جواهر الكلام 21: 295 ـ 296.</w:t>
      </w:r>
    </w:p>
  </w:footnote>
  <w:footnote w:id="287">
    <w:p w14:paraId="0C3EC4F4" w14:textId="77777777" w:rsidR="005D5367" w:rsidRPr="000B676B" w:rsidRDefault="005D5367" w:rsidP="003D562B">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 محمد باقر الصدر، أئم</w:t>
      </w:r>
      <w:r>
        <w:rPr>
          <w:rFonts w:ascii="Mosawi" w:hAnsi="Mosawi" w:hint="cs"/>
          <w:sz w:val="24"/>
          <w:szCs w:val="24"/>
          <w:rtl/>
        </w:rPr>
        <w:t>ّ</w:t>
      </w:r>
      <w:r w:rsidRPr="000B676B">
        <w:rPr>
          <w:rFonts w:ascii="Mosawi" w:hAnsi="Mosawi"/>
          <w:sz w:val="24"/>
          <w:szCs w:val="24"/>
          <w:rtl/>
        </w:rPr>
        <w:t>ة أهل البيت ودورهم في تحصين الرسالة: 309 ـ 358؛ والهاشمي، الثورة الحسينية، مجلة المنهاج، العدد 30: 19، 23 ـ 33؛ ومحمد الصدر، أضواء على ثورة الحسين: 78 ـ 82؛ والآصفي، الجهاد: 166 ـ 169؛ وله أيضاً:</w:t>
      </w:r>
      <w:r>
        <w:rPr>
          <w:rFonts w:ascii="Mosawi" w:hAnsi="Mosawi" w:hint="cs"/>
          <w:sz w:val="24"/>
          <w:szCs w:val="24"/>
          <w:rtl/>
        </w:rPr>
        <w:t xml:space="preserve"> </w:t>
      </w:r>
      <w:r w:rsidRPr="000B676B">
        <w:rPr>
          <w:rFonts w:ascii="Mosawi" w:hAnsi="Mosawi"/>
          <w:sz w:val="24"/>
          <w:szCs w:val="24"/>
          <w:rtl/>
        </w:rPr>
        <w:t>وارث الأنبياء: 20</w:t>
      </w:r>
      <w:r>
        <w:rPr>
          <w:rFonts w:ascii="Mosawi" w:hAnsi="Mosawi" w:hint="cs"/>
          <w:sz w:val="24"/>
          <w:szCs w:val="24"/>
          <w:rtl/>
        </w:rPr>
        <w:t>9</w:t>
      </w:r>
      <w:r w:rsidRPr="000B676B">
        <w:rPr>
          <w:rFonts w:ascii="Mosawi" w:hAnsi="Mosawi"/>
          <w:sz w:val="24"/>
          <w:szCs w:val="24"/>
          <w:rtl/>
        </w:rPr>
        <w:t xml:space="preserve"> ـ 22</w:t>
      </w:r>
      <w:r>
        <w:rPr>
          <w:rFonts w:ascii="Mosawi" w:hAnsi="Mosawi" w:hint="cs"/>
          <w:sz w:val="24"/>
          <w:szCs w:val="24"/>
          <w:rtl/>
        </w:rPr>
        <w:t>8</w:t>
      </w:r>
      <w:r w:rsidRPr="000B676B">
        <w:rPr>
          <w:rFonts w:ascii="Mosawi" w:hAnsi="Mosawi"/>
          <w:sz w:val="24"/>
          <w:szCs w:val="24"/>
          <w:rtl/>
        </w:rPr>
        <w:t>؛ والحكيم، ثورة الحسين: 39 ـ 52؛ وعادل الأديب، الأئم</w:t>
      </w:r>
      <w:r>
        <w:rPr>
          <w:rFonts w:ascii="Mosawi" w:hAnsi="Mosawi" w:hint="cs"/>
          <w:sz w:val="24"/>
          <w:szCs w:val="24"/>
          <w:rtl/>
        </w:rPr>
        <w:t>ّ</w:t>
      </w:r>
      <w:r w:rsidRPr="000B676B">
        <w:rPr>
          <w:rFonts w:ascii="Mosawi" w:hAnsi="Mosawi"/>
          <w:sz w:val="24"/>
          <w:szCs w:val="24"/>
          <w:rtl/>
        </w:rPr>
        <w:t>ة الاثنا عشر، دراسة تحليلية: 105 ـ 138</w:t>
      </w:r>
      <w:r>
        <w:rPr>
          <w:rFonts w:ascii="Mosawi" w:hAnsi="Mosawi" w:hint="cs"/>
          <w:sz w:val="24"/>
          <w:szCs w:val="24"/>
          <w:rtl/>
        </w:rPr>
        <w:t>.</w:t>
      </w:r>
    </w:p>
  </w:footnote>
  <w:footnote w:id="288">
    <w:p w14:paraId="5F1673C5" w14:textId="77777777" w:rsidR="005D5367" w:rsidRPr="000B676B" w:rsidRDefault="005D5367" w:rsidP="00634385">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xml:space="preserve">) انظر: </w:t>
      </w:r>
      <w:r>
        <w:rPr>
          <w:rFonts w:ascii="Mosawi" w:hAnsi="Mosawi" w:hint="cs"/>
          <w:sz w:val="24"/>
          <w:szCs w:val="24"/>
          <w:rtl/>
        </w:rPr>
        <w:t>كربلاء بنظرة لا مذهبيّة: 106 ـ 108.</w:t>
      </w:r>
    </w:p>
  </w:footnote>
  <w:footnote w:id="289">
    <w:p w14:paraId="7B643011" w14:textId="77777777" w:rsidR="005D5367" w:rsidRPr="000B676B" w:rsidRDefault="005D5367" w:rsidP="003D562B">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w:t>
      </w:r>
      <w:r>
        <w:rPr>
          <w:rFonts w:ascii="Mosawi" w:hAnsi="Mosawi" w:hint="cs"/>
          <w:sz w:val="24"/>
          <w:szCs w:val="24"/>
          <w:rtl/>
        </w:rPr>
        <w:t xml:space="preserve"> له</w:t>
      </w:r>
      <w:r w:rsidRPr="000B676B">
        <w:rPr>
          <w:rFonts w:ascii="Mosawi" w:hAnsi="Mosawi"/>
          <w:sz w:val="24"/>
          <w:szCs w:val="24"/>
          <w:rtl/>
        </w:rPr>
        <w:t xml:space="preserve">: </w:t>
      </w:r>
      <w:r>
        <w:rPr>
          <w:rFonts w:ascii="Mosawi" w:hAnsi="Mosawi" w:hint="cs"/>
          <w:sz w:val="24"/>
          <w:szCs w:val="24"/>
          <w:rtl/>
        </w:rPr>
        <w:t>إنسان بعمر 250 سنة: 201 ـ 219.</w:t>
      </w:r>
    </w:p>
  </w:footnote>
  <w:footnote w:id="290">
    <w:p w14:paraId="4D9504C5" w14:textId="77777777" w:rsidR="005D5367" w:rsidRPr="000B676B" w:rsidRDefault="005D5367" w:rsidP="00584663">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xml:space="preserve">) </w:t>
      </w:r>
      <w:r>
        <w:rPr>
          <w:rFonts w:ascii="Mosawi" w:hAnsi="Mosawi" w:hint="cs"/>
          <w:sz w:val="24"/>
          <w:szCs w:val="24"/>
          <w:rtl/>
        </w:rPr>
        <w:t xml:space="preserve">بل توحي بعض النصوص أنّ الحسين كانت له ارتباطات ببعض أهل الكوفة، وأنّه طالبهم ـ بعد رحيل الحسن ـ بالتزام الهدوء إلى أن يأتيهم موت معاوية، فيُخبرهم الحسين برأيه في تلك الحال، وعلى سبيل المثال ما جاء عند البلاذري في (أنساب الأشراف 3: 152) حيث قال في الرواية: </w:t>
      </w:r>
      <w:r>
        <w:rPr>
          <w:rFonts w:ascii="Mosawi" w:hAnsi="Mosawi" w:hint="eastAsia"/>
          <w:sz w:val="24"/>
          <w:szCs w:val="24"/>
          <w:rtl/>
        </w:rPr>
        <w:t>«</w:t>
      </w:r>
      <w:r w:rsidRPr="00584663">
        <w:rPr>
          <w:rFonts w:ascii="Mosawi" w:hAnsi="Mosawi"/>
          <w:sz w:val="24"/>
          <w:szCs w:val="24"/>
          <w:rtl/>
        </w:rPr>
        <w:t>وكتب إليه بنو جعدة يخبرونه بحسن رأي أهل الكوفة فيه، وحبّهم لقدومه وتطلَّعهم إليه، وأن قد لقوا من أنصاره وإخوانه من يرضى هديه ويطمأنّ إلى قوله ويعرف نجدته وبأسه، فأفضوا إليهم ما هم عليه من شنآن ابن أبي سفيان</w:t>
      </w:r>
      <w:r>
        <w:rPr>
          <w:rFonts w:ascii="Mosawi" w:hAnsi="Mosawi"/>
          <w:sz w:val="24"/>
          <w:szCs w:val="24"/>
          <w:rtl/>
        </w:rPr>
        <w:t>، والبراءة منه</w:t>
      </w:r>
      <w:r w:rsidRPr="00584663">
        <w:rPr>
          <w:rFonts w:ascii="Mosawi" w:hAnsi="Mosawi"/>
          <w:sz w:val="24"/>
          <w:szCs w:val="24"/>
          <w:rtl/>
        </w:rPr>
        <w:t>، ويسألونه الكتاب إليهم برأيه.</w:t>
      </w:r>
      <w:r>
        <w:rPr>
          <w:rFonts w:ascii="Mosawi" w:hAnsi="Mosawi" w:hint="cs"/>
          <w:sz w:val="24"/>
          <w:szCs w:val="24"/>
          <w:rtl/>
        </w:rPr>
        <w:t xml:space="preserve"> </w:t>
      </w:r>
      <w:r w:rsidRPr="00584663">
        <w:rPr>
          <w:rFonts w:ascii="Mosawi" w:hAnsi="Mosawi"/>
          <w:sz w:val="24"/>
          <w:szCs w:val="24"/>
          <w:rtl/>
        </w:rPr>
        <w:t>فكتب (الحسين</w:t>
      </w:r>
      <w:r>
        <w:rPr>
          <w:rFonts w:ascii="Mosawi" w:hAnsi="Mosawi" w:hint="cs"/>
          <w:sz w:val="24"/>
          <w:szCs w:val="24"/>
          <w:rtl/>
        </w:rPr>
        <w:t>×</w:t>
      </w:r>
      <w:r w:rsidRPr="00584663">
        <w:rPr>
          <w:rFonts w:ascii="Mosawi" w:hAnsi="Mosawi"/>
          <w:sz w:val="24"/>
          <w:szCs w:val="24"/>
          <w:rtl/>
        </w:rPr>
        <w:t>) إليهم: إن</w:t>
      </w:r>
      <w:r>
        <w:rPr>
          <w:rFonts w:ascii="Mosawi" w:hAnsi="Mosawi" w:hint="cs"/>
          <w:sz w:val="24"/>
          <w:szCs w:val="24"/>
          <w:rtl/>
        </w:rPr>
        <w:t>ّ</w:t>
      </w:r>
      <w:r w:rsidRPr="00584663">
        <w:rPr>
          <w:rFonts w:ascii="Mosawi" w:hAnsi="Mosawi"/>
          <w:sz w:val="24"/>
          <w:szCs w:val="24"/>
          <w:rtl/>
        </w:rPr>
        <w:t>ي لأرجو أن يكون رأي أخي رحمه الله في الموادعة، ورأيي في جهاد الظلمة رشدا</w:t>
      </w:r>
      <w:r>
        <w:rPr>
          <w:rFonts w:ascii="Mosawi" w:hAnsi="Mosawi" w:hint="cs"/>
          <w:sz w:val="24"/>
          <w:szCs w:val="24"/>
          <w:rtl/>
        </w:rPr>
        <w:t>ً</w:t>
      </w:r>
      <w:r w:rsidRPr="00584663">
        <w:rPr>
          <w:rFonts w:ascii="Mosawi" w:hAnsi="Mosawi"/>
          <w:sz w:val="24"/>
          <w:szCs w:val="24"/>
          <w:rtl/>
        </w:rPr>
        <w:t xml:space="preserve"> وسدادا</w:t>
      </w:r>
      <w:r>
        <w:rPr>
          <w:rFonts w:ascii="Mosawi" w:hAnsi="Mosawi" w:hint="cs"/>
          <w:sz w:val="24"/>
          <w:szCs w:val="24"/>
          <w:rtl/>
        </w:rPr>
        <w:t>ً</w:t>
      </w:r>
      <w:r w:rsidRPr="00584663">
        <w:rPr>
          <w:rFonts w:ascii="Mosawi" w:hAnsi="Mosawi"/>
          <w:sz w:val="24"/>
          <w:szCs w:val="24"/>
          <w:rtl/>
        </w:rPr>
        <w:t>، فالصقوا بالأرض</w:t>
      </w:r>
      <w:r>
        <w:rPr>
          <w:rFonts w:ascii="Mosawi" w:hAnsi="Mosawi" w:hint="cs"/>
          <w:sz w:val="24"/>
          <w:szCs w:val="24"/>
          <w:rtl/>
        </w:rPr>
        <w:t>،</w:t>
      </w:r>
      <w:r w:rsidRPr="00584663">
        <w:rPr>
          <w:rFonts w:ascii="Mosawi" w:hAnsi="Mosawi"/>
          <w:sz w:val="24"/>
          <w:szCs w:val="24"/>
          <w:rtl/>
        </w:rPr>
        <w:t xml:space="preserve"> وأخفوا الشخص</w:t>
      </w:r>
      <w:r>
        <w:rPr>
          <w:rFonts w:ascii="Mosawi" w:hAnsi="Mosawi" w:hint="cs"/>
          <w:sz w:val="24"/>
          <w:szCs w:val="24"/>
          <w:rtl/>
        </w:rPr>
        <w:t>،</w:t>
      </w:r>
      <w:r w:rsidRPr="00584663">
        <w:rPr>
          <w:rFonts w:ascii="Mosawi" w:hAnsi="Mosawi"/>
          <w:sz w:val="24"/>
          <w:szCs w:val="24"/>
          <w:rtl/>
        </w:rPr>
        <w:t xml:space="preserve"> واكتموا الهوى</w:t>
      </w:r>
      <w:r>
        <w:rPr>
          <w:rFonts w:ascii="Mosawi" w:hAnsi="Mosawi" w:hint="cs"/>
          <w:sz w:val="24"/>
          <w:szCs w:val="24"/>
          <w:rtl/>
        </w:rPr>
        <w:t xml:space="preserve">، </w:t>
      </w:r>
      <w:r w:rsidRPr="00584663">
        <w:rPr>
          <w:rFonts w:ascii="Mosawi" w:hAnsi="Mosawi"/>
          <w:sz w:val="24"/>
          <w:szCs w:val="24"/>
          <w:rtl/>
        </w:rPr>
        <w:t xml:space="preserve">واحترسوا من الأظَّاء </w:t>
      </w:r>
      <w:r>
        <w:rPr>
          <w:rFonts w:ascii="Mosawi" w:hAnsi="Mosawi" w:hint="cs"/>
          <w:sz w:val="24"/>
          <w:szCs w:val="24"/>
          <w:rtl/>
        </w:rPr>
        <w:t xml:space="preserve">(الأظنّاء) </w:t>
      </w:r>
      <w:r w:rsidRPr="00584663">
        <w:rPr>
          <w:rFonts w:ascii="Mosawi" w:hAnsi="Mosawi"/>
          <w:sz w:val="24"/>
          <w:szCs w:val="24"/>
          <w:rtl/>
        </w:rPr>
        <w:t>ما دام ابن هند حيّا</w:t>
      </w:r>
      <w:r>
        <w:rPr>
          <w:rFonts w:ascii="Mosawi" w:hAnsi="Mosawi" w:hint="cs"/>
          <w:sz w:val="24"/>
          <w:szCs w:val="24"/>
          <w:rtl/>
        </w:rPr>
        <w:t>ً</w:t>
      </w:r>
      <w:r w:rsidRPr="00584663">
        <w:rPr>
          <w:rFonts w:ascii="Mosawi" w:hAnsi="Mosawi"/>
          <w:sz w:val="24"/>
          <w:szCs w:val="24"/>
          <w:rtl/>
        </w:rPr>
        <w:t>، فإن يحدث به حدث</w:t>
      </w:r>
      <w:r>
        <w:rPr>
          <w:rFonts w:ascii="Mosawi" w:hAnsi="Mosawi" w:hint="cs"/>
          <w:sz w:val="24"/>
          <w:szCs w:val="24"/>
          <w:rtl/>
        </w:rPr>
        <w:t>ٌ</w:t>
      </w:r>
      <w:r w:rsidRPr="00584663">
        <w:rPr>
          <w:rFonts w:ascii="Mosawi" w:hAnsi="Mosawi"/>
          <w:sz w:val="24"/>
          <w:szCs w:val="24"/>
          <w:rtl/>
        </w:rPr>
        <w:t xml:space="preserve"> وأنا حيّ</w:t>
      </w:r>
      <w:r>
        <w:rPr>
          <w:rFonts w:ascii="Mosawi" w:hAnsi="Mosawi" w:hint="cs"/>
          <w:sz w:val="24"/>
          <w:szCs w:val="24"/>
          <w:rtl/>
        </w:rPr>
        <w:t>،</w:t>
      </w:r>
      <w:r w:rsidRPr="00584663">
        <w:rPr>
          <w:rFonts w:ascii="Mosawi" w:hAnsi="Mosawi"/>
          <w:sz w:val="24"/>
          <w:szCs w:val="24"/>
          <w:rtl/>
        </w:rPr>
        <w:t xml:space="preserve"> يأتكم رأيي إن شاء الله</w:t>
      </w:r>
      <w:r>
        <w:rPr>
          <w:rFonts w:ascii="Mosawi" w:hAnsi="Mosawi" w:hint="cs"/>
          <w:sz w:val="24"/>
          <w:szCs w:val="24"/>
          <w:rtl/>
        </w:rPr>
        <w:t>».</w:t>
      </w:r>
    </w:p>
  </w:footnote>
  <w:footnote w:id="291">
    <w:p w14:paraId="68E4D880" w14:textId="77777777" w:rsidR="005D5367" w:rsidRPr="000B676B" w:rsidRDefault="005D5367" w:rsidP="00C27F8A">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Pr>
          <w:rFonts w:ascii="Mosawi" w:hAnsi="Mosawi"/>
          <w:sz w:val="24"/>
          <w:szCs w:val="24"/>
          <w:rtl/>
        </w:rPr>
        <w:t xml:space="preserve">) </w:t>
      </w:r>
      <w:r>
        <w:rPr>
          <w:rFonts w:ascii="Mosawi" w:hAnsi="Mosawi" w:hint="cs"/>
          <w:sz w:val="24"/>
          <w:szCs w:val="24"/>
          <w:rtl/>
        </w:rPr>
        <w:t>هذا الموضوع إشكاليٌّ بامتياز في الوسط السنّي، من حيث التوفيق بين حركات الخروج في القرن الأوّل الهجري، وبخاصّة خروج الإمام الحسين، والنظريّة الفقهية السنيّة السائدة، ولا سيّما في أوساط السلفيّة التقليديّة وأهل الحديث من حرمة الخروج على الحاكم ووجوب إطاعته مطلقاً إلا إذا صدر منه كفرٌ بَواح.</w:t>
      </w:r>
    </w:p>
  </w:footnote>
  <w:footnote w:id="292">
    <w:p w14:paraId="2E5285A9" w14:textId="77777777" w:rsidR="005D5367" w:rsidRPr="000B676B" w:rsidRDefault="005D5367" w:rsidP="00B2778F">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Pr>
          <w:rFonts w:ascii="Mosawi" w:hAnsi="Mosawi"/>
          <w:sz w:val="24"/>
          <w:szCs w:val="24"/>
          <w:rtl/>
        </w:rPr>
        <w:t xml:space="preserve">) </w:t>
      </w:r>
      <w:r>
        <w:rPr>
          <w:rFonts w:ascii="Mosawi" w:hAnsi="Mosawi" w:hint="cs"/>
          <w:sz w:val="24"/>
          <w:szCs w:val="24"/>
          <w:rtl/>
        </w:rPr>
        <w:t>الوافي 22: 505، الهامش.</w:t>
      </w:r>
    </w:p>
  </w:footnote>
  <w:footnote w:id="293">
    <w:p w14:paraId="2EDE7219" w14:textId="77777777" w:rsidR="005D5367" w:rsidRPr="000B676B" w:rsidRDefault="005D5367" w:rsidP="0081009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انظر له: فقه العنف المسلّح في الإسلام: 127، 129، 138 ـ 139.</w:t>
      </w:r>
    </w:p>
  </w:footnote>
  <w:footnote w:id="294">
    <w:p w14:paraId="26CBEA6C" w14:textId="77777777" w:rsidR="005D5367" w:rsidRPr="000B676B" w:rsidRDefault="005D5367" w:rsidP="008A706F">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xml:space="preserve">) الكفاح المسلّح: 85 ـ 88؛ وانظر: </w:t>
      </w:r>
      <w:r>
        <w:rPr>
          <w:rFonts w:ascii="Mosawi" w:hAnsi="Mosawi"/>
          <w:sz w:val="24"/>
          <w:szCs w:val="24"/>
          <w:rtl/>
        </w:rPr>
        <w:t>شذرات من فلسفة ت</w:t>
      </w:r>
      <w:r>
        <w:rPr>
          <w:rFonts w:ascii="Mosawi" w:hAnsi="Mosawi" w:hint="cs"/>
          <w:sz w:val="24"/>
          <w:szCs w:val="24"/>
          <w:rtl/>
        </w:rPr>
        <w:t>أ</w:t>
      </w:r>
      <w:r w:rsidRPr="000B676B">
        <w:rPr>
          <w:rFonts w:ascii="Mosawi" w:hAnsi="Mosawi"/>
          <w:sz w:val="24"/>
          <w:szCs w:val="24"/>
          <w:rtl/>
        </w:rPr>
        <w:t>ريخ الحسين: 166.</w:t>
      </w:r>
    </w:p>
  </w:footnote>
  <w:footnote w:id="295">
    <w:p w14:paraId="77ECF3B1" w14:textId="77777777" w:rsidR="005D5367" w:rsidRPr="000B676B" w:rsidRDefault="005D5367" w:rsidP="00DD6401">
      <w:pPr>
        <w:spacing w:line="192" w:lineRule="auto"/>
        <w:ind w:left="170" w:hanging="170"/>
        <w:rPr>
          <w:rFonts w:ascii="Mosawi" w:hAnsi="Mosawi"/>
          <w:sz w:val="24"/>
          <w:szCs w:val="24"/>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w:t>
      </w:r>
      <w:r w:rsidRPr="000B676B">
        <w:rPr>
          <w:rFonts w:ascii="Mosawi" w:hAnsi="Mosawi"/>
          <w:sz w:val="24"/>
          <w:szCs w:val="24"/>
        </w:rPr>
        <w:t xml:space="preserve"> </w:t>
      </w:r>
      <w:r w:rsidRPr="000B676B">
        <w:rPr>
          <w:rFonts w:ascii="Mosawi" w:hAnsi="Mosawi"/>
          <w:sz w:val="24"/>
          <w:szCs w:val="24"/>
          <w:rtl/>
        </w:rPr>
        <w:t>فقه العنف المسلّح في الإسلام: 126 ـ 127، 130 ـ 131، 139.</w:t>
      </w:r>
    </w:p>
  </w:footnote>
  <w:footnote w:id="296">
    <w:p w14:paraId="584DD1EC" w14:textId="77777777" w:rsidR="005D5367" w:rsidRPr="000B676B" w:rsidRDefault="005D5367" w:rsidP="0081009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شذرات من فلسفة تاريخ الحسين: 166 ـ 167.</w:t>
      </w:r>
    </w:p>
  </w:footnote>
  <w:footnote w:id="297">
    <w:p w14:paraId="3C7B380E" w14:textId="77777777" w:rsidR="005D5367" w:rsidRPr="000B676B" w:rsidRDefault="005D5367" w:rsidP="00810091">
      <w:pPr>
        <w:spacing w:line="192" w:lineRule="auto"/>
        <w:ind w:left="170" w:hanging="170"/>
        <w:rPr>
          <w:rFonts w:ascii="Mosawi" w:hAnsi="Mosawi"/>
          <w:sz w:val="24"/>
          <w:szCs w:val="24"/>
          <w:rtl/>
        </w:rPr>
      </w:pPr>
      <w:r w:rsidRPr="000B676B">
        <w:rPr>
          <w:rFonts w:ascii="Mosawi" w:hAnsi="Mosawi"/>
          <w:sz w:val="24"/>
          <w:szCs w:val="24"/>
          <w:rtl/>
        </w:rPr>
        <w:t>(</w:t>
      </w:r>
      <w:r w:rsidRPr="000B676B">
        <w:rPr>
          <w:rFonts w:ascii="Mosawi" w:hAnsi="Mosawi"/>
          <w:sz w:val="24"/>
          <w:szCs w:val="24"/>
        </w:rPr>
        <w:footnoteRef/>
      </w:r>
      <w:r w:rsidRPr="000B676B">
        <w:rPr>
          <w:rFonts w:ascii="Mosawi" w:hAnsi="Mosawi"/>
          <w:sz w:val="24"/>
          <w:szCs w:val="24"/>
          <w:rtl/>
        </w:rPr>
        <w:t>) تأمّلات في حركة ذكرى عاشوراء: 18 ـ 19.</w:t>
      </w:r>
    </w:p>
  </w:footnote>
  <w:footnote w:id="298">
    <w:p w14:paraId="5E224B73" w14:textId="77777777" w:rsidR="005D5367" w:rsidRPr="00FE7BCF" w:rsidRDefault="005D5367" w:rsidP="00A84A89">
      <w:pPr>
        <w:spacing w:line="192" w:lineRule="auto"/>
        <w:ind w:left="170" w:hanging="170"/>
        <w:rPr>
          <w:rFonts w:ascii="Mosawi" w:hAnsi="Mosawi"/>
          <w:sz w:val="24"/>
          <w:szCs w:val="24"/>
          <w:rtl/>
        </w:rPr>
      </w:pPr>
      <w:r w:rsidRPr="00FE7BCF">
        <w:rPr>
          <w:rFonts w:ascii="Mosawi" w:hAnsi="Mosawi"/>
          <w:sz w:val="24"/>
          <w:szCs w:val="24"/>
          <w:rtl/>
        </w:rPr>
        <w:t>(</w:t>
      </w:r>
      <w:r w:rsidRPr="00FE7BCF">
        <w:rPr>
          <w:rFonts w:ascii="Mosawi" w:hAnsi="Mosawi"/>
          <w:sz w:val="24"/>
          <w:szCs w:val="24"/>
        </w:rPr>
        <w:footnoteRef/>
      </w:r>
      <w:r w:rsidRPr="00FE7BCF">
        <w:rPr>
          <w:rFonts w:ascii="Mosawi" w:hAnsi="Mosawi"/>
          <w:sz w:val="24"/>
          <w:szCs w:val="24"/>
          <w:rtl/>
        </w:rPr>
        <w:t>)</w:t>
      </w:r>
      <w:r>
        <w:rPr>
          <w:rFonts w:ascii="Mosawi" w:hAnsi="Mosawi" w:hint="cs"/>
          <w:sz w:val="24"/>
          <w:szCs w:val="24"/>
          <w:rtl/>
        </w:rPr>
        <w:t xml:space="preserve"> يمكن ملاحظة بعض جوانب هذه الرؤية عند عماد الدين باقي، </w:t>
      </w:r>
      <w:r w:rsidRPr="00FE7BCF">
        <w:rPr>
          <w:rFonts w:ascii="Mosawi" w:hAnsi="Mosawi"/>
          <w:sz w:val="24"/>
          <w:szCs w:val="24"/>
          <w:rtl/>
        </w:rPr>
        <w:t>في مقاله: صلح الإمام الحسين، بين المنطق الحسني والعمل الحسيني، والمنشور مترجماً إلى العربيّة في مجلّة: نصوص معاصرة، العدد 28</w:t>
      </w:r>
      <w:r>
        <w:rPr>
          <w:rFonts w:ascii="Mosawi" w:hAnsi="Mosawi" w:hint="cs"/>
          <w:sz w:val="24"/>
          <w:szCs w:val="24"/>
          <w:rtl/>
        </w:rPr>
        <w:t>.</w:t>
      </w:r>
    </w:p>
  </w:footnote>
  <w:footnote w:id="299">
    <w:p w14:paraId="64B556DD" w14:textId="77777777" w:rsidR="005D5367" w:rsidRPr="00FE7BCF" w:rsidRDefault="005D5367" w:rsidP="00A84A89">
      <w:pPr>
        <w:spacing w:line="192" w:lineRule="auto"/>
        <w:ind w:left="170" w:hanging="170"/>
        <w:rPr>
          <w:rFonts w:ascii="Mosawi" w:hAnsi="Mosawi"/>
          <w:sz w:val="24"/>
          <w:szCs w:val="24"/>
          <w:rtl/>
        </w:rPr>
      </w:pPr>
      <w:r w:rsidRPr="00FE7BCF">
        <w:rPr>
          <w:rFonts w:ascii="Mosawi" w:hAnsi="Mosawi"/>
          <w:sz w:val="24"/>
          <w:szCs w:val="24"/>
          <w:rtl/>
        </w:rPr>
        <w:t>(</w:t>
      </w:r>
      <w:r w:rsidRPr="00FE7BCF">
        <w:rPr>
          <w:rFonts w:ascii="Mosawi" w:hAnsi="Mosawi"/>
          <w:sz w:val="24"/>
          <w:szCs w:val="24"/>
        </w:rPr>
        <w:footnoteRef/>
      </w:r>
      <w:r w:rsidRPr="00FE7BCF">
        <w:rPr>
          <w:rFonts w:ascii="Mosawi" w:hAnsi="Mosawi"/>
          <w:sz w:val="24"/>
          <w:szCs w:val="24"/>
          <w:rtl/>
        </w:rPr>
        <w:t>)</w:t>
      </w:r>
      <w:r>
        <w:rPr>
          <w:rFonts w:ascii="Mosawi" w:hAnsi="Mosawi" w:hint="cs"/>
          <w:sz w:val="24"/>
          <w:szCs w:val="24"/>
          <w:rtl/>
        </w:rPr>
        <w:t xml:space="preserve"> </w:t>
      </w:r>
      <w:r w:rsidRPr="00DA6DF7">
        <w:rPr>
          <w:rFonts w:ascii="Mosawi" w:hAnsi="Mosawi" w:hint="cs"/>
          <w:sz w:val="24"/>
          <w:szCs w:val="24"/>
          <w:rtl/>
        </w:rPr>
        <w:t>تنزيه الأنبياء: 229</w:t>
      </w:r>
      <w:r>
        <w:rPr>
          <w:rFonts w:ascii="Mosawi" w:hAnsi="Mosawi" w:hint="cs"/>
          <w:sz w:val="24"/>
          <w:szCs w:val="24"/>
          <w:rtl/>
        </w:rPr>
        <w:t>.</w:t>
      </w:r>
    </w:p>
  </w:footnote>
  <w:footnote w:id="300">
    <w:p w14:paraId="1BD23F31" w14:textId="77777777" w:rsidR="005D5367" w:rsidRPr="000B676B" w:rsidRDefault="005D5367" w:rsidP="00B67775">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فقه العنف المسلّح في الإسلام: 123 ـ 124.</w:t>
      </w:r>
    </w:p>
  </w:footnote>
  <w:footnote w:id="301">
    <w:p w14:paraId="6BCF0BA5" w14:textId="77777777" w:rsidR="005D5367" w:rsidRPr="000B676B" w:rsidRDefault="005D5367" w:rsidP="00B67775">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المصدر نفسه: 147 ـ 148، 155 ـ 156.</w:t>
      </w:r>
    </w:p>
  </w:footnote>
  <w:footnote w:id="302">
    <w:p w14:paraId="00FEB8C6" w14:textId="77777777" w:rsidR="005D5367" w:rsidRPr="000B676B" w:rsidRDefault="005D5367" w:rsidP="00B67775">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المصدر نفسه: 165.</w:t>
      </w:r>
    </w:p>
  </w:footnote>
  <w:footnote w:id="303">
    <w:p w14:paraId="470332E9" w14:textId="77777777" w:rsidR="005D5367" w:rsidRPr="000B676B" w:rsidRDefault="005D5367" w:rsidP="00AF2863">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الكافي 5: 21؛ وتهذيب الأحكام 6: 121؛ وتفصيل وسائل الشيعة، كتاب الجهاد، أبواب جهاد العدو، باب 6، ح2.</w:t>
      </w:r>
    </w:p>
  </w:footnote>
  <w:footnote w:id="304">
    <w:p w14:paraId="60C4EA36" w14:textId="77777777" w:rsidR="005D5367" w:rsidRPr="000B676B" w:rsidRDefault="005D5367" w:rsidP="005B0751">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فقه العنف المسلّح: 165.</w:t>
      </w:r>
    </w:p>
  </w:footnote>
  <w:footnote w:id="305">
    <w:p w14:paraId="7D5A0F8D" w14:textId="77777777" w:rsidR="005D5367" w:rsidRPr="000B676B" w:rsidRDefault="005D5367" w:rsidP="00B67775">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المصدر نفسه: 167 ـ 171.</w:t>
      </w:r>
    </w:p>
  </w:footnote>
  <w:footnote w:id="306">
    <w:p w14:paraId="031390AF" w14:textId="77777777" w:rsidR="005D5367" w:rsidRPr="000B676B" w:rsidRDefault="005D5367" w:rsidP="00B67775">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المصدر نفسه: 173 ـ 174، 189 ـ 191.</w:t>
      </w:r>
    </w:p>
  </w:footnote>
  <w:footnote w:id="307">
    <w:p w14:paraId="20A231D0" w14:textId="77777777" w:rsidR="005D5367" w:rsidRPr="000B676B" w:rsidRDefault="005D5367" w:rsidP="00B67775">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المصدر نفسه: 174 ـ 176.</w:t>
      </w:r>
    </w:p>
  </w:footnote>
  <w:footnote w:id="308">
    <w:p w14:paraId="095DC0CD" w14:textId="77777777" w:rsidR="005D5367" w:rsidRPr="000B676B" w:rsidRDefault="005D5367" w:rsidP="00B67775">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المصدر نفسه: 167 ـ 168.</w:t>
      </w:r>
    </w:p>
  </w:footnote>
  <w:footnote w:id="309">
    <w:p w14:paraId="6CBA207B" w14:textId="77777777" w:rsidR="005D5367" w:rsidRPr="000B676B" w:rsidRDefault="005D5367" w:rsidP="00B67775">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راجع: المصدر نفسه: 177 ـ 180.</w:t>
      </w:r>
    </w:p>
  </w:footnote>
  <w:footnote w:id="310">
    <w:p w14:paraId="3B7D0EBD" w14:textId="77777777" w:rsidR="005D5367" w:rsidRPr="000B676B" w:rsidRDefault="005D5367" w:rsidP="001C2DAB">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المجموع 19: 248؛ والمحلّى 11: 309؛ والكافي 5: 52؛ وتهذيب الأحكام 6: 167، وسنن النسائي 7: 117.</w:t>
      </w:r>
    </w:p>
  </w:footnote>
  <w:footnote w:id="311">
    <w:p w14:paraId="47AB2C78" w14:textId="77777777" w:rsidR="005D5367" w:rsidRPr="000B676B" w:rsidRDefault="005D5367" w:rsidP="00517147">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الألباني، أحكام الجنائز: 42؛ ومجمع الزوائد 6: 244.</w:t>
      </w:r>
    </w:p>
  </w:footnote>
  <w:footnote w:id="312">
    <w:p w14:paraId="0CD5E032" w14:textId="77777777" w:rsidR="005D5367" w:rsidRPr="000B676B" w:rsidRDefault="005D5367" w:rsidP="00B67775">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مباني تكملة المنهاج 1: 350؛ والغدير 7: 162؛ وموسوعة أحاديث أهل البيت 7: 143.</w:t>
      </w:r>
    </w:p>
  </w:footnote>
  <w:footnote w:id="313">
    <w:p w14:paraId="0406A786"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فقه العنف المسلّح: 181.</w:t>
      </w:r>
    </w:p>
  </w:footnote>
  <w:footnote w:id="314">
    <w:p w14:paraId="0E556C7D" w14:textId="77777777" w:rsidR="005D5367" w:rsidRPr="000B676B" w:rsidRDefault="005D5367" w:rsidP="00B67775">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المصدر نفسه.</w:t>
      </w:r>
    </w:p>
  </w:footnote>
  <w:footnote w:id="315">
    <w:p w14:paraId="7E2FC2B6" w14:textId="77777777" w:rsidR="005D5367" w:rsidRPr="000B676B" w:rsidRDefault="005D5367" w:rsidP="00B67775">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المصدر نفسه: 185 ـ 186؛ وقد ذكر الشرطين الأوّلين أيضاً: 183 ـ 185.</w:t>
      </w:r>
    </w:p>
  </w:footnote>
  <w:footnote w:id="316">
    <w:p w14:paraId="094DAF04" w14:textId="77777777" w:rsidR="005D5367" w:rsidRPr="000B676B" w:rsidRDefault="005D5367" w:rsidP="00B67775">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المصدر نفسه: 190 ـ 191.</w:t>
      </w:r>
    </w:p>
  </w:footnote>
  <w:footnote w:id="317">
    <w:p w14:paraId="043FD957"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صحيح مسلم 6: 20؛ وسنن البيهقي 8: 157؛ ونيل الأوطار 7: 358.</w:t>
      </w:r>
    </w:p>
  </w:footnote>
  <w:footnote w:id="318">
    <w:p w14:paraId="20818A84" w14:textId="77777777" w:rsidR="005D5367" w:rsidRPr="000B676B" w:rsidRDefault="005D5367" w:rsidP="00B67775">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إمتاع الأسماع 12: 265 ـ 266.</w:t>
      </w:r>
    </w:p>
  </w:footnote>
  <w:footnote w:id="319">
    <w:p w14:paraId="24ABAE5D" w14:textId="77777777" w:rsidR="005D5367" w:rsidRPr="000B676B" w:rsidRDefault="005D5367" w:rsidP="00F452EB">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صحيح البخاري 8: 93؛ وصحيح مسلم 6: 20؛ وسنن البيهقي 8: 156.</w:t>
      </w:r>
    </w:p>
  </w:footnote>
  <w:footnote w:id="320">
    <w:p w14:paraId="694CF967" w14:textId="77777777" w:rsidR="005D5367" w:rsidRPr="000B676B" w:rsidRDefault="005D5367" w:rsidP="00F13ED6">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صحيح البخاري 8: 87 ـ 88؛ وصحيح مسلم 6: 17؛ ونيل الأوطار 7: 358؛ وسنن البيهقي 8: 145.</w:t>
      </w:r>
    </w:p>
  </w:footnote>
  <w:footnote w:id="321">
    <w:p w14:paraId="4908D988"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عمدة القاري 24: 178 ـ 179.</w:t>
      </w:r>
    </w:p>
  </w:footnote>
  <w:footnote w:id="322">
    <w:p w14:paraId="738E0C92" w14:textId="77777777" w:rsidR="005D5367" w:rsidRPr="000B676B" w:rsidRDefault="005D5367" w:rsidP="006A7E6E">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xml:space="preserve">) انظر: </w:t>
      </w:r>
      <w:r>
        <w:rPr>
          <w:rFonts w:ascii="Mosawi" w:eastAsiaTheme="minorHAnsi" w:hAnsi="Mosawi" w:hint="cs"/>
          <w:sz w:val="24"/>
          <w:szCs w:val="24"/>
          <w:rtl/>
        </w:rPr>
        <w:t>فتح الباري 13: 6؛ ونيل الأوطار 7: 361.</w:t>
      </w:r>
    </w:p>
  </w:footnote>
  <w:footnote w:id="323">
    <w:p w14:paraId="2B8538E6" w14:textId="77777777" w:rsidR="005D5367" w:rsidRPr="000B676B" w:rsidRDefault="005D5367" w:rsidP="00B67775">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إرواء الغليل 8: 110.</w:t>
      </w:r>
    </w:p>
  </w:footnote>
  <w:footnote w:id="324">
    <w:p w14:paraId="30E48CC6"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صحيح مسلم 6: 19 ـ 20؛ وسنن البيهقي 8: 158.</w:t>
      </w:r>
    </w:p>
  </w:footnote>
  <w:footnote w:id="325">
    <w:p w14:paraId="4AF94AC4" w14:textId="77777777" w:rsidR="005D5367" w:rsidRPr="000B676B" w:rsidRDefault="005D5367" w:rsidP="00517147">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الريشهري، القيادة في الإسلام: 140 ـ 141.</w:t>
      </w:r>
    </w:p>
  </w:footnote>
  <w:footnote w:id="326">
    <w:p w14:paraId="58B61BF1" w14:textId="77777777" w:rsidR="005D5367" w:rsidRPr="000B676B" w:rsidRDefault="005D5367" w:rsidP="00E556E4">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صحيح البخاري 8: 87؛ وصحيح مسلم 6: 21 ـ 22؛ ونيل الأوطار 7: 356.</w:t>
      </w:r>
    </w:p>
  </w:footnote>
  <w:footnote w:id="327">
    <w:p w14:paraId="5D5AC51D" w14:textId="77777777" w:rsidR="005D5367" w:rsidRPr="000B676B" w:rsidRDefault="005D5367" w:rsidP="00E556E4">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رياض الصالحين: 339.</w:t>
      </w:r>
    </w:p>
  </w:footnote>
  <w:footnote w:id="328">
    <w:p w14:paraId="7E48DE32" w14:textId="77777777" w:rsidR="005D5367" w:rsidRPr="000B676B" w:rsidRDefault="005D5367" w:rsidP="00B67775">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صحيح مسلم 6: 24 ـ 25؛ وانظر: المعجم الكبير 18: 62 ـ 63؛ وكنز العمال 6: 61.</w:t>
      </w:r>
    </w:p>
  </w:footnote>
  <w:footnote w:id="329">
    <w:p w14:paraId="4C811D3F" w14:textId="77777777" w:rsidR="005D5367" w:rsidRPr="000B676B" w:rsidRDefault="005D5367" w:rsidP="00B67775">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حول الرجل: التاريخ الكبير 7: 270 ـ 271؛ والجرح والتعديل 8: 192؛ وابن حبان، الثقات 5: 396؛ والكاشف في معرفة من له رواية في كتب الستّة 1: 396؛ و2: 260.</w:t>
      </w:r>
    </w:p>
  </w:footnote>
  <w:footnote w:id="330">
    <w:p w14:paraId="104BE81C"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صحيح مسلم 6: 23؛ والجامع الصغير 2: 48؛ وكنز العمال 3: 67، و6: 58.</w:t>
      </w:r>
    </w:p>
  </w:footnote>
  <w:footnote w:id="331">
    <w:p w14:paraId="4B143511" w14:textId="77777777" w:rsidR="005D5367" w:rsidRPr="000B676B" w:rsidRDefault="005D5367" w:rsidP="00A42AC0">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شرح صحيح مسلم 12: 243.</w:t>
      </w:r>
    </w:p>
  </w:footnote>
  <w:footnote w:id="332">
    <w:p w14:paraId="61449E2C" w14:textId="77777777" w:rsidR="005D5367" w:rsidRPr="000B676B" w:rsidRDefault="005D5367" w:rsidP="006E3C4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صحيح مسلم 6: 23؛ وسنن أبي داود 2: 427.</w:t>
      </w:r>
    </w:p>
  </w:footnote>
  <w:footnote w:id="333">
    <w:p w14:paraId="2074E563" w14:textId="77777777" w:rsidR="005D5367" w:rsidRPr="000B676B" w:rsidRDefault="005D5367" w:rsidP="00517147">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راجع: الطبقات الكبرى 7: 103؛ وخليفة</w:t>
      </w:r>
      <w:r>
        <w:rPr>
          <w:rFonts w:ascii="Mosawi" w:eastAsiaTheme="minorHAnsi" w:hAnsi="Mosawi" w:hint="cs"/>
          <w:sz w:val="24"/>
          <w:szCs w:val="24"/>
          <w:rtl/>
        </w:rPr>
        <w:t xml:space="preserve"> بن خياط، الطبقات</w:t>
      </w:r>
      <w:r w:rsidRPr="000B676B">
        <w:rPr>
          <w:rFonts w:ascii="Mosawi" w:eastAsiaTheme="minorHAnsi" w:hAnsi="Mosawi"/>
          <w:sz w:val="24"/>
          <w:szCs w:val="24"/>
          <w:rtl/>
        </w:rPr>
        <w:t>: 339؛ والتاريخ الكبير 4: 342؛ والجرح والتعديل 4: 469؛ والإصابة 3: 404.</w:t>
      </w:r>
    </w:p>
  </w:footnote>
  <w:footnote w:id="334">
    <w:p w14:paraId="3F90D3EB"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الثقات 4: 390.</w:t>
      </w:r>
    </w:p>
  </w:footnote>
  <w:footnote w:id="335">
    <w:p w14:paraId="321EA6C1" w14:textId="77777777" w:rsidR="005D5367" w:rsidRPr="000B676B" w:rsidRDefault="005D5367" w:rsidP="00A42AC0">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الكاشف: 507؛ و..</w:t>
      </w:r>
    </w:p>
  </w:footnote>
  <w:footnote w:id="336">
    <w:p w14:paraId="5CEFFF6C" w14:textId="77777777" w:rsidR="005D5367" w:rsidRPr="000B676B" w:rsidRDefault="005D5367" w:rsidP="00C6647B">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والتي وقعت في المدينة عام 63هـ.</w:t>
      </w:r>
    </w:p>
  </w:footnote>
  <w:footnote w:id="337">
    <w:p w14:paraId="7E26ACBF" w14:textId="77777777" w:rsidR="005D5367" w:rsidRPr="000B676B" w:rsidRDefault="005D5367" w:rsidP="00C6647B">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هو عبد الله بن مطيع بن الأسود القرشي العدوي (73هـ)، وقد كان أحد قادة الثورة على يزيد في المدينة والتي انتهت لمصلحة يزيد في وقعة الحرّة، وهاجر بعدها ابنُ مطيع إلى مكّة ليستقرّ فيها، ثمّ قتل بعد خروجه مجدّداً مع عبد الله بن الزبير على يد الحجّاج وجيشه.</w:t>
      </w:r>
    </w:p>
  </w:footnote>
  <w:footnote w:id="338">
    <w:p w14:paraId="2CBE0569"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صحيح مسلم 6: 32؛ وسنن البيهقي 8: 156.</w:t>
      </w:r>
    </w:p>
  </w:footnote>
  <w:footnote w:id="339">
    <w:p w14:paraId="10E267E3" w14:textId="77777777" w:rsidR="005D5367" w:rsidRPr="000B676B" w:rsidRDefault="005D5367" w:rsidP="000779E5">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صحيح مسلم 6: 13 ـ 14؛ ومسند أحمد 2: 342؛ 386، 416، 467؛ ومسند الطيالسي: 336؛ ومنتخب مسند عبد بن حميد: 426؛ وكتاب السنّة لابن أبي عاصم: 492 ـ 493؛ وصحيح ابن خزيمة 3: 46؛ وصحيح البخاري 4: 8؛ وصحيح ابن حبّان 10: 420؛ و..</w:t>
      </w:r>
    </w:p>
  </w:footnote>
  <w:footnote w:id="340">
    <w:p w14:paraId="58B821AA" w14:textId="77777777" w:rsidR="005D5367" w:rsidRPr="000B676B" w:rsidRDefault="005D5367" w:rsidP="00E94340">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أي مقطّع الأطراف.</w:t>
      </w:r>
    </w:p>
  </w:footnote>
  <w:footnote w:id="341">
    <w:p w14:paraId="2AF06B6C" w14:textId="77777777" w:rsidR="005D5367" w:rsidRPr="000B676B" w:rsidRDefault="005D5367" w:rsidP="000779E5">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ـ على سبيل المثال ـ: صحيح مسلم 6: 14 ـ 16.</w:t>
      </w:r>
    </w:p>
  </w:footnote>
  <w:footnote w:id="342">
    <w:p w14:paraId="6455E0F4" w14:textId="77777777" w:rsidR="005D5367" w:rsidRPr="000B676B" w:rsidRDefault="005D5367" w:rsidP="00B67775">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المصدر نفسه 6: 17.</w:t>
      </w:r>
    </w:p>
  </w:footnote>
  <w:footnote w:id="343">
    <w:p w14:paraId="4DA3DEDC" w14:textId="77777777" w:rsidR="005D5367" w:rsidRPr="000B676B" w:rsidRDefault="005D5367" w:rsidP="00B67775">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المصدر نفسه 6: 18.</w:t>
      </w:r>
    </w:p>
  </w:footnote>
  <w:footnote w:id="344">
    <w:p w14:paraId="22A97F2E"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الدرجات الرفيعة: 271.</w:t>
      </w:r>
    </w:p>
  </w:footnote>
  <w:footnote w:id="345">
    <w:p w14:paraId="5B80D8B5" w14:textId="77777777" w:rsidR="005D5367" w:rsidRPr="000B676B" w:rsidRDefault="005D5367" w:rsidP="007E3F08">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اختيار معرفة الرجال 1: 153 ـ 157.</w:t>
      </w:r>
    </w:p>
  </w:footnote>
  <w:footnote w:id="346">
    <w:p w14:paraId="79067F27" w14:textId="77777777" w:rsidR="005D5367" w:rsidRPr="000B676B" w:rsidRDefault="005D5367" w:rsidP="00B67775">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حوله: معجم رجال الحديث 4: 124، رقم: 1483؛ ومستدركات علم رجال الحديث 1: 682، ولم يذكره أحدٌ من علماء رجال أهل السنّة.</w:t>
      </w:r>
    </w:p>
  </w:footnote>
  <w:footnote w:id="347">
    <w:p w14:paraId="0948EE7C"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صحيح مسلم 6: 21.</w:t>
      </w:r>
    </w:p>
  </w:footnote>
  <w:footnote w:id="348">
    <w:p w14:paraId="4DF1D381" w14:textId="77777777" w:rsidR="005D5367" w:rsidRPr="000B676B" w:rsidRDefault="005D5367" w:rsidP="00B67775">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المصدر نفسه.</w:t>
      </w:r>
    </w:p>
  </w:footnote>
  <w:footnote w:id="349">
    <w:p w14:paraId="514BC824" w14:textId="77777777" w:rsidR="005D5367" w:rsidRPr="000B676B" w:rsidRDefault="005D5367" w:rsidP="008E73D7">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الهنّات جمع هنة، وهي كلمة تطلق على كل شيء يقع، ويُراد منها هنا الفتن والوقائع والحوادث.</w:t>
      </w:r>
    </w:p>
  </w:footnote>
  <w:footnote w:id="350">
    <w:p w14:paraId="6349E378"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صحيح مسلم 6: 22، 23.</w:t>
      </w:r>
    </w:p>
  </w:footnote>
  <w:footnote w:id="351">
    <w:p w14:paraId="24A85CFE" w14:textId="77777777" w:rsidR="005D5367" w:rsidRPr="000B676B" w:rsidRDefault="005D5367" w:rsidP="008E73D7">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شرح صحيح مسلم 12: 242.</w:t>
      </w:r>
    </w:p>
  </w:footnote>
  <w:footnote w:id="352">
    <w:p w14:paraId="6A04536A"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مسند ابن حنبل 5: 387، 406.</w:t>
      </w:r>
    </w:p>
  </w:footnote>
  <w:footnote w:id="353">
    <w:p w14:paraId="4300ECDD" w14:textId="77777777" w:rsidR="005D5367" w:rsidRPr="000B676B" w:rsidRDefault="005D5367" w:rsidP="0009267A">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أمالي الطوسي: 634.</w:t>
      </w:r>
    </w:p>
  </w:footnote>
  <w:footnote w:id="354">
    <w:p w14:paraId="158BAE95" w14:textId="77777777" w:rsidR="005D5367" w:rsidRPr="000B676B" w:rsidRDefault="005D5367" w:rsidP="00B67775">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شعب الإيمان 6: 16؛ ومجمع الزوائد 5: 196؛ وأسد الغابة 4: 233.</w:t>
      </w:r>
    </w:p>
  </w:footnote>
  <w:footnote w:id="355">
    <w:p w14:paraId="2AB54ADE" w14:textId="77777777" w:rsidR="005D5367" w:rsidRPr="000B676B" w:rsidRDefault="005D5367" w:rsidP="006E6B00">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المعجم الكبير 10: 132؛ ومجمع الزوائد 5: 222.</w:t>
      </w:r>
    </w:p>
  </w:footnote>
  <w:footnote w:id="356">
    <w:p w14:paraId="0805FE18" w14:textId="77777777" w:rsidR="005D5367" w:rsidRPr="000B676B" w:rsidRDefault="005D5367" w:rsidP="006E6B00">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مجمع الزوائد 5: 222.</w:t>
      </w:r>
    </w:p>
  </w:footnote>
  <w:footnote w:id="357">
    <w:p w14:paraId="68F19138" w14:textId="77777777" w:rsidR="005D5367" w:rsidRPr="000B676B" w:rsidRDefault="005D5367" w:rsidP="00D47AA2">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مسند أحمد 6: 457؛ ومجمع الزوائد 5: 222 ـ 223.</w:t>
      </w:r>
    </w:p>
  </w:footnote>
  <w:footnote w:id="358">
    <w:p w14:paraId="165CFB85" w14:textId="77777777" w:rsidR="005D5367" w:rsidRPr="000B676B" w:rsidRDefault="005D5367" w:rsidP="0086739A">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شرح صحيح مسلم 12: 229.</w:t>
      </w:r>
    </w:p>
  </w:footnote>
  <w:footnote w:id="359">
    <w:p w14:paraId="0829DF8F" w14:textId="77777777" w:rsidR="005D5367" w:rsidRPr="000B676B" w:rsidRDefault="005D5367" w:rsidP="00B67775">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تاريخ مدينة دمشق 52: 58 ـ 60.</w:t>
      </w:r>
    </w:p>
  </w:footnote>
  <w:footnote w:id="360">
    <w:p w14:paraId="497213F1" w14:textId="77777777" w:rsidR="005D5367" w:rsidRPr="000B676B" w:rsidRDefault="005D5367" w:rsidP="00517147">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شرح صحيح مسلم 12: 229؛ وابن أبي العزّ الح</w:t>
      </w:r>
      <w:r>
        <w:rPr>
          <w:rFonts w:ascii="Mosawi" w:eastAsiaTheme="minorHAnsi" w:hAnsi="Mosawi"/>
          <w:sz w:val="24"/>
          <w:szCs w:val="24"/>
          <w:rtl/>
        </w:rPr>
        <w:t>نفي، شرح العقيدة الطحاويّة: 430</w:t>
      </w:r>
      <w:r>
        <w:rPr>
          <w:rFonts w:ascii="Mosawi" w:eastAsiaTheme="minorHAnsi" w:hAnsi="Mosawi" w:hint="cs"/>
          <w:sz w:val="24"/>
          <w:szCs w:val="24"/>
          <w:rtl/>
        </w:rPr>
        <w:t>؛ والألباني، العقيدة الطحاوية، شرحٌ وتعليق: 77 ـ 79.</w:t>
      </w:r>
    </w:p>
  </w:footnote>
  <w:footnote w:id="361">
    <w:p w14:paraId="3873D7B9" w14:textId="77777777" w:rsidR="005D5367" w:rsidRPr="000B676B" w:rsidRDefault="005D5367" w:rsidP="00C933C2">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مجموعة الفتاوى 4: 444.</w:t>
      </w:r>
    </w:p>
  </w:footnote>
  <w:footnote w:id="362">
    <w:p w14:paraId="4F279F82" w14:textId="77777777" w:rsidR="005D5367" w:rsidRPr="000B676B" w:rsidRDefault="005D5367" w:rsidP="00C1598F">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تهذيب التهذيب 2: 250؛ وراجع أيضاً: ابن حزم في مراتب الإجماع: 199.</w:t>
      </w:r>
    </w:p>
  </w:footnote>
  <w:footnote w:id="363">
    <w:p w14:paraId="3E1F2D1F" w14:textId="77777777" w:rsidR="005D5367" w:rsidRPr="000B676B" w:rsidRDefault="005D5367" w:rsidP="00B67775">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المحلّى 9: 362.</w:t>
      </w:r>
    </w:p>
  </w:footnote>
  <w:footnote w:id="364">
    <w:p w14:paraId="4D12D182" w14:textId="77777777" w:rsidR="005D5367" w:rsidRPr="000B676B" w:rsidRDefault="005D5367" w:rsidP="00F73A48">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الطبقات الكبرى 4: 280 ـ 281، و7: 400.</w:t>
      </w:r>
    </w:p>
  </w:footnote>
  <w:footnote w:id="365">
    <w:p w14:paraId="65FC3A7F" w14:textId="77777777" w:rsidR="005D5367" w:rsidRPr="000B676B" w:rsidRDefault="005D5367" w:rsidP="00900C5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التاريخ الصغير 1: 152.</w:t>
      </w:r>
    </w:p>
  </w:footnote>
  <w:footnote w:id="366">
    <w:p w14:paraId="185D04EA" w14:textId="77777777" w:rsidR="005D5367" w:rsidRPr="000B676B" w:rsidRDefault="005D5367" w:rsidP="00994B6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xml:space="preserve">) </w:t>
      </w:r>
      <w:r>
        <w:rPr>
          <w:rFonts w:ascii="Mosawi" w:eastAsiaTheme="minorHAnsi" w:hAnsi="Mosawi" w:hint="cs"/>
          <w:sz w:val="24"/>
          <w:szCs w:val="24"/>
          <w:rtl/>
        </w:rPr>
        <w:t>راجع في هذه النقطة: حسن حنفي، من العقيدة إلى الثورة 5: 265 ـ 282.</w:t>
      </w:r>
    </w:p>
  </w:footnote>
  <w:footnote w:id="367">
    <w:p w14:paraId="43923244"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دراسات في ولاية الفقيه 1: 205.</w:t>
      </w:r>
    </w:p>
  </w:footnote>
  <w:footnote w:id="368">
    <w:p w14:paraId="5A9F2974" w14:textId="77777777" w:rsidR="005D5367" w:rsidRPr="000B676B" w:rsidRDefault="005D5367" w:rsidP="00F73A48">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الكافي 8: 264؛ وتفصيل وسائل الشيعة 15: 50 ـ 51، كتاب الجهاد، أبواب جهاد العدو، باب13، ح1؛ وانظر: علل الشرائع 2: 577 ـ 578.</w:t>
      </w:r>
    </w:p>
  </w:footnote>
  <w:footnote w:id="369">
    <w:p w14:paraId="27061D4F" w14:textId="77777777" w:rsidR="005D5367" w:rsidRPr="000B676B" w:rsidRDefault="005D5367" w:rsidP="00964FB0">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الجهاد: 174 ـ 175.</w:t>
      </w:r>
    </w:p>
  </w:footnote>
  <w:footnote w:id="370">
    <w:p w14:paraId="309F3532"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مرآة العقول 26: 259.</w:t>
      </w:r>
    </w:p>
  </w:footnote>
  <w:footnote w:id="371">
    <w:p w14:paraId="66C87C4E" w14:textId="77777777" w:rsidR="005D5367" w:rsidRPr="000B676B" w:rsidRDefault="005D5367" w:rsidP="0040489D">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دراسات في ولاية الفقيه 1: 206، 218 ـ 220.</w:t>
      </w:r>
    </w:p>
  </w:footnote>
  <w:footnote w:id="372">
    <w:p w14:paraId="34559E91"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الكفاح المسلّح في الإسلام: 120 ـ 121؛ وولاية الأمر في عصر الغيبة: 72 ـ 74.</w:t>
      </w:r>
    </w:p>
  </w:footnote>
  <w:footnote w:id="373">
    <w:p w14:paraId="53B0FF89"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الكافي 8: 264 ـ 265؛ وتفصيل وسائل الشيعة 15: 51؛ كتاب الجهاد، أبواب جهاد العدو، باب 13، ح3.</w:t>
      </w:r>
    </w:p>
  </w:footnote>
  <w:footnote w:id="374">
    <w:p w14:paraId="484802F6" w14:textId="77777777" w:rsidR="005D5367" w:rsidRPr="000B676B" w:rsidRDefault="005D5367" w:rsidP="0040489D">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شرح أصول الكافي 12: 368.</w:t>
      </w:r>
    </w:p>
  </w:footnote>
  <w:footnote w:id="375">
    <w:p w14:paraId="0DA66931" w14:textId="77777777" w:rsidR="005D5367" w:rsidRPr="000B676B" w:rsidRDefault="005D5367" w:rsidP="005C2B6A">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راجع حوله: اختيار معرفة الرجال 2: 469 ـ 470؛ ورجال الطوسي: 114، 137، 223؛ وخلاصة الأقوال: 156؛ ورجال ابن داود: 101؛ ومستدركات علم رجال الحديث 4: 12 ـ 14؛ ومعجم رجال الحديث 9: 36 ـ 41، رقم: 4992.</w:t>
      </w:r>
    </w:p>
  </w:footnote>
  <w:footnote w:id="376">
    <w:p w14:paraId="441E3DC4" w14:textId="77777777" w:rsidR="005D5367" w:rsidRPr="000B676B" w:rsidRDefault="005D5367" w:rsidP="00D37DD4">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راجع: منطق النقد السندي 1: 480 ـ 564.</w:t>
      </w:r>
    </w:p>
  </w:footnote>
  <w:footnote w:id="377">
    <w:p w14:paraId="57344E2F" w14:textId="77777777" w:rsidR="005D5367" w:rsidRPr="000B676B" w:rsidRDefault="005D5367" w:rsidP="00053E1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دراسات في ولاية الفقيه 1: 229 ـ 232.</w:t>
      </w:r>
    </w:p>
  </w:footnote>
  <w:footnote w:id="378">
    <w:p w14:paraId="0CA853F1" w14:textId="77777777" w:rsidR="005D5367" w:rsidRPr="000B676B" w:rsidRDefault="005D5367" w:rsidP="00D9383C">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الكفاح المسلّح: 122 ـ 123؛ وانظر: عباس الكعبي، مسؤوليّة الأمّة زمن الغيبة، مجلّة فقه أهل البيت، العدد 44: 80، 82.</w:t>
      </w:r>
    </w:p>
  </w:footnote>
  <w:footnote w:id="379">
    <w:p w14:paraId="30A9097C" w14:textId="77777777" w:rsidR="005D5367" w:rsidRPr="000B676B" w:rsidRDefault="005D5367" w:rsidP="00053E1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ولاية الأمر في عصر الغيبة: 74.</w:t>
      </w:r>
    </w:p>
  </w:footnote>
  <w:footnote w:id="380">
    <w:p w14:paraId="5FDDB815" w14:textId="77777777" w:rsidR="005D5367" w:rsidRPr="000B676B" w:rsidRDefault="005D5367" w:rsidP="00053E1F">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الجهاد: 174، 175 ـ 177.</w:t>
      </w:r>
    </w:p>
  </w:footnote>
  <w:footnote w:id="381">
    <w:p w14:paraId="57EBD5E5" w14:textId="77777777" w:rsidR="005D5367" w:rsidRPr="000B676B" w:rsidRDefault="005D5367" w:rsidP="00053E1F">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انظر: حجيّة السنّة في الفكر الإسلامي، قراءة وتقويم: 663 ـ 740.</w:t>
      </w:r>
    </w:p>
  </w:footnote>
  <w:footnote w:id="382">
    <w:p w14:paraId="0D798AFC" w14:textId="77777777" w:rsidR="005D5367" w:rsidRPr="000B676B" w:rsidRDefault="005D5367" w:rsidP="00D001DA">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الكافي 8: 264؛ وتفصيل وسائل الشيعة 15: 51، كتاب الجهاد، أبواب جهاد العدو، باب 13، ح2.</w:t>
      </w:r>
    </w:p>
  </w:footnote>
  <w:footnote w:id="383">
    <w:p w14:paraId="0AD5A264"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النعماني، الغَيبة: 206.</w:t>
      </w:r>
    </w:p>
  </w:footnote>
  <w:footnote w:id="384">
    <w:p w14:paraId="40C39CB0"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دراسات في ولاية الفقيه 1: 222؛ والكفاح المسلّح: 128.</w:t>
      </w:r>
    </w:p>
  </w:footnote>
  <w:footnote w:id="385">
    <w:p w14:paraId="2B5ED4EB"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الكفاح المسلّح: 128.</w:t>
      </w:r>
    </w:p>
  </w:footnote>
  <w:footnote w:id="386">
    <w:p w14:paraId="701B120F" w14:textId="77777777" w:rsidR="005D5367" w:rsidRPr="000B676B" w:rsidRDefault="005D5367" w:rsidP="00ED3C4C">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بعض فقرات هذا النقاش موجود في: دراسات في ولاية الفقيه 1: 122 ـ 123؛ وولاية الأمر في عصر الغيبة: 76؛ والكفاح المسلّح: 128.</w:t>
      </w:r>
    </w:p>
  </w:footnote>
  <w:footnote w:id="387">
    <w:p w14:paraId="5990CFB8"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دراسات في ولاية الفقيه 1: 222.</w:t>
      </w:r>
    </w:p>
  </w:footnote>
  <w:footnote w:id="388">
    <w:p w14:paraId="237DB2DE"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نوري حاتم، الأمر بالمعروف والنهي عن المنكر في فقه أهل البيت: 140 ـ 141.</w:t>
      </w:r>
    </w:p>
  </w:footnote>
  <w:footnote w:id="389">
    <w:p w14:paraId="2843AD24"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الكافي 8: 273؛ وتفصيل وسائل الشيعة 15: 51 ـ 52، كتاب الجهاد، أبواب جهاد العدو، باب 13، ح4.</w:t>
      </w:r>
    </w:p>
  </w:footnote>
  <w:footnote w:id="390">
    <w:p w14:paraId="47560449"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النعماني، الغيبة: 203.</w:t>
      </w:r>
    </w:p>
  </w:footnote>
  <w:footnote w:id="391">
    <w:p w14:paraId="49EF45ED" w14:textId="77777777" w:rsidR="005D5367" w:rsidRPr="000B676B" w:rsidRDefault="005D5367" w:rsidP="00A276B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رجال الطوسي: 151؛ ومعجم رجال الحديث 23: 54، رقم: 14836، وراجع: المصدر نفسه 20: 41، رقم: 12780؛ ومستدركات علم رجال الحديث 8: 450.</w:t>
      </w:r>
    </w:p>
  </w:footnote>
  <w:footnote w:id="392">
    <w:p w14:paraId="7B5A7407"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الكافي 8: 274؛ وتفصيل وسائل الشيعة 15: 52، كتاب الجهاد، أبواب جهاد العدو، باب 13، ح5.</w:t>
      </w:r>
    </w:p>
  </w:footnote>
  <w:footnote w:id="393">
    <w:p w14:paraId="58223610" w14:textId="77777777" w:rsidR="005D5367" w:rsidRPr="000B676B" w:rsidRDefault="005D5367" w:rsidP="005E0ABD">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رجال البرقي: 50؛ والنجاشي، الفهرست: 309؛ واختيار معرفة الرجال 2: 790 ـ 791؛ ورجال الطوسي: 342؛ والفهرست: 199.</w:t>
      </w:r>
    </w:p>
  </w:footnote>
  <w:footnote w:id="394">
    <w:p w14:paraId="3380F807" w14:textId="77777777" w:rsidR="005D5367" w:rsidRPr="000B676B" w:rsidRDefault="005D5367" w:rsidP="002D62B0">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معجم رجال الحديث 14: 337 ـ 338، رقم: 9415، و340، رقم: 9420؛ ومستدركات علم رجال الحديث 6: 214، 219 ـ 220.</w:t>
      </w:r>
    </w:p>
  </w:footnote>
  <w:footnote w:id="395">
    <w:p w14:paraId="75B7F3D0" w14:textId="77777777" w:rsidR="005D5367" w:rsidRPr="000B676B" w:rsidRDefault="005D5367" w:rsidP="005E0ABD">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حوله: النجاشي، الفهرست: 306؛ ورجال ابن داود: 151؛ ومعجم رجال الحديث 14: 307، رقم: 9369 ـ 9371.</w:t>
      </w:r>
    </w:p>
  </w:footnote>
  <w:footnote w:id="396">
    <w:p w14:paraId="2D117983" w14:textId="77777777" w:rsidR="005D5367" w:rsidRPr="000B676B" w:rsidRDefault="005D5367" w:rsidP="00C1598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عبد الحسين الشبستري، الفائق 2: 562.</w:t>
      </w:r>
    </w:p>
  </w:footnote>
  <w:footnote w:id="397">
    <w:p w14:paraId="126F4F50" w14:textId="77777777" w:rsidR="005D5367" w:rsidRPr="000B676B" w:rsidRDefault="005D5367" w:rsidP="00B74BC4">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دراسات في ولاية الفقيه 1: 235 ـ 236.</w:t>
      </w:r>
    </w:p>
  </w:footnote>
  <w:footnote w:id="398">
    <w:p w14:paraId="534276CB"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وكونه شيعيّاً لا يثبت وثاقته، كما هو واضح.</w:t>
      </w:r>
    </w:p>
  </w:footnote>
  <w:footnote w:id="399">
    <w:p w14:paraId="37D43592" w14:textId="77777777" w:rsidR="005D5367" w:rsidRPr="000B676B" w:rsidRDefault="005D5367" w:rsidP="00B74BC4">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الكفاح المسلّح: 131.</w:t>
      </w:r>
    </w:p>
  </w:footnote>
  <w:footnote w:id="400">
    <w:p w14:paraId="6317E420" w14:textId="77777777" w:rsidR="005D5367" w:rsidRPr="000B676B" w:rsidRDefault="005D5367" w:rsidP="00B74BC4">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دراسات في ولاية الفقيه 1: 236.</w:t>
      </w:r>
    </w:p>
  </w:footnote>
  <w:footnote w:id="401">
    <w:p w14:paraId="26978169"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الكافي 8: 295؛ وتفصيل وسائل الشيعة 15: 52، كتاب الجهاد، أبواب جهاد العدو، باب 13، ح6.</w:t>
      </w:r>
    </w:p>
  </w:footnote>
  <w:footnote w:id="402">
    <w:p w14:paraId="1D4C4E32"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النعماني، الغيبة: 115؛ ومستدرك الوسائل 11: 34 ـ 35، كتاب الجهاد، أبواب جهاد العدو، باب 12، ح1، 2، 3.</w:t>
      </w:r>
    </w:p>
  </w:footnote>
  <w:footnote w:id="403">
    <w:p w14:paraId="13609EB9"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شرح أصول الكافي 12: 412.</w:t>
      </w:r>
    </w:p>
  </w:footnote>
  <w:footnote w:id="404">
    <w:p w14:paraId="7CB5C86A" w14:textId="77777777" w:rsidR="005D5367" w:rsidRPr="000B676B" w:rsidRDefault="005D5367" w:rsidP="005E0ABD">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حوله: رجال البرقي: 13، 18؛ واختيار معرفة الرجال 2: 478؛ ورجال الطوسي: 145، 302؛ وخلاصة الأقوال: 411؛ ومعجم رجال الحديث 15: 162 ـ 165، رقم: 9816.</w:t>
      </w:r>
    </w:p>
  </w:footnote>
  <w:footnote w:id="405">
    <w:p w14:paraId="64D686F6" w14:textId="77777777" w:rsidR="005D5367" w:rsidRPr="000B676B" w:rsidRDefault="005D5367" w:rsidP="0039651B">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معجم رجال الحديث 16: 270، رقم: 10547؛ ومستدركات علم رجال الحديث 7: 28.</w:t>
      </w:r>
    </w:p>
  </w:footnote>
  <w:footnote w:id="406">
    <w:p w14:paraId="15048055" w14:textId="77777777" w:rsidR="005D5367" w:rsidRPr="000B676B" w:rsidRDefault="005D5367" w:rsidP="00034CFD">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دراسات في ولاية الفقيه 1: 237؛ وولاية الأمر في عصر الغيبة: 72؛ والكفاح المسلّح: 117، 118؛ والآصفي، الجهاد: 179؛ وولاية الفقيه في حكومة الإسلام 4: 26 ـ 27، 63 ـ 64؛ ونوري حاتم، الأمر بالمعروف والنهي عن المنكر: 157.</w:t>
      </w:r>
    </w:p>
  </w:footnote>
  <w:footnote w:id="407">
    <w:p w14:paraId="68BC051C" w14:textId="77777777" w:rsidR="005D5367" w:rsidRPr="000B676B" w:rsidRDefault="005D5367" w:rsidP="00034CFD">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دراسات في ولاية الفقيه 1: 238؛ والكفاح المسلّح: 117، 118.</w:t>
      </w:r>
    </w:p>
  </w:footnote>
  <w:footnote w:id="408">
    <w:p w14:paraId="101CE0E9"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النعماني، الغَيبة: 262 ـ 265.</w:t>
      </w:r>
    </w:p>
  </w:footnote>
  <w:footnote w:id="409">
    <w:p w14:paraId="3EED070A"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المصدر نفسه: 281 ـ 282.</w:t>
      </w:r>
    </w:p>
  </w:footnote>
  <w:footnote w:id="410">
    <w:p w14:paraId="2633CD8C" w14:textId="77777777" w:rsidR="005D5367" w:rsidRPr="000B676B" w:rsidRDefault="005D5367" w:rsidP="000E47B2">
      <w:pPr>
        <w:pStyle w:val="FootnoteText"/>
        <w:spacing w:line="199" w:lineRule="auto"/>
        <w:ind w:left="173" w:hanging="173"/>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سنن ابن ماجة 2: 1366؛ والكوفي، المصنّف 8: 697؛ والدرّ المنثور 6: 58.</w:t>
      </w:r>
    </w:p>
  </w:footnote>
  <w:footnote w:id="411">
    <w:p w14:paraId="2C612F34" w14:textId="77777777" w:rsidR="005D5367" w:rsidRPr="000B676B" w:rsidRDefault="005D5367" w:rsidP="000E47B2">
      <w:pPr>
        <w:pStyle w:val="FootnoteText"/>
        <w:spacing w:line="199" w:lineRule="auto"/>
        <w:ind w:left="173" w:hanging="173"/>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المعجم الأوسط 1: 94؛ ومجمع الزوائد 7: 318.</w:t>
      </w:r>
    </w:p>
  </w:footnote>
  <w:footnote w:id="412">
    <w:p w14:paraId="275CB256" w14:textId="77777777" w:rsidR="005D5367" w:rsidRPr="000B676B" w:rsidRDefault="005D5367" w:rsidP="000E47B2">
      <w:pPr>
        <w:pStyle w:val="FootnoteText"/>
        <w:spacing w:line="199" w:lineRule="auto"/>
        <w:ind w:left="173" w:hanging="173"/>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بحار الأنوار 57: 216. وزبر الحديد هي القطع العظيمة منه.</w:t>
      </w:r>
    </w:p>
  </w:footnote>
  <w:footnote w:id="413">
    <w:p w14:paraId="2A325BEB" w14:textId="77777777" w:rsidR="005D5367" w:rsidRPr="000B676B" w:rsidRDefault="005D5367" w:rsidP="000E47B2">
      <w:pPr>
        <w:pStyle w:val="FootnoteText"/>
        <w:spacing w:line="199" w:lineRule="auto"/>
        <w:ind w:left="173" w:hanging="173"/>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المصدر نفسه.</w:t>
      </w:r>
    </w:p>
  </w:footnote>
  <w:footnote w:id="414">
    <w:p w14:paraId="68FD1591" w14:textId="77777777" w:rsidR="005D5367" w:rsidRPr="000B676B" w:rsidRDefault="005D5367" w:rsidP="000E47B2">
      <w:pPr>
        <w:pStyle w:val="FootnoteText"/>
        <w:spacing w:line="199" w:lineRule="auto"/>
        <w:ind w:left="173" w:hanging="173"/>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صحيح مسلم 1: 95، و6: 53؛ ومسند أحمد 3: 345؛ و..</w:t>
      </w:r>
    </w:p>
  </w:footnote>
  <w:footnote w:id="415">
    <w:p w14:paraId="50315BA7" w14:textId="77777777" w:rsidR="005D5367" w:rsidRPr="000B676B" w:rsidRDefault="005D5367" w:rsidP="000E47B2">
      <w:pPr>
        <w:pStyle w:val="FootnoteText"/>
        <w:spacing w:line="199" w:lineRule="auto"/>
        <w:ind w:left="173" w:hanging="173"/>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دراسات في ولاية الفقيه 1: 238 ـ 240.</w:t>
      </w:r>
    </w:p>
  </w:footnote>
  <w:footnote w:id="416">
    <w:p w14:paraId="1095F8CD" w14:textId="77777777" w:rsidR="005D5367" w:rsidRPr="000B676B" w:rsidRDefault="005D5367" w:rsidP="000E47B2">
      <w:pPr>
        <w:pStyle w:val="FootnoteText"/>
        <w:spacing w:line="199" w:lineRule="auto"/>
        <w:ind w:left="173" w:hanging="173"/>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حوله: النجاشي، الفهرست: 36 ـ 37؛ واختيار معرفة الرجال 2: 827؛ ورجال ابن الغضائري: 51؛ ومعجم رجال الحديث 6: 16 ـ 22، رقم: 2937.</w:t>
      </w:r>
    </w:p>
  </w:footnote>
  <w:footnote w:id="417">
    <w:p w14:paraId="64768FDC" w14:textId="77777777" w:rsidR="005D5367" w:rsidRPr="000B676B" w:rsidRDefault="005D5367" w:rsidP="000E47B2">
      <w:pPr>
        <w:pStyle w:val="FootnoteText"/>
        <w:spacing w:line="199" w:lineRule="auto"/>
        <w:ind w:left="173" w:hanging="173"/>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اختيار معرفة الرجال 2: 859 ـ 860؛ والتحرير الطاووسي: 49؛ ومعجم رجال الحديث 2: 192 ـ 193، رقم: 731.</w:t>
      </w:r>
    </w:p>
  </w:footnote>
  <w:footnote w:id="418">
    <w:p w14:paraId="3379DE63" w14:textId="77777777" w:rsidR="005D5367" w:rsidRPr="000B676B" w:rsidRDefault="005D5367" w:rsidP="00B04731">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دراسات في ولاية الفقيه 1: 240 ـ 242.</w:t>
      </w:r>
    </w:p>
  </w:footnote>
  <w:footnote w:id="419">
    <w:p w14:paraId="65555248"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المصدر نفسه 1: 242 ـ 243.</w:t>
      </w:r>
    </w:p>
  </w:footnote>
  <w:footnote w:id="420">
    <w:p w14:paraId="15427797"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الكافي 8: 310؛ وتفصيل وسائل الشيعة 15: 52، كتاب الجهاد، أبواب جهاد العدو، باب13، ح7.</w:t>
      </w:r>
    </w:p>
  </w:footnote>
  <w:footnote w:id="421">
    <w:p w14:paraId="31F290C2" w14:textId="77777777" w:rsidR="005D5367" w:rsidRPr="000B676B" w:rsidRDefault="005D5367" w:rsidP="007B63A1">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دراسات في ولاية الفقيه 1: 244؛ والكفاح المسلّح: 127.</w:t>
      </w:r>
    </w:p>
  </w:footnote>
  <w:footnote w:id="422">
    <w:p w14:paraId="41A81F18" w14:textId="77777777" w:rsidR="005D5367" w:rsidRPr="000B676B" w:rsidRDefault="005D5367" w:rsidP="00F73A48">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عباس الكعبي، مسؤولية الأمّة في زمن الغيبة، مجلّة فقه أهل البيت، العدد 44: 81.</w:t>
      </w:r>
    </w:p>
  </w:footnote>
  <w:footnote w:id="423">
    <w:p w14:paraId="69BDB388" w14:textId="77777777" w:rsidR="005D5367" w:rsidRPr="000B676B" w:rsidRDefault="005D5367" w:rsidP="00F20135">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لمزيد من المعلومات عن ابن حنظلة، راجع: رجال الطوسي: 252؛ والرعاية لحال البداية: 131؛ ومنتقى الجمان 1: 19؛ والتفرشي، نقد الرجال 1: 353؛ والتعليقة على منهج الم</w:t>
      </w:r>
      <w:r>
        <w:rPr>
          <w:rFonts w:ascii="Mosawi" w:eastAsiaTheme="minorHAnsi" w:hAnsi="Mosawi" w:hint="cs"/>
          <w:sz w:val="24"/>
          <w:szCs w:val="24"/>
          <w:rtl/>
        </w:rPr>
        <w:t>ق</w:t>
      </w:r>
      <w:r w:rsidRPr="000B676B">
        <w:rPr>
          <w:rFonts w:ascii="Mosawi" w:eastAsiaTheme="minorHAnsi" w:hAnsi="Mosawi"/>
          <w:sz w:val="24"/>
          <w:szCs w:val="24"/>
          <w:rtl/>
        </w:rPr>
        <w:t>ال: 268؛ ومعجم رجال الحديث 14: 31 ـ 35، رقم: 8738.</w:t>
      </w:r>
    </w:p>
  </w:footnote>
  <w:footnote w:id="424">
    <w:p w14:paraId="2D9D641D"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الكافي 1: 50؛ واختيار معرفة الرجال 1: 6.</w:t>
      </w:r>
    </w:p>
  </w:footnote>
  <w:footnote w:id="425">
    <w:p w14:paraId="0A16821B" w14:textId="77777777" w:rsidR="005D5367" w:rsidRPr="000B676B" w:rsidRDefault="005D5367" w:rsidP="003E34A7">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راجع: منطق النقد السندي 2: 299 ـ 309.</w:t>
      </w:r>
    </w:p>
  </w:footnote>
  <w:footnote w:id="426">
    <w:p w14:paraId="1C8A09EC" w14:textId="77777777" w:rsidR="005D5367" w:rsidRPr="000B676B" w:rsidRDefault="005D5367" w:rsidP="003E34A7">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راجع: المصدر نفسه 2: 310 ـ 328.</w:t>
      </w:r>
    </w:p>
  </w:footnote>
  <w:footnote w:id="427">
    <w:p w14:paraId="76AB5A7A" w14:textId="77777777" w:rsidR="005D5367" w:rsidRPr="000B676B" w:rsidRDefault="005D5367" w:rsidP="00301F56">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ظهر من غير روايةٍ ـ كما تقدّم ـ أنّ سدير بن حكيم الصيرفي كان رجلاً متحمّساً للثورة جدّاً، ومن المعروف أنّه سُجن هو وابن نعيم الذي هو عبد السلام بن عبد الرحمن بن نعيم.</w:t>
      </w:r>
    </w:p>
  </w:footnote>
  <w:footnote w:id="428">
    <w:p w14:paraId="26BAFFEB" w14:textId="77777777" w:rsidR="005D5367" w:rsidRPr="000B676B" w:rsidRDefault="005D5367" w:rsidP="00301F56">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المسوّدة هم جماعة أبي مسلم الخراساني (137هـ)، والذين عرفوا بلباس السواد والرايات السوداء.</w:t>
      </w:r>
    </w:p>
  </w:footnote>
  <w:footnote w:id="429">
    <w:p w14:paraId="6EF8AF1D"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الكافي 8: 331؛ وتفصيل وسائل الشيعة 15: 52 ـ 53، كتاب الجهاد، أبواب جهاد العدو، باب 13، ح8.</w:t>
      </w:r>
    </w:p>
  </w:footnote>
  <w:footnote w:id="430">
    <w:p w14:paraId="5562D615" w14:textId="77777777" w:rsidR="005D5367" w:rsidRPr="000B676B" w:rsidRDefault="005D5367" w:rsidP="00F73A48">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اختيار معرفة الرجال 2: 641 ـ 642.</w:t>
      </w:r>
    </w:p>
  </w:footnote>
  <w:footnote w:id="431">
    <w:p w14:paraId="4BBBC8DB" w14:textId="77777777" w:rsidR="005D5367" w:rsidRPr="000B676B" w:rsidRDefault="005D5367" w:rsidP="00783644">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معجم رجال الحديث 12: 72 ـ 73، رقم: 7459 ـ 7460.</w:t>
      </w:r>
    </w:p>
  </w:footnote>
  <w:footnote w:id="432">
    <w:p w14:paraId="7E15629B" w14:textId="77777777" w:rsidR="005D5367" w:rsidRPr="000B676B" w:rsidRDefault="005D5367" w:rsidP="00783644">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انظر: المصدر نفسه 10: 292 ـ 293، رقم: 6272.</w:t>
      </w:r>
    </w:p>
  </w:footnote>
  <w:footnote w:id="433">
    <w:p w14:paraId="1574C77A" w14:textId="77777777" w:rsidR="005D5367" w:rsidRPr="000B676B" w:rsidRDefault="005D5367" w:rsidP="00927E41">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دراسات في ولاية الفقيه 1: 231 ـ 232؛ والآصفي، الجهاد: 178.</w:t>
      </w:r>
    </w:p>
  </w:footnote>
  <w:footnote w:id="434">
    <w:p w14:paraId="3C154DD7" w14:textId="77777777" w:rsidR="005D5367" w:rsidRPr="000B676B" w:rsidRDefault="005D5367" w:rsidP="009A4817">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كتاب من لا يحضره الفقيه 4: 354؛ ومكارم الأخلاق: 434؛ وتفصيل وسائل الشيعة 15: 53، كتاب الجهاد، أبواب جهاد العدو، باب 13، ح9.</w:t>
      </w:r>
    </w:p>
  </w:footnote>
  <w:footnote w:id="435">
    <w:p w14:paraId="185805A1" w14:textId="77777777" w:rsidR="005D5367" w:rsidRPr="000B676B" w:rsidRDefault="005D5367" w:rsidP="00783644">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راجع: معجم رجال الحديث 7: 235 ـ 236، رقم: 3968 ـ 3971؛ و4: 151 ـ 152، رقم: 1567.</w:t>
      </w:r>
    </w:p>
  </w:footnote>
  <w:footnote w:id="436">
    <w:p w14:paraId="03DCA0C6" w14:textId="77777777" w:rsidR="005D5367" w:rsidRPr="000B676B" w:rsidRDefault="005D5367" w:rsidP="009A4817">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عيون أخبار الرضا 2: 225 ـ 226؛ وتفصيل وسائل الشيعة 15: 53 ـ 54، كتاب الجهاد، أبواب جهاد العدو، باب 13، ح11.</w:t>
      </w:r>
    </w:p>
  </w:footnote>
  <w:footnote w:id="437">
    <w:p w14:paraId="421070A5" w14:textId="77777777" w:rsidR="005D5367" w:rsidRPr="000B676B" w:rsidRDefault="005D5367" w:rsidP="001D5543">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مستطرفات السرائر: 569؛ وتفصيل وسائل الشيعة 15: 54، كتاب الجهاد، أبواب جهاد العدو، باب 13، ح12.</w:t>
      </w:r>
    </w:p>
  </w:footnote>
  <w:footnote w:id="438">
    <w:p w14:paraId="0BBE43EF" w14:textId="77777777" w:rsidR="005D5367" w:rsidRPr="000B676B" w:rsidRDefault="005D5367" w:rsidP="00783644">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ما قيل فيه: معجم رجال الحديث 3: 71 ـ 73، رقم: 874، و22: 247، رقم: 14527.</w:t>
      </w:r>
    </w:p>
  </w:footnote>
  <w:footnote w:id="439">
    <w:p w14:paraId="1D40E112" w14:textId="77777777" w:rsidR="005D5367" w:rsidRPr="000B676B" w:rsidRDefault="005D5367" w:rsidP="00C1598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xml:space="preserve">) دراسات في ولاية الفقيه 1: 248؛ وجعفر مرتضى، </w:t>
      </w:r>
      <w:r>
        <w:rPr>
          <w:rFonts w:ascii="Mosawi" w:eastAsiaTheme="minorHAnsi" w:hAnsi="Mosawi" w:hint="cs"/>
          <w:sz w:val="24"/>
          <w:szCs w:val="24"/>
          <w:rtl/>
        </w:rPr>
        <w:t>ال</w:t>
      </w:r>
      <w:r w:rsidRPr="000B676B">
        <w:rPr>
          <w:rFonts w:ascii="Mosawi" w:eastAsiaTheme="minorHAnsi" w:hAnsi="Mosawi"/>
          <w:sz w:val="24"/>
          <w:szCs w:val="24"/>
          <w:rtl/>
        </w:rPr>
        <w:t xml:space="preserve">حياة </w:t>
      </w:r>
      <w:r>
        <w:rPr>
          <w:rFonts w:ascii="Mosawi" w:eastAsiaTheme="minorHAnsi" w:hAnsi="Mosawi" w:hint="cs"/>
          <w:sz w:val="24"/>
          <w:szCs w:val="24"/>
          <w:rtl/>
        </w:rPr>
        <w:t>السياسيّة ل</w:t>
      </w:r>
      <w:r w:rsidRPr="000B676B">
        <w:rPr>
          <w:rFonts w:ascii="Mosawi" w:eastAsiaTheme="minorHAnsi" w:hAnsi="Mosawi"/>
          <w:sz w:val="24"/>
          <w:szCs w:val="24"/>
          <w:rtl/>
        </w:rPr>
        <w:t>لإمام الرضا، دراسة وتحليل: 236، الهامش رقم: 1.</w:t>
      </w:r>
    </w:p>
  </w:footnote>
  <w:footnote w:id="440">
    <w:p w14:paraId="5D0740AF" w14:textId="77777777" w:rsidR="005D5367" w:rsidRPr="000B676B" w:rsidRDefault="005D5367" w:rsidP="00662AEB">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أمالي المفيد: 350؛ وأمالي الطوسي: 122؛ وتفصيل وسائل الشيعة 15: 54، كتاب الجهاد، أبواب جهاد العدو، باب 13، ح13.</w:t>
      </w:r>
    </w:p>
  </w:footnote>
  <w:footnote w:id="441">
    <w:p w14:paraId="7A496EE9" w14:textId="77777777" w:rsidR="005D5367" w:rsidRPr="000B676B" w:rsidRDefault="005D5367" w:rsidP="00BC53BB">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معجم رجال الحديث 22: 125؛ رقم: 14144.</w:t>
      </w:r>
    </w:p>
  </w:footnote>
  <w:footnote w:id="442">
    <w:p w14:paraId="6E30CBB7" w14:textId="77777777" w:rsidR="005D5367" w:rsidRPr="000B676B" w:rsidRDefault="005D5367" w:rsidP="00F73A48">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دراسات في ولاية الفقيه 1: 248.</w:t>
      </w:r>
    </w:p>
  </w:footnote>
  <w:footnote w:id="443">
    <w:p w14:paraId="61041B0C" w14:textId="77777777" w:rsidR="005D5367" w:rsidRPr="000B676B" w:rsidRDefault="005D5367" w:rsidP="00AC30A4">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الظاهر أنّ المراد به النفس الزكيّة.</w:t>
      </w:r>
    </w:p>
  </w:footnote>
  <w:footnote w:id="444">
    <w:p w14:paraId="758E8707" w14:textId="77777777" w:rsidR="005D5367" w:rsidRPr="000B676B" w:rsidRDefault="005D5367" w:rsidP="00662AEB">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أمالي الطوسي: 412 ـ 413؛ وعيون أخبار الرضا 2: 277؛ ومعاني الأخبار: 266 ـ 267؛ وتفصيل وسائل الشيعة 15: 54 ـ 55، كتاب الجهاد، أبواب جهاد العدو، باب 13، ح14.</w:t>
      </w:r>
    </w:p>
  </w:footnote>
  <w:footnote w:id="445">
    <w:p w14:paraId="77DF186B" w14:textId="77777777" w:rsidR="005D5367" w:rsidRPr="000B676B" w:rsidRDefault="005D5367" w:rsidP="003C568E">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راجع حولهما: النجاشي، الفهرست: 231؛ والطوسي، الفهرست: 175؛ ومعالم العلماء: 113؛ ومعجم رجال الحديث 12: 72 ـ 73، 84، رقم: 7459 ـ 7460، 7494.</w:t>
      </w:r>
    </w:p>
  </w:footnote>
  <w:footnote w:id="446">
    <w:p w14:paraId="44B8AAE5" w14:textId="77777777" w:rsidR="005D5367" w:rsidRPr="000B676B" w:rsidRDefault="005D5367" w:rsidP="00C1598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دراسات في ولاية الفقيه 1: 249؛ وانظر: جعفر مرتضى، مختصر مفيد 3: 170.</w:t>
      </w:r>
    </w:p>
  </w:footnote>
  <w:footnote w:id="447">
    <w:p w14:paraId="7B80EDED" w14:textId="77777777" w:rsidR="005D5367" w:rsidRPr="000B676B" w:rsidRDefault="005D5367" w:rsidP="0076631E">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حجيّة السنّة في الفكر الإسلامي، قراءة وتقويم: 699 ـ 719.</w:t>
      </w:r>
    </w:p>
  </w:footnote>
  <w:footnote w:id="448">
    <w:p w14:paraId="1C349C07" w14:textId="77777777" w:rsidR="005D5367" w:rsidRPr="000B676B" w:rsidRDefault="005D5367" w:rsidP="0076631E">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الكفاح المسلّح: 133؛ وولاية الأمر في عصر الغيبة: 86.</w:t>
      </w:r>
    </w:p>
  </w:footnote>
  <w:footnote w:id="449">
    <w:p w14:paraId="295286FF"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نهج البلاغة 2: 132 ـ 133؛ وتفصيل وسائل الشيعة 15: 55 ـ 56؛ كتاب الجهاد، أبواب جهاد العدو، باب13، ح15.</w:t>
      </w:r>
    </w:p>
  </w:footnote>
  <w:footnote w:id="450">
    <w:p w14:paraId="5E119EEE" w14:textId="77777777" w:rsidR="005D5367" w:rsidRPr="000B676B" w:rsidRDefault="005D5367" w:rsidP="00BC0CFE">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ثلاث رسائل، ولاية الفقيه: 61.</w:t>
      </w:r>
    </w:p>
  </w:footnote>
  <w:footnote w:id="451">
    <w:p w14:paraId="650AF670" w14:textId="77777777" w:rsidR="005D5367" w:rsidRPr="000B676B" w:rsidRDefault="005D5367" w:rsidP="00F347D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الطوسي، الغيبة: 441؛ والنعماني، الغيبة: 288 ـ 289؛ والإرشاد 2: 372؛ والخرائج والجرائح 3: 1156؛ وتفصيل وسائل الشيعة 15: 56، كتاب الجهاد، أبواب جهاد العدو، باب 13، ح16.</w:t>
      </w:r>
    </w:p>
  </w:footnote>
  <w:footnote w:id="452">
    <w:p w14:paraId="709D08B1" w14:textId="77777777" w:rsidR="005D5367" w:rsidRPr="000B676B" w:rsidRDefault="005D5367" w:rsidP="00241C7B">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لمزيد من المعلومات حول ما قيل في الرجل، انظر: رجال البرقي: 11، 16؛ والنجاشي، الفهرست: 290؛ واختيار معرفة الرجال 2: 690؛ والطوسي، الرجال: 248، 265؛ والفهرست: 181؛ وخلاصة الأقوال: 212؛ ومعجم رجال الحديث 14: 80 ـ 83، رقم: 8863.</w:t>
      </w:r>
    </w:p>
  </w:footnote>
  <w:footnote w:id="453">
    <w:p w14:paraId="53635E9E"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دراسات في ولاية الفقيه 1: 252.</w:t>
      </w:r>
    </w:p>
  </w:footnote>
  <w:footnote w:id="454">
    <w:p w14:paraId="2631B807" w14:textId="77777777" w:rsidR="005D5367" w:rsidRPr="000B676B" w:rsidRDefault="005D5367" w:rsidP="00D171E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الكفاح المسلّح: 125 ـ 126.</w:t>
      </w:r>
    </w:p>
  </w:footnote>
  <w:footnote w:id="455">
    <w:p w14:paraId="5C6DBC35" w14:textId="77777777" w:rsidR="005D5367" w:rsidRPr="000B676B" w:rsidRDefault="005D5367" w:rsidP="00D171E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ولاية الأمر في عصر الغيبة: 74 ـ 75.</w:t>
      </w:r>
    </w:p>
  </w:footnote>
  <w:footnote w:id="456">
    <w:p w14:paraId="78DA2B05"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مسؤوليّة الأمّة في زمن الغيبة، مجلّة فقه أهل البيت، العدد 44: 80، 82.</w:t>
      </w:r>
    </w:p>
  </w:footnote>
  <w:footnote w:id="457">
    <w:p w14:paraId="64B162FD" w14:textId="77777777" w:rsidR="005D5367" w:rsidRPr="000B676B" w:rsidRDefault="005D5367" w:rsidP="00053676">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الثقفي، الغارات 1: 11، و2: 678؛ وتفصيل وسائل الشيعة 15: 56، كتاب الجهاد، أبواب جهاد العدو، باب 13، ح17.</w:t>
      </w:r>
    </w:p>
  </w:footnote>
  <w:footnote w:id="458">
    <w:p w14:paraId="042F6DA3"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نهج البلاغة 1: 189.</w:t>
      </w:r>
    </w:p>
  </w:footnote>
  <w:footnote w:id="459">
    <w:p w14:paraId="2A8DC502"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كتاب سليم بن قيس: 256.</w:t>
      </w:r>
    </w:p>
  </w:footnote>
  <w:footnote w:id="460">
    <w:p w14:paraId="1BCB9972" w14:textId="77777777" w:rsidR="005D5367" w:rsidRPr="000B676B" w:rsidRDefault="005D5367" w:rsidP="00F347DF">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الكوفي، مناقب أمير المؤمنين 2: 107.</w:t>
      </w:r>
    </w:p>
  </w:footnote>
  <w:footnote w:id="461">
    <w:p w14:paraId="6CCA7B56" w14:textId="77777777" w:rsidR="005D5367" w:rsidRPr="000B676B" w:rsidRDefault="005D5367" w:rsidP="00F347D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الجرح والتعديل 3: 496.</w:t>
      </w:r>
    </w:p>
  </w:footnote>
  <w:footnote w:id="462">
    <w:p w14:paraId="2EEA72AD"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شرح الأخبار 2: 286.</w:t>
      </w:r>
    </w:p>
  </w:footnote>
  <w:footnote w:id="463">
    <w:p w14:paraId="733E27FE" w14:textId="77777777" w:rsidR="005D5367" w:rsidRPr="000B676B" w:rsidRDefault="005D5367" w:rsidP="00E51EF1">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راجع حول هذ الاسم: رجال البرقي: 8؛ ورجال الطوسي: 105، 119، 306؛ ومعجم رجال الحديث 20: 10، رقم: 12725.</w:t>
      </w:r>
    </w:p>
  </w:footnote>
  <w:footnote w:id="464">
    <w:p w14:paraId="3291309D" w14:textId="77777777" w:rsidR="005D5367" w:rsidRPr="000B676B" w:rsidRDefault="005D5367" w:rsidP="00E51EF1">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راجع: تهذيب الكمال 28: 568 ـ 572.</w:t>
      </w:r>
    </w:p>
  </w:footnote>
  <w:footnote w:id="465">
    <w:p w14:paraId="0702BBE6" w14:textId="77777777" w:rsidR="005D5367" w:rsidRPr="000B676B" w:rsidRDefault="005D5367" w:rsidP="00626273">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الكافي 2: 220؛ والمحاسن 1: 259؛ وتفصيل وسائل الشيعة 16: 206 ـ 207، كتاب الأمر بالمعروف والنهي عن المنكر، باب24، ح12.</w:t>
      </w:r>
    </w:p>
  </w:footnote>
  <w:footnote w:id="466">
    <w:p w14:paraId="0EEF1743" w14:textId="77777777" w:rsidR="005D5367" w:rsidRPr="000B676B" w:rsidRDefault="005D5367" w:rsidP="00626273">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بحار الأنوار 72: 434.</w:t>
      </w:r>
    </w:p>
  </w:footnote>
  <w:footnote w:id="467">
    <w:p w14:paraId="055C1B5E"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الكفاح المسلّح: 126.</w:t>
      </w:r>
    </w:p>
  </w:footnote>
  <w:footnote w:id="468">
    <w:p w14:paraId="39929734" w14:textId="77777777" w:rsidR="005D5367" w:rsidRPr="000B676B" w:rsidRDefault="005D5367" w:rsidP="00626273">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النعماني، الغيبة: 201؛ ومستدرك الوسائل 11: 35؛ وبحار الأنوار 52: 136 ـ 137.</w:t>
      </w:r>
    </w:p>
  </w:footnote>
  <w:footnote w:id="469">
    <w:p w14:paraId="47BF6641" w14:textId="77777777" w:rsidR="005D5367" w:rsidRPr="000B676B" w:rsidRDefault="005D5367" w:rsidP="00626273">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النعماني، الغيبة: 201.</w:t>
      </w:r>
    </w:p>
  </w:footnote>
  <w:footnote w:id="470">
    <w:p w14:paraId="14C2A694" w14:textId="77777777" w:rsidR="005D5367" w:rsidRPr="000B676B" w:rsidRDefault="005D5367" w:rsidP="00E51EF1">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حوله: الطوسي، الفهرست: 147؛ والرجال: 25؛ ومعجم رجال الحديث 10: 57 ـ 58، رقم: 5801؛ ومستدركات علم رجال الحديث 4: 228.</w:t>
      </w:r>
    </w:p>
  </w:footnote>
  <w:footnote w:id="471">
    <w:p w14:paraId="0A7D42E0" w14:textId="77777777" w:rsidR="005D5367" w:rsidRPr="000B676B" w:rsidRDefault="005D5367" w:rsidP="00F73A48">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الكفاح المسلّح: 134 ـ 135.</w:t>
      </w:r>
    </w:p>
  </w:footnote>
  <w:footnote w:id="472">
    <w:p w14:paraId="027B4D51" w14:textId="77777777" w:rsidR="005D5367" w:rsidRPr="000B676B" w:rsidRDefault="005D5367" w:rsidP="00F347D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المصدر نفسه: 135.</w:t>
      </w:r>
    </w:p>
  </w:footnote>
  <w:footnote w:id="473">
    <w:p w14:paraId="4F51C9E8" w14:textId="77777777" w:rsidR="005D5367" w:rsidRPr="000B676B" w:rsidRDefault="005D5367" w:rsidP="00F347D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كمال الدين: 371 ـ 372؛ وكفاية الأثر: 274 ـ 275؛ وتفصيل وسائل الشيعة 16: 211؛ وإعلام الورى 2: 241.</w:t>
      </w:r>
    </w:p>
  </w:footnote>
  <w:footnote w:id="474">
    <w:p w14:paraId="0FBBACF1" w14:textId="77777777" w:rsidR="005D5367" w:rsidRPr="000B676B" w:rsidRDefault="005D5367" w:rsidP="00F2012B">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حوله: النجاشي، الفهرست: 273؛ والطوسي، الفهرست: 151؛ والرجال: 388؛ ومعجم رجال الحديث 13: 195 ـ 196، رقم: 8535.</w:t>
      </w:r>
    </w:p>
  </w:footnote>
  <w:footnote w:id="475">
    <w:p w14:paraId="2DE653FF"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علل الشرائع 2: 476؛ وتفصيل وسائل الشيعة 16: 209؛ وبحار الأنوار 64: 171 ـ 172.</w:t>
      </w:r>
    </w:p>
  </w:footnote>
  <w:footnote w:id="476">
    <w:p w14:paraId="78312B2F" w14:textId="77777777" w:rsidR="005D5367" w:rsidRPr="000B676B" w:rsidRDefault="005D5367" w:rsidP="006E4030">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حولهم: معجم رجال الحديث 6: 72، رقم: 3023، و18: 63 ـ 64، رقم: 11446 ـ 11449.</w:t>
      </w:r>
    </w:p>
  </w:footnote>
  <w:footnote w:id="477">
    <w:p w14:paraId="1152AA34" w14:textId="77777777" w:rsidR="005D5367" w:rsidRPr="000B676B" w:rsidRDefault="005D5367" w:rsidP="00F347D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كمال الدين: 330؛ وبحار الأنوار 52: 145.</w:t>
      </w:r>
    </w:p>
  </w:footnote>
  <w:footnote w:id="478">
    <w:p w14:paraId="2B5857BF" w14:textId="77777777" w:rsidR="005D5367" w:rsidRPr="000B676B" w:rsidRDefault="005D5367" w:rsidP="006E4030">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حوله: النجاشي، الفهرست: 128؛ والطوسي، الفهرست: 252؛ والرجال: 307؛ وابن الغضائري، الرجال: 88؛ وخلاصة الأقوال: 407، 429؛ ومعجم رجال الحديث 19: 309 ـ 314؛ رقم 12606 ـ 12609، و22: 102 ـ 107، رقم: 14077؛ ومستدركات علم رجال الحديث 7: 474 ـ 477.</w:t>
      </w:r>
    </w:p>
  </w:footnote>
  <w:footnote w:id="479">
    <w:p w14:paraId="772AFF78"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الصحيفة السجادية: 16، طبعة جامعة المدرّسين.</w:t>
      </w:r>
    </w:p>
  </w:footnote>
  <w:footnote w:id="480">
    <w:p w14:paraId="47978A91"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النجاشي، الفهرست: 369؛ والطوسي، الفهرست: 216؛ والرجال: 447؛ ومعجم رجال الحديث 17: 260 ـ 262، رقم: 11142 ـ 11143؛ وقاموس الرجال 9: 389 ـ 390؛ ومستدركات علم الرجال الحديث 7: 188.</w:t>
      </w:r>
    </w:p>
  </w:footnote>
  <w:footnote w:id="481">
    <w:p w14:paraId="1BABACC7" w14:textId="77777777" w:rsidR="005D5367" w:rsidRPr="000B676B" w:rsidRDefault="005D5367" w:rsidP="004022E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حولهما: النجاشي، الفهرست: 426؛ والطوسي، الفهرست: 253؛ ومعالم العلماء: 160؛ ونقد الرجال 4: 84 ـ 86 ومعجم رجال الحديث 14: 174، رقم: 9105، و15: 184 ـ 185، رقم: 9870 ـ 9871.</w:t>
      </w:r>
    </w:p>
  </w:footnote>
  <w:footnote w:id="482">
    <w:p w14:paraId="24100870" w14:textId="77777777" w:rsidR="005D5367" w:rsidRPr="000B676B" w:rsidRDefault="005D5367" w:rsidP="00D15EBC">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ولاية الفقيه في حكومة الإسلام 4: 59 ـ 62.</w:t>
      </w:r>
    </w:p>
  </w:footnote>
  <w:footnote w:id="483">
    <w:p w14:paraId="162088BB" w14:textId="77777777" w:rsidR="005D5367" w:rsidRPr="000B676B" w:rsidRDefault="005D5367" w:rsidP="00AA1A5B">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ما كان نقله هو طرق إجازات للمتأخّرين، وليس أسانيد، فراجع.</w:t>
      </w:r>
    </w:p>
  </w:footnote>
  <w:footnote w:id="484">
    <w:p w14:paraId="792A31D1" w14:textId="77777777" w:rsidR="005D5367" w:rsidRPr="000B676B" w:rsidRDefault="005D5367" w:rsidP="007C3F27">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ادّعاء تواترها من طرق الزيديّة غريب، فكثير من الشواهد تعطي أنّها لم تكن معروفة بينهم في القرون الأولى بمعنى عدم وجود طرق مستقلّة لها، بل إنّها اشتهرت أكثر بعد القرن الخامس الهجري.</w:t>
      </w:r>
    </w:p>
  </w:footnote>
  <w:footnote w:id="485">
    <w:p w14:paraId="62C60E7E" w14:textId="77777777" w:rsidR="005D5367" w:rsidRPr="000B676B" w:rsidRDefault="005D5367" w:rsidP="00307206">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بحار الأنوار 107: 50، 59. والمتابع يجد لهم الكثير من مثل هذه العبارات.</w:t>
      </w:r>
    </w:p>
  </w:footnote>
  <w:footnote w:id="486">
    <w:p w14:paraId="6326E372" w14:textId="77777777" w:rsidR="005D5367" w:rsidRPr="000B676B" w:rsidRDefault="005D5367" w:rsidP="00F347D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المكاسب المحرّمة 1: 320.</w:t>
      </w:r>
    </w:p>
  </w:footnote>
  <w:footnote w:id="487">
    <w:p w14:paraId="65F066ED" w14:textId="77777777" w:rsidR="005D5367" w:rsidRPr="000B676B" w:rsidRDefault="005D5367" w:rsidP="00C1598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ـ على سبيل المثال ـ نقل الإمام أحمد بن سليمان الزيدي (566هـ) للسند، حيث تكتشف أنّه السند عينه الموجود بين الإماميّة، فراجع له: حقائق المعرفة في علم الكلام: 504 ـ 507.</w:t>
      </w:r>
    </w:p>
  </w:footnote>
  <w:footnote w:id="488">
    <w:p w14:paraId="52A97C1F" w14:textId="77777777" w:rsidR="005D5367" w:rsidRPr="000B676B" w:rsidRDefault="005D5367" w:rsidP="00D15EBC">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الكفاح المسلّح: 140؛ ودراسات في ولاية الفقيه 1: 227.</w:t>
      </w:r>
    </w:p>
  </w:footnote>
  <w:footnote w:id="489">
    <w:p w14:paraId="4B0B8BED" w14:textId="77777777" w:rsidR="005D5367" w:rsidRPr="000B676B" w:rsidRDefault="005D5367" w:rsidP="00F347DF">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انظر: دراسات في ولاية الفقيه 1: 225 ـ 226؛ ونحوه: ولاية الفقيه في حكومة الإسلام 4: 47 ـ 48، وهناك فسّر الروايةَ بأنّها محمولة على الخارجين على خلاف إرادة أهل البيت، وهو ما لا شاهد له فيها.</w:t>
      </w:r>
    </w:p>
  </w:footnote>
  <w:footnote w:id="490">
    <w:p w14:paraId="1503D4B3"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الطوسي، الغيبة: 163.</w:t>
      </w:r>
    </w:p>
  </w:footnote>
  <w:footnote w:id="491">
    <w:p w14:paraId="4F038316" w14:textId="77777777" w:rsidR="005D5367" w:rsidRPr="000B676B" w:rsidRDefault="005D5367" w:rsidP="00F347DF">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تهذيب الأحكام 10: 34 ـ 35.</w:t>
      </w:r>
    </w:p>
  </w:footnote>
  <w:footnote w:id="492">
    <w:p w14:paraId="54C8B556" w14:textId="77777777" w:rsidR="005D5367" w:rsidRPr="000B676B" w:rsidRDefault="005D5367" w:rsidP="008D7937">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إنّ تعبير «لنا» لم يرد سوى في بحار الأنوار.</w:t>
      </w:r>
    </w:p>
  </w:footnote>
  <w:footnote w:id="493">
    <w:p w14:paraId="32E195FC"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النعماني، الغيبة: 200، ووردت بصيغة قريبة جداً في المصدر عينه: 271؛ وانظر: بحار الأنوار 52: 135، 293 ـ 294.</w:t>
      </w:r>
    </w:p>
  </w:footnote>
  <w:footnote w:id="494">
    <w:p w14:paraId="1343B40D" w14:textId="77777777" w:rsidR="005D5367" w:rsidRPr="000B676B" w:rsidRDefault="005D5367" w:rsidP="004022EF">
      <w:pPr>
        <w:pStyle w:val="FootnoteText"/>
        <w:spacing w:line="192" w:lineRule="auto"/>
        <w:ind w:left="170" w:hanging="170"/>
        <w:rPr>
          <w:rFonts w:ascii="Mosawi" w:eastAsiaTheme="minorHAnsi" w:hAnsi="Mosawi"/>
          <w:sz w:val="24"/>
          <w:szCs w:val="24"/>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w:t>
      </w:r>
      <w:r w:rsidRPr="000B676B">
        <w:rPr>
          <w:rFonts w:ascii="Mosawi" w:eastAsiaTheme="minorHAnsi" w:hAnsi="Mosawi"/>
          <w:sz w:val="24"/>
          <w:szCs w:val="24"/>
        </w:rPr>
        <w:t xml:space="preserve"> </w:t>
      </w:r>
      <w:r w:rsidRPr="000B676B">
        <w:rPr>
          <w:rFonts w:ascii="Mosawi" w:eastAsiaTheme="minorHAnsi" w:hAnsi="Mosawi"/>
          <w:sz w:val="24"/>
          <w:szCs w:val="24"/>
          <w:rtl/>
        </w:rPr>
        <w:t>انظر حوله: النجاشي، الفهرست: 36 ـ 37؛ واختيار معرفة الرجال 2: 827؛ ورجال ابن الغضائري: 51؛ ومعجم رجال الحديث 6: 16 ـ 22، رقم: 2937.</w:t>
      </w:r>
    </w:p>
  </w:footnote>
  <w:footnote w:id="495">
    <w:p w14:paraId="275EFF7C" w14:textId="77777777" w:rsidR="005D5367" w:rsidRPr="000B676B" w:rsidRDefault="005D5367" w:rsidP="00730BDA">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كانوا جماعة بقيادة بابك خرّمدين (الخرمي)، وكانوا يرتدون ملابس حمراء، فسمّوا بالمحمّرة نسبةً لذلك. وقد خرج هؤلاء عام 201هـ في زمن المأمون، وعجز عن إنهاء حركتهم، واستمرّوا حتى عام 222 أو 223هـ حيث تمّ أسرهم وقتلوا. وقد ذكر المؤرّخون أنّهم قتلوا 255 ألف مسلم حتى وصلوا إصفهان ومازندران وغيرها. وأوصى المأمون الخليفةَ بعده بقتلهم لأنّهم خطر يتهدّد الإسلام. وقد طالبوا بالثأر لمقتل أبي مسلم الخراساني وبنوعٍ من الاستقلال عن الخلافة، وكانت لهم ميول قوميّة. وتعتبر أفكارهم مزيجاً من المزدكيّة والغلوّ. ومن أبرزها: 1 ـ القول بالحلول. 2 ـ التناسخ. 3 ـ الرجعة. 4 ـ الاعتقاد بأصلَي النور والظلمة. 5 ـ عدم انقطاع الوحي والنبوّة. 6 ـ الاشتراك في المال والنساء.</w:t>
      </w:r>
    </w:p>
  </w:footnote>
  <w:footnote w:id="496">
    <w:p w14:paraId="027C0AB2" w14:textId="77777777" w:rsidR="005D5367" w:rsidRPr="000B676B" w:rsidRDefault="005D5367" w:rsidP="008D7937">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مختصر مفيد 3: 162 ـ 163.</w:t>
      </w:r>
    </w:p>
  </w:footnote>
  <w:footnote w:id="497">
    <w:p w14:paraId="6BB30F8D"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النعماني، الغيبة: 203؛ ومستدرك الوسائل 11: 36.</w:t>
      </w:r>
    </w:p>
  </w:footnote>
  <w:footnote w:id="498">
    <w:p w14:paraId="4F68799A" w14:textId="77777777" w:rsidR="005D5367" w:rsidRPr="000B676B" w:rsidRDefault="005D5367" w:rsidP="004022E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رجال الطوسي: 413 (ضمن ترجمة: إسحاق بن محمد بن علي التمار)؛ ومستدركات علم رجال الحديث 8: 291.</w:t>
      </w:r>
    </w:p>
  </w:footnote>
  <w:footnote w:id="499">
    <w:p w14:paraId="760DF091" w14:textId="77777777" w:rsidR="005D5367" w:rsidRPr="000B676B" w:rsidRDefault="005D5367" w:rsidP="008B448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معجم رجال الحديث 7: 180، رقم: 3868.</w:t>
      </w:r>
    </w:p>
  </w:footnote>
  <w:footnote w:id="500">
    <w:p w14:paraId="0FD2F2E6"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الكافي 2: 225؛ وتفصيل وسائل الشيعة 16: 248؛ والنعماني، الغيبة: 203 ـ 204.</w:t>
      </w:r>
    </w:p>
  </w:footnote>
  <w:footnote w:id="501">
    <w:p w14:paraId="2ABD1DB9"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النعماني، الغيبة: 208.</w:t>
      </w:r>
    </w:p>
  </w:footnote>
  <w:footnote w:id="502">
    <w:p w14:paraId="342A1694" w14:textId="77777777" w:rsidR="005D5367" w:rsidRPr="000B676B" w:rsidRDefault="005D5367" w:rsidP="00EC3A99">
      <w:pPr>
        <w:ind w:firstLine="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xml:space="preserve">) راجع حوله: </w:t>
      </w:r>
      <w:r w:rsidRPr="000B676B">
        <w:rPr>
          <w:rFonts w:ascii="Mosawi" w:hAnsi="Mosawi"/>
          <w:sz w:val="24"/>
          <w:szCs w:val="24"/>
          <w:rtl/>
        </w:rPr>
        <w:t>النجاشيّ، الفهرست: 421؛ واختيار معرفة الرجال 2: 664؛ والطوسي، الفهرست: 251؛ والرجال: 312؛ ورجال ابن الغضائري: 89؛ وإيضاح الاشتباه: 301؛ وخلاصة الأقوال: 411 ـ 412؛ ورجال ابن داود: 281، 293 ـ 296؛ ونقد الرجال 4: 416؛ والتعليقة على منهج المقال: 343؛ وم</w:t>
      </w:r>
      <w:r w:rsidRPr="000B676B">
        <w:rPr>
          <w:rFonts w:ascii="Mosawi" w:eastAsiaTheme="minorHAnsi" w:hAnsi="Mosawi"/>
          <w:sz w:val="24"/>
          <w:szCs w:val="24"/>
          <w:rtl/>
        </w:rPr>
        <w:t>عجم رجال الحديث 19: 356 ـ 358، رقم: 12667 ـ 12669.</w:t>
      </w:r>
    </w:p>
  </w:footnote>
  <w:footnote w:id="503">
    <w:p w14:paraId="4DB0F379"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الكافي 5: 60 ـ 61؛ وثواب الأعمال: 248؛ وتهذيب الأحكام 6: 178؛ وتفصيل وسائل الشيعة 16: 128.</w:t>
      </w:r>
    </w:p>
  </w:footnote>
  <w:footnote w:id="504">
    <w:p w14:paraId="18793C48" w14:textId="77777777" w:rsidR="005D5367" w:rsidRPr="000B676B" w:rsidRDefault="005D5367" w:rsidP="0041719A">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حوله: معجم رجال الحديث 18: 58، رقم: 11427.</w:t>
      </w:r>
    </w:p>
  </w:footnote>
  <w:footnote w:id="505">
    <w:p w14:paraId="7E0A4907" w14:textId="77777777" w:rsidR="005D5367" w:rsidRPr="000B676B" w:rsidRDefault="005D5367" w:rsidP="0041719A">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حوله: المصدر نفسه 19: 333 ـ 335، رقم: 12621 و12624، 12625.</w:t>
      </w:r>
    </w:p>
  </w:footnote>
  <w:footnote w:id="506">
    <w:p w14:paraId="6BA09E8E" w14:textId="77777777" w:rsidR="005D5367" w:rsidRPr="000B676B" w:rsidRDefault="005D5367" w:rsidP="008A4080">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ثلاث رسائل: 63.</w:t>
      </w:r>
    </w:p>
  </w:footnote>
  <w:footnote w:id="507">
    <w:p w14:paraId="0BEFA819" w14:textId="77777777" w:rsidR="005D5367" w:rsidRPr="000B676B" w:rsidRDefault="005D5367" w:rsidP="007D4BEF">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كأنّه التفت ـ محقّاً ـ لتساؤلٍ مشروع وهو أنّه لو وُضعت أحاديث النهي فلماذا لم يتمّ تكذيبها من قبل أهل البيت؟! وأين هي الأحاديث المعاكسة لأحاديث النهي، لماذا لم تظهر في التراث الحديثي والتاريخي؟!</w:t>
      </w:r>
    </w:p>
  </w:footnote>
  <w:footnote w:id="508">
    <w:p w14:paraId="041079F6" w14:textId="77777777" w:rsidR="005D5367" w:rsidRPr="000B676B" w:rsidRDefault="005D5367" w:rsidP="004C7103">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ثلاث رسائل: 63.</w:t>
      </w:r>
    </w:p>
  </w:footnote>
  <w:footnote w:id="509">
    <w:p w14:paraId="072392A9" w14:textId="77777777" w:rsidR="005D5367" w:rsidRPr="000B676B" w:rsidRDefault="005D5367" w:rsidP="00F73A48">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الآصفي، الجهاد: 182.</w:t>
      </w:r>
    </w:p>
  </w:footnote>
  <w:footnote w:id="510">
    <w:p w14:paraId="7ABE0B06" w14:textId="77777777" w:rsidR="005D5367" w:rsidRPr="000B676B" w:rsidRDefault="005D5367" w:rsidP="00156536">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انظر: المصدر نفسه: 182 ـ 183؛ وثلاث رسائل: 63.</w:t>
      </w:r>
    </w:p>
  </w:footnote>
  <w:footnote w:id="511">
    <w:p w14:paraId="67B9D6C5" w14:textId="77777777" w:rsidR="005D5367" w:rsidRPr="000B676B" w:rsidRDefault="005D5367" w:rsidP="001E31C1">
      <w:pPr>
        <w:pStyle w:val="FootnoteText"/>
        <w:spacing w:line="192" w:lineRule="auto"/>
        <w:ind w:left="170" w:hanging="170"/>
        <w:rPr>
          <w:rFonts w:ascii="Mosawi" w:eastAsiaTheme="minorHAnsi" w:hAnsi="Mosawi"/>
          <w:sz w:val="24"/>
          <w:szCs w:val="24"/>
          <w:rtl/>
        </w:rPr>
      </w:pPr>
      <w:r w:rsidRPr="000B676B">
        <w:rPr>
          <w:rFonts w:ascii="Mosawi" w:eastAsiaTheme="minorHAnsi" w:hAnsi="Mosawi"/>
          <w:sz w:val="24"/>
          <w:szCs w:val="24"/>
          <w:rtl/>
        </w:rPr>
        <w:t>(</w:t>
      </w:r>
      <w:r w:rsidRPr="000B676B">
        <w:rPr>
          <w:rFonts w:ascii="Mosawi" w:eastAsiaTheme="minorHAnsi" w:hAnsi="Mosawi"/>
          <w:sz w:val="24"/>
          <w:szCs w:val="24"/>
          <w:rtl/>
        </w:rPr>
        <w:footnoteRef/>
      </w:r>
      <w:r w:rsidRPr="000B676B">
        <w:rPr>
          <w:rFonts w:ascii="Mosawi" w:eastAsiaTheme="minorHAnsi" w:hAnsi="Mosawi"/>
          <w:sz w:val="24"/>
          <w:szCs w:val="24"/>
          <w:rtl/>
        </w:rPr>
        <w:t>) فقه الأطعمة والأشربة 3: 432 ـ 446.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42AC2" w14:textId="7CD1FDF8" w:rsidR="005D5367" w:rsidRPr="00022D3B" w:rsidRDefault="007B7370" w:rsidP="00022D3B">
    <w:pPr>
      <w:pStyle w:val="Header"/>
      <w:tabs>
        <w:tab w:val="clear" w:pos="4680"/>
        <w:tab w:val="clear" w:pos="9360"/>
        <w:tab w:val="right" w:leader="dot" w:pos="7484"/>
      </w:tabs>
      <w:ind w:firstLine="0"/>
      <w:rPr>
        <w:rFonts w:cs="Ya-Ali"/>
      </w:rPr>
    </w:pPr>
    <w:r w:rsidRPr="00022D3B">
      <w:rPr>
        <w:rFonts w:cs="Ya-Al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CB0FC" w14:textId="5609BE32" w:rsidR="005D5367" w:rsidRPr="00A2004B" w:rsidRDefault="001735DD" w:rsidP="00A2004B">
    <w:pPr>
      <w:pStyle w:val="Header"/>
      <w:tabs>
        <w:tab w:val="clear" w:pos="4680"/>
        <w:tab w:val="clear" w:pos="9360"/>
        <w:tab w:val="right" w:leader="dot" w:pos="7484"/>
      </w:tabs>
      <w:ind w:firstLine="0"/>
      <w:rPr>
        <w:rFonts w:cs="Ya-Ali"/>
        <w:rtl/>
      </w:rPr>
    </w:pPr>
    <w:r w:rsidRPr="00A2004B">
      <w:rPr>
        <w:rFonts w:cs="Ya-Ali"/>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88E6E" w14:textId="77777777" w:rsidR="00AB208D" w:rsidRPr="0090123B" w:rsidRDefault="00AB208D" w:rsidP="0090123B">
    <w:pPr>
      <w:pStyle w:val="Header"/>
      <w:rPr>
        <w:rt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E117E" w14:textId="77777777" w:rsidR="00AB208D" w:rsidRDefault="00AB20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FBA54EE"/>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3BCF55C"/>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05586256"/>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F1A28D34"/>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9924622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B2C896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DBEF88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D3C4F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CF82D0E"/>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2D9288E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6E169C"/>
    <w:multiLevelType w:val="hybridMultilevel"/>
    <w:tmpl w:val="1624A540"/>
    <w:lvl w:ilvl="0" w:tplc="187240C2">
      <w:start w:val="1"/>
      <w:numFmt w:val="decimal"/>
      <w:suff w:val="space"/>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F827C3"/>
    <w:multiLevelType w:val="hybridMultilevel"/>
    <w:tmpl w:val="32ECF0B6"/>
    <w:lvl w:ilvl="0" w:tplc="E0B892F2">
      <w:start w:val="1"/>
      <w:numFmt w:val="decimal"/>
      <w:lvlText w:val="%1."/>
      <w:lvlJc w:val="left"/>
      <w:pPr>
        <w:ind w:left="720" w:hanging="360"/>
      </w:pPr>
      <w:rPr>
        <w:b w:val="0"/>
        <w:bCs w:val="0"/>
        <w:color w:val="auto"/>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3A654C"/>
    <w:multiLevelType w:val="multilevel"/>
    <w:tmpl w:val="9134E892"/>
    <w:styleLink w:val="fgdsgfdfd"/>
    <w:lvl w:ilvl="0">
      <w:start w:val="1"/>
      <w:numFmt w:val="bullet"/>
      <w:lvlText w:val=""/>
      <w:lvlJc w:val="left"/>
      <w:pPr>
        <w:ind w:left="851" w:hanging="369"/>
      </w:pPr>
      <w:rPr>
        <w:rFonts w:ascii="Wingdings" w:hAnsi="Wingdings" w:hint="default"/>
        <w:color w:val="auto"/>
        <w:sz w:val="28"/>
      </w:rPr>
    </w:lvl>
    <w:lvl w:ilvl="1">
      <w:start w:val="1"/>
      <w:numFmt w:val="lowerLetter"/>
      <w:lvlText w:val="%2)"/>
      <w:lvlJc w:val="left"/>
      <w:pPr>
        <w:ind w:left="1702" w:hanging="369"/>
      </w:pPr>
      <w:rPr>
        <w:rFonts w:cs="Times New Roman" w:hint="default"/>
      </w:rPr>
    </w:lvl>
    <w:lvl w:ilvl="2">
      <w:start w:val="1"/>
      <w:numFmt w:val="lowerRoman"/>
      <w:lvlText w:val="%3)"/>
      <w:lvlJc w:val="left"/>
      <w:pPr>
        <w:ind w:left="2553" w:hanging="369"/>
      </w:pPr>
      <w:rPr>
        <w:rFonts w:cs="Times New Roman" w:hint="default"/>
      </w:rPr>
    </w:lvl>
    <w:lvl w:ilvl="3">
      <w:start w:val="1"/>
      <w:numFmt w:val="decimal"/>
      <w:lvlText w:val="(%4)"/>
      <w:lvlJc w:val="left"/>
      <w:pPr>
        <w:ind w:left="3404" w:hanging="369"/>
      </w:pPr>
      <w:rPr>
        <w:rFonts w:cs="Times New Roman" w:hint="default"/>
      </w:rPr>
    </w:lvl>
    <w:lvl w:ilvl="4">
      <w:start w:val="1"/>
      <w:numFmt w:val="lowerLetter"/>
      <w:lvlText w:val="(%5)"/>
      <w:lvlJc w:val="left"/>
      <w:pPr>
        <w:ind w:left="4255" w:hanging="369"/>
      </w:pPr>
      <w:rPr>
        <w:rFonts w:cs="Times New Roman" w:hint="default"/>
      </w:rPr>
    </w:lvl>
    <w:lvl w:ilvl="5">
      <w:start w:val="1"/>
      <w:numFmt w:val="lowerRoman"/>
      <w:lvlText w:val="(%6)"/>
      <w:lvlJc w:val="left"/>
      <w:pPr>
        <w:ind w:left="5106" w:hanging="369"/>
      </w:pPr>
      <w:rPr>
        <w:rFonts w:cs="Times New Roman" w:hint="default"/>
      </w:rPr>
    </w:lvl>
    <w:lvl w:ilvl="6">
      <w:start w:val="1"/>
      <w:numFmt w:val="decimal"/>
      <w:lvlText w:val="%7."/>
      <w:lvlJc w:val="left"/>
      <w:pPr>
        <w:ind w:left="5957" w:hanging="369"/>
      </w:pPr>
      <w:rPr>
        <w:rFonts w:cs="Times New Roman" w:hint="default"/>
      </w:rPr>
    </w:lvl>
    <w:lvl w:ilvl="7">
      <w:start w:val="1"/>
      <w:numFmt w:val="lowerLetter"/>
      <w:lvlText w:val="%8."/>
      <w:lvlJc w:val="left"/>
      <w:pPr>
        <w:ind w:left="6808" w:hanging="369"/>
      </w:pPr>
      <w:rPr>
        <w:rFonts w:cs="Times New Roman" w:hint="default"/>
      </w:rPr>
    </w:lvl>
    <w:lvl w:ilvl="8">
      <w:start w:val="1"/>
      <w:numFmt w:val="lowerRoman"/>
      <w:lvlText w:val="%9."/>
      <w:lvlJc w:val="left"/>
      <w:pPr>
        <w:ind w:left="7659" w:hanging="369"/>
      </w:pPr>
      <w:rPr>
        <w:rFonts w:cs="Times New Roman" w:hint="default"/>
      </w:rPr>
    </w:lvl>
  </w:abstractNum>
  <w:abstractNum w:abstractNumId="13" w15:restartNumberingAfterBreak="0">
    <w:nsid w:val="1AD51C58"/>
    <w:multiLevelType w:val="multilevel"/>
    <w:tmpl w:val="9470142A"/>
    <w:styleLink w:val="Style2"/>
    <w:lvl w:ilvl="0">
      <w:numFmt w:val="none"/>
      <w:lvlText w:val=""/>
      <w:lvlJc w:val="left"/>
      <w:pPr>
        <w:tabs>
          <w:tab w:val="num" w:pos="360"/>
        </w:tabs>
      </w:pPr>
    </w:lvl>
    <w:lvl w:ilvl="1">
      <w:start w:val="1"/>
      <w:numFmt w:val="lowerLetter"/>
      <w:lvlText w:val="%2)"/>
      <w:lvlJc w:val="left"/>
      <w:pPr>
        <w:ind w:left="1702" w:hanging="284"/>
      </w:pPr>
      <w:rPr>
        <w:rFonts w:cs="Times New Roman" w:hint="default"/>
      </w:rPr>
    </w:lvl>
    <w:lvl w:ilvl="2">
      <w:start w:val="1"/>
      <w:numFmt w:val="lowerRoman"/>
      <w:lvlText w:val="%3)"/>
      <w:lvlJc w:val="left"/>
      <w:pPr>
        <w:ind w:left="2553" w:hanging="284"/>
      </w:pPr>
      <w:rPr>
        <w:rFonts w:cs="Times New Roman" w:hint="default"/>
      </w:rPr>
    </w:lvl>
    <w:lvl w:ilvl="3">
      <w:start w:val="1"/>
      <w:numFmt w:val="decimal"/>
      <w:lvlText w:val="(%4)"/>
      <w:lvlJc w:val="left"/>
      <w:pPr>
        <w:ind w:left="3404" w:hanging="284"/>
      </w:pPr>
      <w:rPr>
        <w:rFonts w:cs="Times New Roman" w:hint="default"/>
      </w:rPr>
    </w:lvl>
    <w:lvl w:ilvl="4">
      <w:start w:val="1"/>
      <w:numFmt w:val="lowerLetter"/>
      <w:lvlText w:val="(%5)"/>
      <w:lvlJc w:val="left"/>
      <w:pPr>
        <w:ind w:left="4255" w:hanging="284"/>
      </w:pPr>
      <w:rPr>
        <w:rFonts w:cs="Times New Roman" w:hint="default"/>
      </w:rPr>
    </w:lvl>
    <w:lvl w:ilvl="5">
      <w:start w:val="1"/>
      <w:numFmt w:val="lowerRoman"/>
      <w:lvlText w:val="(%6)"/>
      <w:lvlJc w:val="left"/>
      <w:pPr>
        <w:ind w:left="5106" w:hanging="284"/>
      </w:pPr>
      <w:rPr>
        <w:rFonts w:cs="Times New Roman" w:hint="default"/>
      </w:rPr>
    </w:lvl>
    <w:lvl w:ilvl="6">
      <w:start w:val="1"/>
      <w:numFmt w:val="decimal"/>
      <w:lvlText w:val="%7."/>
      <w:lvlJc w:val="left"/>
      <w:pPr>
        <w:ind w:left="5957" w:hanging="284"/>
      </w:pPr>
      <w:rPr>
        <w:rFonts w:cs="Times New Roman" w:hint="default"/>
      </w:rPr>
    </w:lvl>
    <w:lvl w:ilvl="7">
      <w:start w:val="1"/>
      <w:numFmt w:val="lowerLetter"/>
      <w:lvlText w:val="%8."/>
      <w:lvlJc w:val="left"/>
      <w:pPr>
        <w:ind w:left="6808" w:hanging="284"/>
      </w:pPr>
      <w:rPr>
        <w:rFonts w:cs="Times New Roman" w:hint="default"/>
      </w:rPr>
    </w:lvl>
    <w:lvl w:ilvl="8">
      <w:start w:val="1"/>
      <w:numFmt w:val="lowerRoman"/>
      <w:lvlText w:val="%9."/>
      <w:lvlJc w:val="left"/>
      <w:pPr>
        <w:ind w:left="7659" w:hanging="284"/>
      </w:pPr>
      <w:rPr>
        <w:rFonts w:cs="Times New Roman" w:hint="default"/>
      </w:rPr>
    </w:lvl>
  </w:abstractNum>
  <w:abstractNum w:abstractNumId="14" w15:restartNumberingAfterBreak="0">
    <w:nsid w:val="20F04948"/>
    <w:multiLevelType w:val="multilevel"/>
    <w:tmpl w:val="5CF484C2"/>
    <w:styleLink w:val="a"/>
    <w:lvl w:ilvl="0">
      <w:start w:val="1"/>
      <w:numFmt w:val="arabicAbjad"/>
      <w:lvlText w:val="%1)"/>
      <w:lvlJc w:val="center"/>
      <w:pPr>
        <w:ind w:left="624" w:hanging="340"/>
      </w:pPr>
      <w:rPr>
        <w:rFonts w:cs="Times New Roman" w:hint="default"/>
        <w:szCs w:val="30"/>
      </w:rPr>
    </w:lvl>
    <w:lvl w:ilvl="1">
      <w:start w:val="1"/>
      <w:numFmt w:val="lowerLetter"/>
      <w:lvlText w:val="%2)"/>
      <w:lvlJc w:val="left"/>
      <w:pPr>
        <w:ind w:left="1248" w:hanging="340"/>
      </w:pPr>
      <w:rPr>
        <w:rFonts w:cs="Times New Roman" w:hint="default"/>
      </w:rPr>
    </w:lvl>
    <w:lvl w:ilvl="2">
      <w:start w:val="1"/>
      <w:numFmt w:val="lowerRoman"/>
      <w:lvlText w:val="%3)"/>
      <w:lvlJc w:val="left"/>
      <w:pPr>
        <w:ind w:left="1872" w:hanging="340"/>
      </w:pPr>
      <w:rPr>
        <w:rFonts w:cs="Times New Roman" w:hint="default"/>
      </w:rPr>
    </w:lvl>
    <w:lvl w:ilvl="3">
      <w:start w:val="1"/>
      <w:numFmt w:val="decimal"/>
      <w:lvlText w:val="(%4)"/>
      <w:lvlJc w:val="left"/>
      <w:pPr>
        <w:ind w:left="2496" w:hanging="340"/>
      </w:pPr>
      <w:rPr>
        <w:rFonts w:cs="Times New Roman" w:hint="default"/>
      </w:rPr>
    </w:lvl>
    <w:lvl w:ilvl="4">
      <w:start w:val="1"/>
      <w:numFmt w:val="lowerLetter"/>
      <w:lvlText w:val="(%5)"/>
      <w:lvlJc w:val="left"/>
      <w:pPr>
        <w:ind w:left="3120" w:hanging="340"/>
      </w:pPr>
      <w:rPr>
        <w:rFonts w:cs="Times New Roman" w:hint="default"/>
      </w:rPr>
    </w:lvl>
    <w:lvl w:ilvl="5">
      <w:start w:val="1"/>
      <w:numFmt w:val="lowerRoman"/>
      <w:lvlText w:val="(%6)"/>
      <w:lvlJc w:val="left"/>
      <w:pPr>
        <w:ind w:left="3744" w:hanging="340"/>
      </w:pPr>
      <w:rPr>
        <w:rFonts w:cs="Times New Roman" w:hint="default"/>
      </w:rPr>
    </w:lvl>
    <w:lvl w:ilvl="6">
      <w:start w:val="1"/>
      <w:numFmt w:val="decimal"/>
      <w:lvlText w:val="%7."/>
      <w:lvlJc w:val="left"/>
      <w:pPr>
        <w:ind w:left="4368" w:hanging="340"/>
      </w:pPr>
      <w:rPr>
        <w:rFonts w:cs="Times New Roman" w:hint="default"/>
      </w:rPr>
    </w:lvl>
    <w:lvl w:ilvl="7">
      <w:start w:val="1"/>
      <w:numFmt w:val="lowerLetter"/>
      <w:lvlText w:val="%8."/>
      <w:lvlJc w:val="left"/>
      <w:pPr>
        <w:ind w:left="4992" w:hanging="340"/>
      </w:pPr>
      <w:rPr>
        <w:rFonts w:cs="Times New Roman" w:hint="default"/>
      </w:rPr>
    </w:lvl>
    <w:lvl w:ilvl="8">
      <w:start w:val="1"/>
      <w:numFmt w:val="lowerRoman"/>
      <w:lvlText w:val="%9."/>
      <w:lvlJc w:val="left"/>
      <w:pPr>
        <w:ind w:left="5616" w:hanging="340"/>
      </w:pPr>
      <w:rPr>
        <w:rFonts w:cs="Times New Roman" w:hint="default"/>
      </w:rPr>
    </w:lvl>
  </w:abstractNum>
  <w:abstractNum w:abstractNumId="15" w15:restartNumberingAfterBreak="0">
    <w:nsid w:val="2B603ED5"/>
    <w:multiLevelType w:val="hybridMultilevel"/>
    <w:tmpl w:val="CC2C569C"/>
    <w:lvl w:ilvl="0" w:tplc="215E6EC6">
      <w:start w:val="614"/>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524F2"/>
    <w:multiLevelType w:val="multilevel"/>
    <w:tmpl w:val="2CFC3300"/>
    <w:styleLink w:val="ggsdfkfgsdgg"/>
    <w:lvl w:ilvl="0">
      <w:start w:val="1"/>
      <w:numFmt w:val="bullet"/>
      <w:lvlText w:val=""/>
      <w:lvlJc w:val="left"/>
      <w:pPr>
        <w:ind w:left="851" w:hanging="369"/>
      </w:pPr>
      <w:rPr>
        <w:rFonts w:ascii="Symbol" w:hAnsi="Symbol" w:hint="default"/>
        <w:color w:val="auto"/>
        <w:sz w:val="28"/>
      </w:rPr>
    </w:lvl>
    <w:lvl w:ilvl="1">
      <w:start w:val="1"/>
      <w:numFmt w:val="lowerLetter"/>
      <w:lvlText w:val="%2)"/>
      <w:lvlJc w:val="left"/>
      <w:pPr>
        <w:ind w:left="1702" w:hanging="369"/>
      </w:pPr>
      <w:rPr>
        <w:rFonts w:cs="Times New Roman" w:hint="default"/>
      </w:rPr>
    </w:lvl>
    <w:lvl w:ilvl="2">
      <w:start w:val="1"/>
      <w:numFmt w:val="lowerRoman"/>
      <w:lvlText w:val="%3)"/>
      <w:lvlJc w:val="left"/>
      <w:pPr>
        <w:ind w:left="2553" w:hanging="369"/>
      </w:pPr>
      <w:rPr>
        <w:rFonts w:cs="Times New Roman" w:hint="default"/>
      </w:rPr>
    </w:lvl>
    <w:lvl w:ilvl="3">
      <w:start w:val="1"/>
      <w:numFmt w:val="decimal"/>
      <w:lvlText w:val="(%4)"/>
      <w:lvlJc w:val="left"/>
      <w:pPr>
        <w:ind w:left="3404" w:hanging="369"/>
      </w:pPr>
      <w:rPr>
        <w:rFonts w:cs="Times New Roman" w:hint="default"/>
      </w:rPr>
    </w:lvl>
    <w:lvl w:ilvl="4">
      <w:start w:val="1"/>
      <w:numFmt w:val="lowerLetter"/>
      <w:lvlText w:val="(%5)"/>
      <w:lvlJc w:val="left"/>
      <w:pPr>
        <w:ind w:left="4255" w:hanging="369"/>
      </w:pPr>
      <w:rPr>
        <w:rFonts w:cs="Times New Roman" w:hint="default"/>
      </w:rPr>
    </w:lvl>
    <w:lvl w:ilvl="5">
      <w:start w:val="1"/>
      <w:numFmt w:val="lowerRoman"/>
      <w:lvlText w:val="(%6)"/>
      <w:lvlJc w:val="left"/>
      <w:pPr>
        <w:ind w:left="5106" w:hanging="369"/>
      </w:pPr>
      <w:rPr>
        <w:rFonts w:cs="Times New Roman" w:hint="default"/>
      </w:rPr>
    </w:lvl>
    <w:lvl w:ilvl="6">
      <w:start w:val="1"/>
      <w:numFmt w:val="decimal"/>
      <w:lvlText w:val="%7."/>
      <w:lvlJc w:val="left"/>
      <w:pPr>
        <w:ind w:left="5957" w:hanging="369"/>
      </w:pPr>
      <w:rPr>
        <w:rFonts w:cs="Times New Roman" w:hint="default"/>
      </w:rPr>
    </w:lvl>
    <w:lvl w:ilvl="7">
      <w:start w:val="1"/>
      <w:numFmt w:val="lowerLetter"/>
      <w:lvlText w:val="%8."/>
      <w:lvlJc w:val="left"/>
      <w:pPr>
        <w:ind w:left="6808" w:hanging="369"/>
      </w:pPr>
      <w:rPr>
        <w:rFonts w:cs="Times New Roman" w:hint="default"/>
      </w:rPr>
    </w:lvl>
    <w:lvl w:ilvl="8">
      <w:start w:val="1"/>
      <w:numFmt w:val="lowerRoman"/>
      <w:lvlText w:val="%9."/>
      <w:lvlJc w:val="left"/>
      <w:pPr>
        <w:ind w:left="7659" w:hanging="369"/>
      </w:pPr>
      <w:rPr>
        <w:rFonts w:cs="Times New Roman" w:hint="default"/>
      </w:rPr>
    </w:lvl>
  </w:abstractNum>
  <w:abstractNum w:abstractNumId="17" w15:restartNumberingAfterBreak="0">
    <w:nsid w:val="2CC944B4"/>
    <w:multiLevelType w:val="multilevel"/>
    <w:tmpl w:val="FDC617DE"/>
    <w:styleLink w:val="dgjhg"/>
    <w:lvl w:ilvl="0">
      <w:numFmt w:val="none"/>
      <w:lvlText w:val=""/>
      <w:lvlJc w:val="left"/>
      <w:pPr>
        <w:tabs>
          <w:tab w:val="num" w:pos="360"/>
        </w:tabs>
      </w:pPr>
    </w:lvl>
    <w:lvl w:ilvl="1">
      <w:start w:val="1"/>
      <w:numFmt w:val="lowerLetter"/>
      <w:lvlText w:val="%2)"/>
      <w:lvlJc w:val="left"/>
      <w:pPr>
        <w:ind w:left="1248" w:hanging="340"/>
      </w:pPr>
      <w:rPr>
        <w:rFonts w:cs="Times New Roman" w:hint="default"/>
      </w:rPr>
    </w:lvl>
    <w:lvl w:ilvl="2">
      <w:start w:val="1"/>
      <w:numFmt w:val="lowerRoman"/>
      <w:lvlText w:val="%3)"/>
      <w:lvlJc w:val="left"/>
      <w:pPr>
        <w:ind w:left="1872" w:hanging="340"/>
      </w:pPr>
      <w:rPr>
        <w:rFonts w:cs="Times New Roman" w:hint="default"/>
      </w:rPr>
    </w:lvl>
    <w:lvl w:ilvl="3">
      <w:start w:val="1"/>
      <w:numFmt w:val="decimal"/>
      <w:lvlText w:val="(%4)"/>
      <w:lvlJc w:val="left"/>
      <w:pPr>
        <w:ind w:left="2496" w:hanging="340"/>
      </w:pPr>
      <w:rPr>
        <w:rFonts w:cs="Times New Roman" w:hint="default"/>
      </w:rPr>
    </w:lvl>
    <w:lvl w:ilvl="4">
      <w:start w:val="1"/>
      <w:numFmt w:val="lowerLetter"/>
      <w:lvlText w:val="(%5)"/>
      <w:lvlJc w:val="left"/>
      <w:pPr>
        <w:ind w:left="3120" w:hanging="340"/>
      </w:pPr>
      <w:rPr>
        <w:rFonts w:cs="Times New Roman" w:hint="default"/>
      </w:rPr>
    </w:lvl>
    <w:lvl w:ilvl="5">
      <w:start w:val="1"/>
      <w:numFmt w:val="lowerRoman"/>
      <w:lvlText w:val="(%6)"/>
      <w:lvlJc w:val="left"/>
      <w:pPr>
        <w:ind w:left="3744" w:hanging="340"/>
      </w:pPr>
      <w:rPr>
        <w:rFonts w:cs="Times New Roman" w:hint="default"/>
      </w:rPr>
    </w:lvl>
    <w:lvl w:ilvl="6">
      <w:start w:val="1"/>
      <w:numFmt w:val="decimal"/>
      <w:lvlText w:val="%7."/>
      <w:lvlJc w:val="left"/>
      <w:pPr>
        <w:ind w:left="4368" w:hanging="340"/>
      </w:pPr>
      <w:rPr>
        <w:rFonts w:cs="Times New Roman" w:hint="default"/>
      </w:rPr>
    </w:lvl>
    <w:lvl w:ilvl="7">
      <w:start w:val="1"/>
      <w:numFmt w:val="lowerLetter"/>
      <w:lvlText w:val="%8."/>
      <w:lvlJc w:val="left"/>
      <w:pPr>
        <w:ind w:left="4992" w:hanging="340"/>
      </w:pPr>
      <w:rPr>
        <w:rFonts w:cs="Times New Roman" w:hint="default"/>
      </w:rPr>
    </w:lvl>
    <w:lvl w:ilvl="8">
      <w:start w:val="1"/>
      <w:numFmt w:val="lowerRoman"/>
      <w:lvlText w:val="%9."/>
      <w:lvlJc w:val="left"/>
      <w:pPr>
        <w:ind w:left="5616" w:hanging="340"/>
      </w:pPr>
      <w:rPr>
        <w:rFonts w:cs="Times New Roman" w:hint="default"/>
      </w:rPr>
    </w:lvl>
  </w:abstractNum>
  <w:abstractNum w:abstractNumId="18" w15:restartNumberingAfterBreak="0">
    <w:nsid w:val="2D392F24"/>
    <w:multiLevelType w:val="multilevel"/>
    <w:tmpl w:val="E6CA77FE"/>
    <w:styleLink w:val="a0"/>
    <w:lvl w:ilvl="0">
      <w:numFmt w:val="none"/>
      <w:lvlText w:val=""/>
      <w:lvlJc w:val="left"/>
      <w:pPr>
        <w:tabs>
          <w:tab w:val="num" w:pos="360"/>
        </w:tabs>
      </w:pPr>
    </w:lvl>
    <w:lvl w:ilvl="1">
      <w:start w:val="1"/>
      <w:numFmt w:val="lowerLetter"/>
      <w:lvlText w:val="%2)"/>
      <w:lvlJc w:val="left"/>
      <w:pPr>
        <w:ind w:left="1248" w:hanging="340"/>
      </w:pPr>
      <w:rPr>
        <w:rFonts w:cs="Times New Roman" w:hint="default"/>
      </w:rPr>
    </w:lvl>
    <w:lvl w:ilvl="2">
      <w:start w:val="1"/>
      <w:numFmt w:val="lowerRoman"/>
      <w:lvlText w:val="%3)"/>
      <w:lvlJc w:val="left"/>
      <w:pPr>
        <w:ind w:left="1872" w:hanging="340"/>
      </w:pPr>
      <w:rPr>
        <w:rFonts w:cs="Times New Roman" w:hint="default"/>
      </w:rPr>
    </w:lvl>
    <w:lvl w:ilvl="3">
      <w:start w:val="1"/>
      <w:numFmt w:val="decimal"/>
      <w:lvlText w:val="(%4)"/>
      <w:lvlJc w:val="left"/>
      <w:pPr>
        <w:ind w:left="2496" w:hanging="340"/>
      </w:pPr>
      <w:rPr>
        <w:rFonts w:cs="Times New Roman" w:hint="default"/>
      </w:rPr>
    </w:lvl>
    <w:lvl w:ilvl="4">
      <w:start w:val="1"/>
      <w:numFmt w:val="lowerLetter"/>
      <w:lvlText w:val="(%5)"/>
      <w:lvlJc w:val="left"/>
      <w:pPr>
        <w:ind w:left="3120" w:hanging="340"/>
      </w:pPr>
      <w:rPr>
        <w:rFonts w:cs="Times New Roman" w:hint="default"/>
      </w:rPr>
    </w:lvl>
    <w:lvl w:ilvl="5">
      <w:start w:val="1"/>
      <w:numFmt w:val="lowerRoman"/>
      <w:lvlText w:val="(%6)"/>
      <w:lvlJc w:val="left"/>
      <w:pPr>
        <w:ind w:left="3744" w:hanging="340"/>
      </w:pPr>
      <w:rPr>
        <w:rFonts w:cs="Times New Roman" w:hint="default"/>
      </w:rPr>
    </w:lvl>
    <w:lvl w:ilvl="6">
      <w:start w:val="1"/>
      <w:numFmt w:val="decimal"/>
      <w:lvlText w:val="%7."/>
      <w:lvlJc w:val="left"/>
      <w:pPr>
        <w:ind w:left="4368" w:hanging="340"/>
      </w:pPr>
      <w:rPr>
        <w:rFonts w:cs="Times New Roman" w:hint="default"/>
      </w:rPr>
    </w:lvl>
    <w:lvl w:ilvl="7">
      <w:start w:val="1"/>
      <w:numFmt w:val="lowerLetter"/>
      <w:lvlText w:val="%8."/>
      <w:lvlJc w:val="left"/>
      <w:pPr>
        <w:ind w:left="4992" w:hanging="340"/>
      </w:pPr>
      <w:rPr>
        <w:rFonts w:cs="Times New Roman" w:hint="default"/>
      </w:rPr>
    </w:lvl>
    <w:lvl w:ilvl="8">
      <w:start w:val="1"/>
      <w:numFmt w:val="lowerRoman"/>
      <w:lvlText w:val="%9."/>
      <w:lvlJc w:val="left"/>
      <w:pPr>
        <w:ind w:left="5616" w:hanging="340"/>
      </w:pPr>
      <w:rPr>
        <w:rFonts w:cs="Times New Roman" w:hint="default"/>
      </w:rPr>
    </w:lvl>
  </w:abstractNum>
  <w:abstractNum w:abstractNumId="19" w15:restartNumberingAfterBreak="0">
    <w:nsid w:val="2EFE767B"/>
    <w:multiLevelType w:val="hybridMultilevel"/>
    <w:tmpl w:val="DFD0D0CC"/>
    <w:lvl w:ilvl="0" w:tplc="D2DE22EA">
      <w:numFmt w:val="none"/>
      <w:pStyle w:val="a1"/>
      <w:lvlText w:val=""/>
      <w:lvlJc w:val="left"/>
      <w:pPr>
        <w:tabs>
          <w:tab w:val="num" w:pos="360"/>
        </w:tabs>
      </w:pPr>
    </w:lvl>
    <w:lvl w:ilvl="1" w:tplc="BD5869AE">
      <w:start w:val="1"/>
      <w:numFmt w:val="lowerLetter"/>
      <w:lvlText w:val="%2."/>
      <w:lvlJc w:val="left"/>
      <w:pPr>
        <w:ind w:left="1724" w:hanging="360"/>
      </w:pPr>
      <w:rPr>
        <w:rFonts w:cs="Times New Roman"/>
      </w:rPr>
    </w:lvl>
    <w:lvl w:ilvl="2" w:tplc="9A9CCDA2">
      <w:start w:val="1"/>
      <w:numFmt w:val="lowerRoman"/>
      <w:lvlText w:val="%3."/>
      <w:lvlJc w:val="right"/>
      <w:pPr>
        <w:ind w:left="2444" w:hanging="180"/>
      </w:pPr>
      <w:rPr>
        <w:rFonts w:cs="Times New Roman"/>
      </w:rPr>
    </w:lvl>
    <w:lvl w:ilvl="3" w:tplc="4FBC526C">
      <w:start w:val="1"/>
      <w:numFmt w:val="decimal"/>
      <w:lvlText w:val="%4."/>
      <w:lvlJc w:val="left"/>
      <w:pPr>
        <w:ind w:left="3164" w:hanging="360"/>
      </w:pPr>
      <w:rPr>
        <w:rFonts w:cs="Times New Roman"/>
      </w:rPr>
    </w:lvl>
    <w:lvl w:ilvl="4" w:tplc="4A540566">
      <w:start w:val="1"/>
      <w:numFmt w:val="lowerLetter"/>
      <w:lvlText w:val="%5."/>
      <w:lvlJc w:val="left"/>
      <w:pPr>
        <w:ind w:left="3884" w:hanging="360"/>
      </w:pPr>
      <w:rPr>
        <w:rFonts w:cs="Times New Roman"/>
      </w:rPr>
    </w:lvl>
    <w:lvl w:ilvl="5" w:tplc="6AC22D08">
      <w:start w:val="1"/>
      <w:numFmt w:val="lowerRoman"/>
      <w:lvlText w:val="%6."/>
      <w:lvlJc w:val="right"/>
      <w:pPr>
        <w:ind w:left="4604" w:hanging="180"/>
      </w:pPr>
      <w:rPr>
        <w:rFonts w:cs="Times New Roman"/>
      </w:rPr>
    </w:lvl>
    <w:lvl w:ilvl="6" w:tplc="1902A19E">
      <w:start w:val="1"/>
      <w:numFmt w:val="decimal"/>
      <w:lvlText w:val="%7."/>
      <w:lvlJc w:val="left"/>
      <w:pPr>
        <w:ind w:left="5324" w:hanging="360"/>
      </w:pPr>
      <w:rPr>
        <w:rFonts w:cs="Times New Roman"/>
      </w:rPr>
    </w:lvl>
    <w:lvl w:ilvl="7" w:tplc="A0763EA6">
      <w:start w:val="1"/>
      <w:numFmt w:val="lowerLetter"/>
      <w:lvlText w:val="%8."/>
      <w:lvlJc w:val="left"/>
      <w:pPr>
        <w:ind w:left="6044" w:hanging="360"/>
      </w:pPr>
      <w:rPr>
        <w:rFonts w:cs="Times New Roman"/>
      </w:rPr>
    </w:lvl>
    <w:lvl w:ilvl="8" w:tplc="C034FD24">
      <w:start w:val="1"/>
      <w:numFmt w:val="lowerRoman"/>
      <w:lvlText w:val="%9."/>
      <w:lvlJc w:val="right"/>
      <w:pPr>
        <w:ind w:left="6764" w:hanging="180"/>
      </w:pPr>
      <w:rPr>
        <w:rFonts w:cs="Times New Roman"/>
      </w:rPr>
    </w:lvl>
  </w:abstractNum>
  <w:abstractNum w:abstractNumId="20" w15:restartNumberingAfterBreak="0">
    <w:nsid w:val="2F406AFB"/>
    <w:multiLevelType w:val="hybridMultilevel"/>
    <w:tmpl w:val="798C79DE"/>
    <w:lvl w:ilvl="0" w:tplc="E0B892F2">
      <w:start w:val="1"/>
      <w:numFmt w:val="decimal"/>
      <w:lvlText w:val="%1."/>
      <w:lvlJc w:val="left"/>
      <w:pPr>
        <w:ind w:left="360" w:hanging="360"/>
      </w:pPr>
      <w:rPr>
        <w:b w:val="0"/>
        <w:bCs w:val="0"/>
        <w:color w:val="auto"/>
        <w:lang w:bidi="ar-SA"/>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002E36"/>
    <w:multiLevelType w:val="multilevel"/>
    <w:tmpl w:val="04090023"/>
    <w:styleLink w:val="ArticleSection1"/>
    <w:lvl w:ilvl="0">
      <w:start w:val="1"/>
      <w:numFmt w:val="upperRoman"/>
      <w:lvlText w:val="المقالة %1."/>
      <w:lvlJc w:val="left"/>
      <w:pPr>
        <w:tabs>
          <w:tab w:val="num" w:pos="1800"/>
        </w:tabs>
      </w:pPr>
      <w:rPr>
        <w:rFonts w:cs="Times New Roman"/>
      </w:rPr>
    </w:lvl>
    <w:lvl w:ilvl="1">
      <w:start w:val="1"/>
      <w:numFmt w:val="decimalZero"/>
      <w:isLgl/>
      <w:lvlText w:val="المقطع %1.%2"/>
      <w:lvlJc w:val="left"/>
      <w:pPr>
        <w:tabs>
          <w:tab w:val="num" w:pos="216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296"/>
        </w:tabs>
        <w:ind w:left="1008" w:hanging="432"/>
      </w:pPr>
      <w:rPr>
        <w:rFonts w:cs="Times New Roman"/>
      </w:rPr>
    </w:lvl>
    <w:lvl w:ilvl="5">
      <w:start w:val="1"/>
      <w:numFmt w:val="lowerLetter"/>
      <w:lvlText w:val="%6)"/>
      <w:lvlJc w:val="left"/>
      <w:pPr>
        <w:tabs>
          <w:tab w:val="num" w:pos="1440"/>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728"/>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15:restartNumberingAfterBreak="0">
    <w:nsid w:val="39A76D46"/>
    <w:multiLevelType w:val="multilevel"/>
    <w:tmpl w:val="BDE45AA2"/>
    <w:styleLink w:val="a2"/>
    <w:lvl w:ilvl="0">
      <w:start w:val="1"/>
      <w:numFmt w:val="bullet"/>
      <w:lvlText w:val=""/>
      <w:lvlJc w:val="left"/>
      <w:pPr>
        <w:ind w:left="851" w:hanging="284"/>
      </w:pPr>
      <w:rPr>
        <w:rFonts w:ascii="Wingdings" w:hAnsi="Wingdings" w:hint="default"/>
        <w:color w:val="auto"/>
        <w:sz w:val="28"/>
      </w:rPr>
    </w:lvl>
    <w:lvl w:ilvl="1">
      <w:start w:val="1"/>
      <w:numFmt w:val="lowerLetter"/>
      <w:lvlText w:val="%2)"/>
      <w:lvlJc w:val="left"/>
      <w:pPr>
        <w:ind w:left="1702" w:hanging="284"/>
      </w:pPr>
      <w:rPr>
        <w:rFonts w:cs="Times New Roman" w:hint="default"/>
      </w:rPr>
    </w:lvl>
    <w:lvl w:ilvl="2">
      <w:start w:val="1"/>
      <w:numFmt w:val="lowerRoman"/>
      <w:lvlText w:val="%3)"/>
      <w:lvlJc w:val="left"/>
      <w:pPr>
        <w:ind w:left="2553" w:hanging="284"/>
      </w:pPr>
      <w:rPr>
        <w:rFonts w:cs="Times New Roman" w:hint="default"/>
      </w:rPr>
    </w:lvl>
    <w:lvl w:ilvl="3">
      <w:start w:val="1"/>
      <w:numFmt w:val="decimal"/>
      <w:lvlText w:val="(%4)"/>
      <w:lvlJc w:val="left"/>
      <w:pPr>
        <w:ind w:left="3404" w:hanging="284"/>
      </w:pPr>
      <w:rPr>
        <w:rFonts w:cs="Times New Roman" w:hint="default"/>
      </w:rPr>
    </w:lvl>
    <w:lvl w:ilvl="4">
      <w:start w:val="1"/>
      <w:numFmt w:val="lowerLetter"/>
      <w:lvlText w:val="(%5)"/>
      <w:lvlJc w:val="left"/>
      <w:pPr>
        <w:ind w:left="4255" w:hanging="284"/>
      </w:pPr>
      <w:rPr>
        <w:rFonts w:cs="Times New Roman" w:hint="default"/>
      </w:rPr>
    </w:lvl>
    <w:lvl w:ilvl="5">
      <w:start w:val="1"/>
      <w:numFmt w:val="lowerRoman"/>
      <w:lvlText w:val="(%6)"/>
      <w:lvlJc w:val="left"/>
      <w:pPr>
        <w:ind w:left="5106" w:hanging="284"/>
      </w:pPr>
      <w:rPr>
        <w:rFonts w:cs="Times New Roman" w:hint="default"/>
      </w:rPr>
    </w:lvl>
    <w:lvl w:ilvl="6">
      <w:start w:val="1"/>
      <w:numFmt w:val="decimal"/>
      <w:lvlText w:val="%7."/>
      <w:lvlJc w:val="left"/>
      <w:pPr>
        <w:ind w:left="5957" w:hanging="284"/>
      </w:pPr>
      <w:rPr>
        <w:rFonts w:cs="Times New Roman" w:hint="default"/>
      </w:rPr>
    </w:lvl>
    <w:lvl w:ilvl="7">
      <w:start w:val="1"/>
      <w:numFmt w:val="lowerLetter"/>
      <w:lvlText w:val="%8."/>
      <w:lvlJc w:val="left"/>
      <w:pPr>
        <w:ind w:left="6808" w:hanging="284"/>
      </w:pPr>
      <w:rPr>
        <w:rFonts w:cs="Times New Roman" w:hint="default"/>
      </w:rPr>
    </w:lvl>
    <w:lvl w:ilvl="8">
      <w:start w:val="1"/>
      <w:numFmt w:val="lowerRoman"/>
      <w:lvlText w:val="%9."/>
      <w:lvlJc w:val="left"/>
      <w:pPr>
        <w:ind w:left="7659" w:hanging="284"/>
      </w:pPr>
      <w:rPr>
        <w:rFonts w:cs="Times New Roman" w:hint="default"/>
      </w:rPr>
    </w:lvl>
  </w:abstractNum>
  <w:abstractNum w:abstractNumId="23" w15:restartNumberingAfterBreak="0">
    <w:nsid w:val="421E3520"/>
    <w:multiLevelType w:val="hybridMultilevel"/>
    <w:tmpl w:val="A016FBE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15:restartNumberingAfterBreak="0">
    <w:nsid w:val="440E2151"/>
    <w:multiLevelType w:val="multilevel"/>
    <w:tmpl w:val="0409001F"/>
    <w:styleLink w:val="111111"/>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520"/>
        </w:tabs>
        <w:ind w:left="1224" w:hanging="504"/>
      </w:pPr>
      <w:rPr>
        <w:rFonts w:cs="Times New Roman"/>
      </w:rPr>
    </w:lvl>
    <w:lvl w:ilvl="3">
      <w:start w:val="1"/>
      <w:numFmt w:val="decimal"/>
      <w:lvlText w:val="%1.%2.%3.%4."/>
      <w:lvlJc w:val="left"/>
      <w:pPr>
        <w:tabs>
          <w:tab w:val="num" w:pos="3240"/>
        </w:tabs>
        <w:ind w:left="1728" w:hanging="648"/>
      </w:pPr>
      <w:rPr>
        <w:rFonts w:cs="Times New Roman"/>
      </w:rPr>
    </w:lvl>
    <w:lvl w:ilvl="4">
      <w:start w:val="1"/>
      <w:numFmt w:val="decimal"/>
      <w:lvlText w:val="%1.%2.%3.%4.%5."/>
      <w:lvlJc w:val="left"/>
      <w:pPr>
        <w:tabs>
          <w:tab w:val="num" w:pos="3960"/>
        </w:tabs>
        <w:ind w:left="2232" w:hanging="792"/>
      </w:pPr>
      <w:rPr>
        <w:rFonts w:cs="Times New Roman"/>
      </w:rPr>
    </w:lvl>
    <w:lvl w:ilvl="5">
      <w:start w:val="1"/>
      <w:numFmt w:val="decimal"/>
      <w:lvlText w:val="%1.%2.%3.%4.%5.%6."/>
      <w:lvlJc w:val="left"/>
      <w:pPr>
        <w:tabs>
          <w:tab w:val="num" w:pos="50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84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abstractNum w:abstractNumId="25" w15:restartNumberingAfterBreak="0">
    <w:nsid w:val="44AB0669"/>
    <w:multiLevelType w:val="multilevel"/>
    <w:tmpl w:val="8684D71E"/>
    <w:styleLink w:val="a3"/>
    <w:lvl w:ilvl="0">
      <w:start w:val="1"/>
      <w:numFmt w:val="bullet"/>
      <w:lvlText w:val=""/>
      <w:lvlJc w:val="left"/>
      <w:pPr>
        <w:ind w:left="624" w:hanging="454"/>
      </w:pPr>
      <w:rPr>
        <w:rFonts w:ascii="Symbol" w:hAnsi="Symbol" w:hint="default"/>
        <w:color w:val="auto"/>
        <w:sz w:val="28"/>
      </w:rPr>
    </w:lvl>
    <w:lvl w:ilvl="1">
      <w:start w:val="1"/>
      <w:numFmt w:val="lowerLetter"/>
      <w:lvlText w:val="%2)"/>
      <w:lvlJc w:val="left"/>
      <w:pPr>
        <w:ind w:left="1248" w:hanging="454"/>
      </w:pPr>
      <w:rPr>
        <w:rFonts w:cs="Times New Roman" w:hint="default"/>
      </w:rPr>
    </w:lvl>
    <w:lvl w:ilvl="2">
      <w:start w:val="1"/>
      <w:numFmt w:val="lowerRoman"/>
      <w:lvlText w:val="%3)"/>
      <w:lvlJc w:val="left"/>
      <w:pPr>
        <w:ind w:left="1872" w:hanging="454"/>
      </w:pPr>
      <w:rPr>
        <w:rFonts w:cs="Times New Roman" w:hint="default"/>
      </w:rPr>
    </w:lvl>
    <w:lvl w:ilvl="3">
      <w:start w:val="1"/>
      <w:numFmt w:val="decimal"/>
      <w:lvlText w:val="(%4)"/>
      <w:lvlJc w:val="left"/>
      <w:pPr>
        <w:ind w:left="2496" w:hanging="454"/>
      </w:pPr>
      <w:rPr>
        <w:rFonts w:cs="Times New Roman" w:hint="default"/>
      </w:rPr>
    </w:lvl>
    <w:lvl w:ilvl="4">
      <w:start w:val="1"/>
      <w:numFmt w:val="lowerLetter"/>
      <w:lvlText w:val="(%5)"/>
      <w:lvlJc w:val="left"/>
      <w:pPr>
        <w:ind w:left="3120" w:hanging="454"/>
      </w:pPr>
      <w:rPr>
        <w:rFonts w:cs="Times New Roman" w:hint="default"/>
      </w:rPr>
    </w:lvl>
    <w:lvl w:ilvl="5">
      <w:start w:val="1"/>
      <w:numFmt w:val="lowerRoman"/>
      <w:lvlText w:val="(%6)"/>
      <w:lvlJc w:val="left"/>
      <w:pPr>
        <w:ind w:left="3744" w:hanging="454"/>
      </w:pPr>
      <w:rPr>
        <w:rFonts w:cs="Times New Roman" w:hint="default"/>
      </w:rPr>
    </w:lvl>
    <w:lvl w:ilvl="6">
      <w:start w:val="1"/>
      <w:numFmt w:val="decimal"/>
      <w:lvlText w:val="%7."/>
      <w:lvlJc w:val="left"/>
      <w:pPr>
        <w:ind w:left="4368" w:hanging="454"/>
      </w:pPr>
      <w:rPr>
        <w:rFonts w:cs="Times New Roman" w:hint="default"/>
      </w:rPr>
    </w:lvl>
    <w:lvl w:ilvl="7">
      <w:start w:val="1"/>
      <w:numFmt w:val="lowerLetter"/>
      <w:lvlText w:val="%8."/>
      <w:lvlJc w:val="left"/>
      <w:pPr>
        <w:ind w:left="4992" w:hanging="454"/>
      </w:pPr>
      <w:rPr>
        <w:rFonts w:cs="Times New Roman" w:hint="default"/>
      </w:rPr>
    </w:lvl>
    <w:lvl w:ilvl="8">
      <w:start w:val="1"/>
      <w:numFmt w:val="lowerRoman"/>
      <w:lvlText w:val="%9."/>
      <w:lvlJc w:val="left"/>
      <w:pPr>
        <w:ind w:left="5616" w:hanging="454"/>
      </w:pPr>
      <w:rPr>
        <w:rFonts w:cs="Times New Roman" w:hint="default"/>
      </w:rPr>
    </w:lvl>
  </w:abstractNum>
  <w:abstractNum w:abstractNumId="26" w15:restartNumberingAfterBreak="0">
    <w:nsid w:val="46CA653D"/>
    <w:multiLevelType w:val="multilevel"/>
    <w:tmpl w:val="C4244776"/>
    <w:styleLink w:val="a4"/>
    <w:lvl w:ilvl="0">
      <w:start w:val="1"/>
      <w:numFmt w:val="arabicAbjad"/>
      <w:lvlText w:val="%1)"/>
      <w:lvlJc w:val="left"/>
      <w:pPr>
        <w:ind w:left="624" w:hanging="340"/>
      </w:pPr>
      <w:rPr>
        <w:rFonts w:cs="Times New Roman" w:hint="default"/>
        <w:szCs w:val="30"/>
      </w:rPr>
    </w:lvl>
    <w:lvl w:ilvl="1">
      <w:start w:val="1"/>
      <w:numFmt w:val="lowerLetter"/>
      <w:lvlText w:val="%2)"/>
      <w:lvlJc w:val="left"/>
      <w:pPr>
        <w:ind w:left="1248" w:hanging="340"/>
      </w:pPr>
      <w:rPr>
        <w:rFonts w:cs="Times New Roman" w:hint="default"/>
      </w:rPr>
    </w:lvl>
    <w:lvl w:ilvl="2">
      <w:start w:val="1"/>
      <w:numFmt w:val="lowerRoman"/>
      <w:lvlText w:val="%3)"/>
      <w:lvlJc w:val="left"/>
      <w:pPr>
        <w:ind w:left="1872" w:hanging="340"/>
      </w:pPr>
      <w:rPr>
        <w:rFonts w:cs="Times New Roman" w:hint="default"/>
      </w:rPr>
    </w:lvl>
    <w:lvl w:ilvl="3">
      <w:start w:val="1"/>
      <w:numFmt w:val="decimal"/>
      <w:lvlText w:val="(%4)"/>
      <w:lvlJc w:val="left"/>
      <w:pPr>
        <w:ind w:left="2496" w:hanging="340"/>
      </w:pPr>
      <w:rPr>
        <w:rFonts w:cs="Times New Roman" w:hint="default"/>
      </w:rPr>
    </w:lvl>
    <w:lvl w:ilvl="4">
      <w:start w:val="1"/>
      <w:numFmt w:val="lowerLetter"/>
      <w:lvlText w:val="(%5)"/>
      <w:lvlJc w:val="left"/>
      <w:pPr>
        <w:ind w:left="3120" w:hanging="340"/>
      </w:pPr>
      <w:rPr>
        <w:rFonts w:cs="Times New Roman" w:hint="default"/>
      </w:rPr>
    </w:lvl>
    <w:lvl w:ilvl="5">
      <w:start w:val="1"/>
      <w:numFmt w:val="lowerRoman"/>
      <w:lvlText w:val="(%6)"/>
      <w:lvlJc w:val="left"/>
      <w:pPr>
        <w:ind w:left="3744" w:hanging="340"/>
      </w:pPr>
      <w:rPr>
        <w:rFonts w:cs="Times New Roman" w:hint="default"/>
      </w:rPr>
    </w:lvl>
    <w:lvl w:ilvl="6">
      <w:start w:val="1"/>
      <w:numFmt w:val="decimal"/>
      <w:lvlText w:val="%7."/>
      <w:lvlJc w:val="left"/>
      <w:pPr>
        <w:ind w:left="4368" w:hanging="340"/>
      </w:pPr>
      <w:rPr>
        <w:rFonts w:cs="Times New Roman" w:hint="default"/>
      </w:rPr>
    </w:lvl>
    <w:lvl w:ilvl="7">
      <w:start w:val="1"/>
      <w:numFmt w:val="lowerLetter"/>
      <w:lvlText w:val="%8."/>
      <w:lvlJc w:val="left"/>
      <w:pPr>
        <w:ind w:left="4992" w:hanging="340"/>
      </w:pPr>
      <w:rPr>
        <w:rFonts w:cs="Times New Roman" w:hint="default"/>
      </w:rPr>
    </w:lvl>
    <w:lvl w:ilvl="8">
      <w:start w:val="1"/>
      <w:numFmt w:val="lowerRoman"/>
      <w:lvlText w:val="%9."/>
      <w:lvlJc w:val="left"/>
      <w:pPr>
        <w:ind w:left="5616" w:hanging="340"/>
      </w:pPr>
      <w:rPr>
        <w:rFonts w:cs="Times New Roman" w:hint="default"/>
      </w:rPr>
    </w:lvl>
  </w:abstractNum>
  <w:abstractNum w:abstractNumId="27" w15:restartNumberingAfterBreak="0">
    <w:nsid w:val="542C6D34"/>
    <w:multiLevelType w:val="multilevel"/>
    <w:tmpl w:val="659CAFB8"/>
    <w:styleLink w:val="a5"/>
    <w:lvl w:ilvl="0">
      <w:start w:val="1"/>
      <w:numFmt w:val="arabicAbjad"/>
      <w:lvlText w:val="%1)"/>
      <w:lvlJc w:val="center"/>
      <w:pPr>
        <w:ind w:left="851" w:hanging="284"/>
      </w:pPr>
      <w:rPr>
        <w:rFonts w:cs="Times New Roman" w:hint="default"/>
        <w:szCs w:val="30"/>
      </w:rPr>
    </w:lvl>
    <w:lvl w:ilvl="1">
      <w:start w:val="1"/>
      <w:numFmt w:val="lowerLetter"/>
      <w:lvlText w:val="%2)"/>
      <w:lvlJc w:val="left"/>
      <w:pPr>
        <w:ind w:left="1702" w:hanging="284"/>
      </w:pPr>
      <w:rPr>
        <w:rFonts w:cs="Times New Roman" w:hint="default"/>
      </w:rPr>
    </w:lvl>
    <w:lvl w:ilvl="2">
      <w:start w:val="1"/>
      <w:numFmt w:val="lowerRoman"/>
      <w:lvlText w:val="%3)"/>
      <w:lvlJc w:val="left"/>
      <w:pPr>
        <w:ind w:left="2553" w:hanging="284"/>
      </w:pPr>
      <w:rPr>
        <w:rFonts w:cs="Times New Roman" w:hint="default"/>
      </w:rPr>
    </w:lvl>
    <w:lvl w:ilvl="3">
      <w:start w:val="1"/>
      <w:numFmt w:val="decimal"/>
      <w:lvlText w:val="(%4)"/>
      <w:lvlJc w:val="left"/>
      <w:pPr>
        <w:ind w:left="3404" w:hanging="284"/>
      </w:pPr>
      <w:rPr>
        <w:rFonts w:cs="Times New Roman" w:hint="default"/>
      </w:rPr>
    </w:lvl>
    <w:lvl w:ilvl="4">
      <w:start w:val="1"/>
      <w:numFmt w:val="lowerLetter"/>
      <w:lvlText w:val="(%5)"/>
      <w:lvlJc w:val="left"/>
      <w:pPr>
        <w:ind w:left="4255" w:hanging="284"/>
      </w:pPr>
      <w:rPr>
        <w:rFonts w:cs="Times New Roman" w:hint="default"/>
      </w:rPr>
    </w:lvl>
    <w:lvl w:ilvl="5">
      <w:start w:val="1"/>
      <w:numFmt w:val="lowerRoman"/>
      <w:lvlText w:val="(%6)"/>
      <w:lvlJc w:val="left"/>
      <w:pPr>
        <w:ind w:left="5106" w:hanging="284"/>
      </w:pPr>
      <w:rPr>
        <w:rFonts w:cs="Times New Roman" w:hint="default"/>
      </w:rPr>
    </w:lvl>
    <w:lvl w:ilvl="6">
      <w:start w:val="1"/>
      <w:numFmt w:val="decimal"/>
      <w:lvlText w:val="%7."/>
      <w:lvlJc w:val="left"/>
      <w:pPr>
        <w:ind w:left="5957" w:hanging="284"/>
      </w:pPr>
      <w:rPr>
        <w:rFonts w:cs="Times New Roman" w:hint="default"/>
      </w:rPr>
    </w:lvl>
    <w:lvl w:ilvl="7">
      <w:start w:val="1"/>
      <w:numFmt w:val="lowerLetter"/>
      <w:lvlText w:val="%8."/>
      <w:lvlJc w:val="left"/>
      <w:pPr>
        <w:ind w:left="6808" w:hanging="284"/>
      </w:pPr>
      <w:rPr>
        <w:rFonts w:cs="Times New Roman" w:hint="default"/>
      </w:rPr>
    </w:lvl>
    <w:lvl w:ilvl="8">
      <w:start w:val="1"/>
      <w:numFmt w:val="lowerRoman"/>
      <w:lvlText w:val="%9."/>
      <w:lvlJc w:val="left"/>
      <w:pPr>
        <w:ind w:left="7659" w:hanging="284"/>
      </w:pPr>
      <w:rPr>
        <w:rFonts w:cs="Times New Roman" w:hint="default"/>
      </w:rPr>
    </w:lvl>
  </w:abstractNum>
  <w:abstractNum w:abstractNumId="28" w15:restartNumberingAfterBreak="0">
    <w:nsid w:val="57EC43DC"/>
    <w:multiLevelType w:val="multilevel"/>
    <w:tmpl w:val="0420BC82"/>
    <w:styleLink w:val="a6"/>
    <w:lvl w:ilvl="0">
      <w:start w:val="1"/>
      <w:numFmt w:val="arabicAbjad"/>
      <w:lvlText w:val="%1)"/>
      <w:lvlJc w:val="left"/>
      <w:pPr>
        <w:ind w:left="624" w:hanging="340"/>
      </w:pPr>
      <w:rPr>
        <w:rFonts w:cs="Times New Roman" w:hint="default"/>
        <w:szCs w:val="30"/>
      </w:rPr>
    </w:lvl>
    <w:lvl w:ilvl="1">
      <w:start w:val="1"/>
      <w:numFmt w:val="lowerLetter"/>
      <w:lvlText w:val="%2)"/>
      <w:lvlJc w:val="left"/>
      <w:pPr>
        <w:ind w:left="1248" w:hanging="340"/>
      </w:pPr>
      <w:rPr>
        <w:rFonts w:cs="Times New Roman" w:hint="default"/>
      </w:rPr>
    </w:lvl>
    <w:lvl w:ilvl="2">
      <w:start w:val="1"/>
      <w:numFmt w:val="lowerRoman"/>
      <w:lvlText w:val="%3)"/>
      <w:lvlJc w:val="left"/>
      <w:pPr>
        <w:ind w:left="1872" w:hanging="340"/>
      </w:pPr>
      <w:rPr>
        <w:rFonts w:cs="Times New Roman" w:hint="default"/>
      </w:rPr>
    </w:lvl>
    <w:lvl w:ilvl="3">
      <w:start w:val="1"/>
      <w:numFmt w:val="decimal"/>
      <w:lvlText w:val="(%4)"/>
      <w:lvlJc w:val="left"/>
      <w:pPr>
        <w:ind w:left="2496" w:hanging="340"/>
      </w:pPr>
      <w:rPr>
        <w:rFonts w:cs="Times New Roman" w:hint="default"/>
      </w:rPr>
    </w:lvl>
    <w:lvl w:ilvl="4">
      <w:start w:val="1"/>
      <w:numFmt w:val="lowerLetter"/>
      <w:lvlText w:val="(%5)"/>
      <w:lvlJc w:val="left"/>
      <w:pPr>
        <w:ind w:left="3120" w:hanging="340"/>
      </w:pPr>
      <w:rPr>
        <w:rFonts w:cs="Times New Roman" w:hint="default"/>
      </w:rPr>
    </w:lvl>
    <w:lvl w:ilvl="5">
      <w:start w:val="1"/>
      <w:numFmt w:val="lowerRoman"/>
      <w:lvlText w:val="(%6)"/>
      <w:lvlJc w:val="left"/>
      <w:pPr>
        <w:ind w:left="3744" w:hanging="340"/>
      </w:pPr>
      <w:rPr>
        <w:rFonts w:cs="Times New Roman" w:hint="default"/>
      </w:rPr>
    </w:lvl>
    <w:lvl w:ilvl="6">
      <w:start w:val="1"/>
      <w:numFmt w:val="decimal"/>
      <w:lvlText w:val="%7."/>
      <w:lvlJc w:val="left"/>
      <w:pPr>
        <w:ind w:left="4368" w:hanging="340"/>
      </w:pPr>
      <w:rPr>
        <w:rFonts w:cs="Times New Roman" w:hint="default"/>
      </w:rPr>
    </w:lvl>
    <w:lvl w:ilvl="7">
      <w:start w:val="1"/>
      <w:numFmt w:val="lowerLetter"/>
      <w:lvlText w:val="%8."/>
      <w:lvlJc w:val="left"/>
      <w:pPr>
        <w:ind w:left="4992" w:hanging="340"/>
      </w:pPr>
      <w:rPr>
        <w:rFonts w:cs="Times New Roman" w:hint="default"/>
      </w:rPr>
    </w:lvl>
    <w:lvl w:ilvl="8">
      <w:start w:val="1"/>
      <w:numFmt w:val="lowerRoman"/>
      <w:lvlText w:val="%9."/>
      <w:lvlJc w:val="left"/>
      <w:pPr>
        <w:ind w:left="5616" w:hanging="340"/>
      </w:pPr>
      <w:rPr>
        <w:rFonts w:cs="Times New Roman" w:hint="default"/>
      </w:rPr>
    </w:lvl>
  </w:abstractNum>
  <w:abstractNum w:abstractNumId="29" w15:restartNumberingAfterBreak="0">
    <w:nsid w:val="5A634BA6"/>
    <w:multiLevelType w:val="multilevel"/>
    <w:tmpl w:val="84484D08"/>
    <w:styleLink w:val="a7"/>
    <w:lvl w:ilvl="0">
      <w:start w:val="1"/>
      <w:numFmt w:val="bullet"/>
      <w:lvlText w:val=""/>
      <w:lvlJc w:val="left"/>
      <w:pPr>
        <w:ind w:left="624" w:hanging="340"/>
      </w:pPr>
      <w:rPr>
        <w:rFonts w:ascii="Symbol" w:hAnsi="Symbol" w:hint="default"/>
        <w:color w:val="auto"/>
        <w:sz w:val="28"/>
      </w:rPr>
    </w:lvl>
    <w:lvl w:ilvl="1">
      <w:start w:val="1"/>
      <w:numFmt w:val="lowerLetter"/>
      <w:lvlText w:val="%2)"/>
      <w:lvlJc w:val="left"/>
      <w:pPr>
        <w:ind w:left="1248" w:hanging="340"/>
      </w:pPr>
      <w:rPr>
        <w:rFonts w:cs="Times New Roman" w:hint="default"/>
      </w:rPr>
    </w:lvl>
    <w:lvl w:ilvl="2">
      <w:start w:val="1"/>
      <w:numFmt w:val="lowerRoman"/>
      <w:lvlText w:val="%3)"/>
      <w:lvlJc w:val="left"/>
      <w:pPr>
        <w:ind w:left="1872" w:hanging="340"/>
      </w:pPr>
      <w:rPr>
        <w:rFonts w:cs="Times New Roman" w:hint="default"/>
      </w:rPr>
    </w:lvl>
    <w:lvl w:ilvl="3">
      <w:start w:val="1"/>
      <w:numFmt w:val="decimal"/>
      <w:lvlText w:val="(%4)"/>
      <w:lvlJc w:val="left"/>
      <w:pPr>
        <w:ind w:left="2496" w:hanging="340"/>
      </w:pPr>
      <w:rPr>
        <w:rFonts w:cs="Times New Roman" w:hint="default"/>
      </w:rPr>
    </w:lvl>
    <w:lvl w:ilvl="4">
      <w:start w:val="1"/>
      <w:numFmt w:val="lowerLetter"/>
      <w:lvlText w:val="(%5)"/>
      <w:lvlJc w:val="left"/>
      <w:pPr>
        <w:ind w:left="3120" w:hanging="340"/>
      </w:pPr>
      <w:rPr>
        <w:rFonts w:cs="Times New Roman" w:hint="default"/>
      </w:rPr>
    </w:lvl>
    <w:lvl w:ilvl="5">
      <w:start w:val="1"/>
      <w:numFmt w:val="lowerRoman"/>
      <w:lvlText w:val="(%6)"/>
      <w:lvlJc w:val="left"/>
      <w:pPr>
        <w:ind w:left="3744" w:hanging="340"/>
      </w:pPr>
      <w:rPr>
        <w:rFonts w:cs="Times New Roman" w:hint="default"/>
      </w:rPr>
    </w:lvl>
    <w:lvl w:ilvl="6">
      <w:start w:val="1"/>
      <w:numFmt w:val="decimal"/>
      <w:lvlText w:val="%7."/>
      <w:lvlJc w:val="left"/>
      <w:pPr>
        <w:ind w:left="4368" w:hanging="340"/>
      </w:pPr>
      <w:rPr>
        <w:rFonts w:cs="Times New Roman" w:hint="default"/>
      </w:rPr>
    </w:lvl>
    <w:lvl w:ilvl="7">
      <w:start w:val="1"/>
      <w:numFmt w:val="lowerLetter"/>
      <w:lvlText w:val="%8."/>
      <w:lvlJc w:val="left"/>
      <w:pPr>
        <w:ind w:left="4992" w:hanging="340"/>
      </w:pPr>
      <w:rPr>
        <w:rFonts w:cs="Times New Roman" w:hint="default"/>
      </w:rPr>
    </w:lvl>
    <w:lvl w:ilvl="8">
      <w:start w:val="1"/>
      <w:numFmt w:val="lowerRoman"/>
      <w:lvlText w:val="%9."/>
      <w:lvlJc w:val="left"/>
      <w:pPr>
        <w:ind w:left="5616" w:hanging="340"/>
      </w:pPr>
      <w:rPr>
        <w:rFonts w:cs="Times New Roman" w:hint="default"/>
      </w:rPr>
    </w:lvl>
  </w:abstractNum>
  <w:abstractNum w:abstractNumId="30" w15:restartNumberingAfterBreak="0">
    <w:nsid w:val="5A6B7C94"/>
    <w:multiLevelType w:val="multilevel"/>
    <w:tmpl w:val="90209216"/>
    <w:styleLink w:val="a8"/>
    <w:lvl w:ilvl="0">
      <w:start w:val="1"/>
      <w:numFmt w:val="bullet"/>
      <w:lvlText w:val=""/>
      <w:lvlJc w:val="left"/>
      <w:pPr>
        <w:ind w:left="624" w:hanging="340"/>
      </w:pPr>
      <w:rPr>
        <w:rFonts w:ascii="Wingdings" w:hAnsi="Wingdings" w:hint="default"/>
        <w:color w:val="auto"/>
        <w:sz w:val="28"/>
      </w:rPr>
    </w:lvl>
    <w:lvl w:ilvl="1">
      <w:start w:val="1"/>
      <w:numFmt w:val="lowerLetter"/>
      <w:lvlText w:val="%2)"/>
      <w:lvlJc w:val="left"/>
      <w:pPr>
        <w:ind w:left="1248" w:hanging="340"/>
      </w:pPr>
      <w:rPr>
        <w:rFonts w:cs="Times New Roman" w:hint="default"/>
      </w:rPr>
    </w:lvl>
    <w:lvl w:ilvl="2">
      <w:start w:val="1"/>
      <w:numFmt w:val="lowerRoman"/>
      <w:lvlText w:val="%3)"/>
      <w:lvlJc w:val="left"/>
      <w:pPr>
        <w:ind w:left="1872" w:hanging="340"/>
      </w:pPr>
      <w:rPr>
        <w:rFonts w:cs="Times New Roman" w:hint="default"/>
      </w:rPr>
    </w:lvl>
    <w:lvl w:ilvl="3">
      <w:start w:val="1"/>
      <w:numFmt w:val="decimal"/>
      <w:lvlText w:val="(%4)"/>
      <w:lvlJc w:val="left"/>
      <w:pPr>
        <w:ind w:left="2496" w:hanging="340"/>
      </w:pPr>
      <w:rPr>
        <w:rFonts w:cs="Times New Roman" w:hint="default"/>
      </w:rPr>
    </w:lvl>
    <w:lvl w:ilvl="4">
      <w:start w:val="1"/>
      <w:numFmt w:val="lowerLetter"/>
      <w:lvlText w:val="(%5)"/>
      <w:lvlJc w:val="left"/>
      <w:pPr>
        <w:ind w:left="3120" w:hanging="340"/>
      </w:pPr>
      <w:rPr>
        <w:rFonts w:cs="Times New Roman" w:hint="default"/>
      </w:rPr>
    </w:lvl>
    <w:lvl w:ilvl="5">
      <w:start w:val="1"/>
      <w:numFmt w:val="lowerRoman"/>
      <w:lvlText w:val="(%6)"/>
      <w:lvlJc w:val="left"/>
      <w:pPr>
        <w:ind w:left="3744" w:hanging="340"/>
      </w:pPr>
      <w:rPr>
        <w:rFonts w:cs="Times New Roman" w:hint="default"/>
      </w:rPr>
    </w:lvl>
    <w:lvl w:ilvl="6">
      <w:start w:val="1"/>
      <w:numFmt w:val="decimal"/>
      <w:lvlText w:val="%7."/>
      <w:lvlJc w:val="left"/>
      <w:pPr>
        <w:ind w:left="4368" w:hanging="340"/>
      </w:pPr>
      <w:rPr>
        <w:rFonts w:cs="Times New Roman" w:hint="default"/>
      </w:rPr>
    </w:lvl>
    <w:lvl w:ilvl="7">
      <w:start w:val="1"/>
      <w:numFmt w:val="lowerLetter"/>
      <w:lvlText w:val="%8."/>
      <w:lvlJc w:val="left"/>
      <w:pPr>
        <w:ind w:left="4992" w:hanging="340"/>
      </w:pPr>
      <w:rPr>
        <w:rFonts w:cs="Times New Roman" w:hint="default"/>
      </w:rPr>
    </w:lvl>
    <w:lvl w:ilvl="8">
      <w:start w:val="1"/>
      <w:numFmt w:val="lowerRoman"/>
      <w:lvlText w:val="%9."/>
      <w:lvlJc w:val="left"/>
      <w:pPr>
        <w:ind w:left="5616" w:hanging="340"/>
      </w:pPr>
      <w:rPr>
        <w:rFonts w:cs="Times New Roman" w:hint="default"/>
      </w:rPr>
    </w:lvl>
  </w:abstractNum>
  <w:abstractNum w:abstractNumId="31" w15:restartNumberingAfterBreak="0">
    <w:nsid w:val="61B82427"/>
    <w:multiLevelType w:val="multilevel"/>
    <w:tmpl w:val="CD3CF1C8"/>
    <w:styleLink w:val="ghf"/>
    <w:lvl w:ilvl="0">
      <w:start w:val="1"/>
      <w:numFmt w:val="bullet"/>
      <w:lvlText w:val=""/>
      <w:lvlJc w:val="left"/>
      <w:pPr>
        <w:ind w:left="624" w:hanging="426"/>
      </w:pPr>
      <w:rPr>
        <w:rFonts w:ascii="Wingdings" w:hAnsi="Wingdings" w:hint="default"/>
        <w:color w:val="auto"/>
        <w:sz w:val="28"/>
      </w:rPr>
    </w:lvl>
    <w:lvl w:ilvl="1">
      <w:start w:val="1"/>
      <w:numFmt w:val="lowerLetter"/>
      <w:lvlText w:val="%2)"/>
      <w:lvlJc w:val="left"/>
      <w:pPr>
        <w:ind w:left="1248" w:hanging="426"/>
      </w:pPr>
      <w:rPr>
        <w:rFonts w:cs="Times New Roman" w:hint="default"/>
      </w:rPr>
    </w:lvl>
    <w:lvl w:ilvl="2">
      <w:start w:val="1"/>
      <w:numFmt w:val="lowerRoman"/>
      <w:lvlText w:val="%3)"/>
      <w:lvlJc w:val="left"/>
      <w:pPr>
        <w:ind w:left="1872" w:hanging="426"/>
      </w:pPr>
      <w:rPr>
        <w:rFonts w:cs="Times New Roman" w:hint="default"/>
      </w:rPr>
    </w:lvl>
    <w:lvl w:ilvl="3">
      <w:start w:val="1"/>
      <w:numFmt w:val="decimal"/>
      <w:lvlText w:val="(%4)"/>
      <w:lvlJc w:val="left"/>
      <w:pPr>
        <w:ind w:left="2496" w:hanging="426"/>
      </w:pPr>
      <w:rPr>
        <w:rFonts w:cs="Times New Roman" w:hint="default"/>
      </w:rPr>
    </w:lvl>
    <w:lvl w:ilvl="4">
      <w:start w:val="1"/>
      <w:numFmt w:val="lowerLetter"/>
      <w:lvlText w:val="(%5)"/>
      <w:lvlJc w:val="left"/>
      <w:pPr>
        <w:ind w:left="3120" w:hanging="426"/>
      </w:pPr>
      <w:rPr>
        <w:rFonts w:cs="Times New Roman" w:hint="default"/>
      </w:rPr>
    </w:lvl>
    <w:lvl w:ilvl="5">
      <w:start w:val="1"/>
      <w:numFmt w:val="lowerRoman"/>
      <w:lvlText w:val="(%6)"/>
      <w:lvlJc w:val="left"/>
      <w:pPr>
        <w:ind w:left="3744" w:hanging="426"/>
      </w:pPr>
      <w:rPr>
        <w:rFonts w:cs="Times New Roman" w:hint="default"/>
      </w:rPr>
    </w:lvl>
    <w:lvl w:ilvl="6">
      <w:start w:val="1"/>
      <w:numFmt w:val="decimal"/>
      <w:lvlText w:val="%7."/>
      <w:lvlJc w:val="left"/>
      <w:pPr>
        <w:ind w:left="4368" w:hanging="426"/>
      </w:pPr>
      <w:rPr>
        <w:rFonts w:cs="Times New Roman" w:hint="default"/>
      </w:rPr>
    </w:lvl>
    <w:lvl w:ilvl="7">
      <w:start w:val="1"/>
      <w:numFmt w:val="lowerLetter"/>
      <w:lvlText w:val="%8."/>
      <w:lvlJc w:val="left"/>
      <w:pPr>
        <w:ind w:left="4992" w:hanging="426"/>
      </w:pPr>
      <w:rPr>
        <w:rFonts w:cs="Times New Roman" w:hint="default"/>
      </w:rPr>
    </w:lvl>
    <w:lvl w:ilvl="8">
      <w:start w:val="1"/>
      <w:numFmt w:val="lowerRoman"/>
      <w:lvlText w:val="%9."/>
      <w:lvlJc w:val="left"/>
      <w:pPr>
        <w:ind w:left="5616" w:hanging="426"/>
      </w:pPr>
      <w:rPr>
        <w:rFonts w:cs="Times New Roman" w:hint="default"/>
      </w:rPr>
    </w:lvl>
  </w:abstractNum>
  <w:abstractNum w:abstractNumId="32" w15:restartNumberingAfterBreak="0">
    <w:nsid w:val="62DB32D7"/>
    <w:multiLevelType w:val="hybridMultilevel"/>
    <w:tmpl w:val="58504C04"/>
    <w:lvl w:ilvl="0" w:tplc="E0B892F2">
      <w:start w:val="1"/>
      <w:numFmt w:val="decimal"/>
      <w:lvlText w:val="%1."/>
      <w:lvlJc w:val="left"/>
      <w:pPr>
        <w:ind w:left="720" w:hanging="360"/>
      </w:pPr>
      <w:rPr>
        <w:b w:val="0"/>
        <w:bCs w:val="0"/>
        <w:color w:val="auto"/>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2B465F"/>
    <w:multiLevelType w:val="multilevel"/>
    <w:tmpl w:val="04090023"/>
    <w:lvl w:ilvl="0">
      <w:start w:val="1"/>
      <w:numFmt w:val="upperRoman"/>
      <w:lvlText w:val="المقالة %1."/>
      <w:lvlJc w:val="left"/>
      <w:pPr>
        <w:tabs>
          <w:tab w:val="num" w:pos="1800"/>
        </w:tabs>
        <w:ind w:left="0" w:firstLine="0"/>
      </w:pPr>
    </w:lvl>
    <w:lvl w:ilvl="1">
      <w:start w:val="1"/>
      <w:numFmt w:val="decimalZero"/>
      <w:isLgl/>
      <w:lvlText w:val="المقطع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63713D55"/>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15:restartNumberingAfterBreak="0">
    <w:nsid w:val="6769020C"/>
    <w:multiLevelType w:val="hybridMultilevel"/>
    <w:tmpl w:val="5388F776"/>
    <w:lvl w:ilvl="0" w:tplc="FA4E2E8E">
      <w:start w:val="1"/>
      <w:numFmt w:val="bullet"/>
      <w:lvlText w:val=""/>
      <w:lvlJc w:val="left"/>
      <w:pPr>
        <w:tabs>
          <w:tab w:val="num" w:pos="720"/>
        </w:tabs>
        <w:ind w:left="720" w:hanging="360"/>
      </w:pPr>
      <w:rPr>
        <w:rFonts w:ascii="Wingdings 3" w:hAnsi="Wingdings 3" w:hint="default"/>
      </w:rPr>
    </w:lvl>
    <w:lvl w:ilvl="1" w:tplc="522E1326" w:tentative="1">
      <w:start w:val="1"/>
      <w:numFmt w:val="bullet"/>
      <w:lvlText w:val=""/>
      <w:lvlJc w:val="left"/>
      <w:pPr>
        <w:tabs>
          <w:tab w:val="num" w:pos="1440"/>
        </w:tabs>
        <w:ind w:left="1440" w:hanging="360"/>
      </w:pPr>
      <w:rPr>
        <w:rFonts w:ascii="Wingdings 3" w:hAnsi="Wingdings 3" w:hint="default"/>
      </w:rPr>
    </w:lvl>
    <w:lvl w:ilvl="2" w:tplc="F6162B24" w:tentative="1">
      <w:start w:val="1"/>
      <w:numFmt w:val="bullet"/>
      <w:lvlText w:val=""/>
      <w:lvlJc w:val="left"/>
      <w:pPr>
        <w:tabs>
          <w:tab w:val="num" w:pos="2160"/>
        </w:tabs>
        <w:ind w:left="2160" w:hanging="360"/>
      </w:pPr>
      <w:rPr>
        <w:rFonts w:ascii="Wingdings 3" w:hAnsi="Wingdings 3" w:hint="default"/>
      </w:rPr>
    </w:lvl>
    <w:lvl w:ilvl="3" w:tplc="51D01ED8" w:tentative="1">
      <w:start w:val="1"/>
      <w:numFmt w:val="bullet"/>
      <w:lvlText w:val=""/>
      <w:lvlJc w:val="left"/>
      <w:pPr>
        <w:tabs>
          <w:tab w:val="num" w:pos="2880"/>
        </w:tabs>
        <w:ind w:left="2880" w:hanging="360"/>
      </w:pPr>
      <w:rPr>
        <w:rFonts w:ascii="Wingdings 3" w:hAnsi="Wingdings 3" w:hint="default"/>
      </w:rPr>
    </w:lvl>
    <w:lvl w:ilvl="4" w:tplc="AE382B6E" w:tentative="1">
      <w:start w:val="1"/>
      <w:numFmt w:val="bullet"/>
      <w:lvlText w:val=""/>
      <w:lvlJc w:val="left"/>
      <w:pPr>
        <w:tabs>
          <w:tab w:val="num" w:pos="3600"/>
        </w:tabs>
        <w:ind w:left="3600" w:hanging="360"/>
      </w:pPr>
      <w:rPr>
        <w:rFonts w:ascii="Wingdings 3" w:hAnsi="Wingdings 3" w:hint="default"/>
      </w:rPr>
    </w:lvl>
    <w:lvl w:ilvl="5" w:tplc="8B7202C0" w:tentative="1">
      <w:start w:val="1"/>
      <w:numFmt w:val="bullet"/>
      <w:lvlText w:val=""/>
      <w:lvlJc w:val="left"/>
      <w:pPr>
        <w:tabs>
          <w:tab w:val="num" w:pos="4320"/>
        </w:tabs>
        <w:ind w:left="4320" w:hanging="360"/>
      </w:pPr>
      <w:rPr>
        <w:rFonts w:ascii="Wingdings 3" w:hAnsi="Wingdings 3" w:hint="default"/>
      </w:rPr>
    </w:lvl>
    <w:lvl w:ilvl="6" w:tplc="DB0A9FCA" w:tentative="1">
      <w:start w:val="1"/>
      <w:numFmt w:val="bullet"/>
      <w:lvlText w:val=""/>
      <w:lvlJc w:val="left"/>
      <w:pPr>
        <w:tabs>
          <w:tab w:val="num" w:pos="5040"/>
        </w:tabs>
        <w:ind w:left="5040" w:hanging="360"/>
      </w:pPr>
      <w:rPr>
        <w:rFonts w:ascii="Wingdings 3" w:hAnsi="Wingdings 3" w:hint="default"/>
      </w:rPr>
    </w:lvl>
    <w:lvl w:ilvl="7" w:tplc="91168B18" w:tentative="1">
      <w:start w:val="1"/>
      <w:numFmt w:val="bullet"/>
      <w:lvlText w:val=""/>
      <w:lvlJc w:val="left"/>
      <w:pPr>
        <w:tabs>
          <w:tab w:val="num" w:pos="5760"/>
        </w:tabs>
        <w:ind w:left="5760" w:hanging="360"/>
      </w:pPr>
      <w:rPr>
        <w:rFonts w:ascii="Wingdings 3" w:hAnsi="Wingdings 3" w:hint="default"/>
      </w:rPr>
    </w:lvl>
    <w:lvl w:ilvl="8" w:tplc="B4FA7836" w:tentative="1">
      <w:start w:val="1"/>
      <w:numFmt w:val="bullet"/>
      <w:lvlText w:val=""/>
      <w:lvlJc w:val="left"/>
      <w:pPr>
        <w:tabs>
          <w:tab w:val="num" w:pos="6480"/>
        </w:tabs>
        <w:ind w:left="6480" w:hanging="360"/>
      </w:pPr>
      <w:rPr>
        <w:rFonts w:ascii="Wingdings 3" w:hAnsi="Wingdings 3" w:hint="default"/>
      </w:rPr>
    </w:lvl>
  </w:abstractNum>
  <w:abstractNum w:abstractNumId="36" w15:restartNumberingAfterBreak="0">
    <w:nsid w:val="71970683"/>
    <w:multiLevelType w:val="multilevel"/>
    <w:tmpl w:val="670213B2"/>
    <w:styleLink w:val="a9"/>
    <w:lvl w:ilvl="0">
      <w:start w:val="1"/>
      <w:numFmt w:val="arabicAbjad"/>
      <w:lvlText w:val="%1)"/>
      <w:lvlJc w:val="left"/>
      <w:pPr>
        <w:ind w:left="624" w:hanging="340"/>
      </w:pPr>
      <w:rPr>
        <w:rFonts w:cs="Times New Roman" w:hint="default"/>
        <w:szCs w:val="30"/>
      </w:rPr>
    </w:lvl>
    <w:lvl w:ilvl="1">
      <w:start w:val="1"/>
      <w:numFmt w:val="lowerLetter"/>
      <w:lvlText w:val="%2)"/>
      <w:lvlJc w:val="left"/>
      <w:pPr>
        <w:ind w:left="1248" w:hanging="340"/>
      </w:pPr>
      <w:rPr>
        <w:rFonts w:cs="Times New Roman" w:hint="default"/>
      </w:rPr>
    </w:lvl>
    <w:lvl w:ilvl="2">
      <w:start w:val="1"/>
      <w:numFmt w:val="lowerRoman"/>
      <w:lvlText w:val="%3)"/>
      <w:lvlJc w:val="left"/>
      <w:pPr>
        <w:ind w:left="1872" w:hanging="340"/>
      </w:pPr>
      <w:rPr>
        <w:rFonts w:cs="Times New Roman" w:hint="default"/>
      </w:rPr>
    </w:lvl>
    <w:lvl w:ilvl="3">
      <w:start w:val="1"/>
      <w:numFmt w:val="decimal"/>
      <w:lvlText w:val="(%4)"/>
      <w:lvlJc w:val="left"/>
      <w:pPr>
        <w:ind w:left="2496" w:hanging="340"/>
      </w:pPr>
      <w:rPr>
        <w:rFonts w:cs="Times New Roman" w:hint="default"/>
      </w:rPr>
    </w:lvl>
    <w:lvl w:ilvl="4">
      <w:start w:val="1"/>
      <w:numFmt w:val="lowerLetter"/>
      <w:lvlText w:val="(%5)"/>
      <w:lvlJc w:val="left"/>
      <w:pPr>
        <w:ind w:left="3120" w:hanging="340"/>
      </w:pPr>
      <w:rPr>
        <w:rFonts w:cs="Times New Roman" w:hint="default"/>
      </w:rPr>
    </w:lvl>
    <w:lvl w:ilvl="5">
      <w:start w:val="1"/>
      <w:numFmt w:val="lowerRoman"/>
      <w:lvlText w:val="(%6)"/>
      <w:lvlJc w:val="left"/>
      <w:pPr>
        <w:ind w:left="3744" w:hanging="340"/>
      </w:pPr>
      <w:rPr>
        <w:rFonts w:cs="Times New Roman" w:hint="default"/>
      </w:rPr>
    </w:lvl>
    <w:lvl w:ilvl="6">
      <w:start w:val="1"/>
      <w:numFmt w:val="decimal"/>
      <w:lvlText w:val="%7."/>
      <w:lvlJc w:val="left"/>
      <w:pPr>
        <w:ind w:left="4368" w:hanging="340"/>
      </w:pPr>
      <w:rPr>
        <w:rFonts w:cs="Times New Roman" w:hint="default"/>
      </w:rPr>
    </w:lvl>
    <w:lvl w:ilvl="7">
      <w:start w:val="1"/>
      <w:numFmt w:val="lowerLetter"/>
      <w:lvlText w:val="%8."/>
      <w:lvlJc w:val="left"/>
      <w:pPr>
        <w:ind w:left="4992" w:hanging="340"/>
      </w:pPr>
      <w:rPr>
        <w:rFonts w:cs="Times New Roman" w:hint="default"/>
      </w:rPr>
    </w:lvl>
    <w:lvl w:ilvl="8">
      <w:start w:val="1"/>
      <w:numFmt w:val="lowerRoman"/>
      <w:lvlText w:val="%9."/>
      <w:lvlJc w:val="left"/>
      <w:pPr>
        <w:ind w:left="5616" w:hanging="340"/>
      </w:pPr>
      <w:rPr>
        <w:rFonts w:cs="Times New Roman" w:hint="default"/>
      </w:rPr>
    </w:lvl>
  </w:abstractNum>
  <w:abstractNum w:abstractNumId="37" w15:restartNumberingAfterBreak="0">
    <w:nsid w:val="73636E8E"/>
    <w:multiLevelType w:val="multilevel"/>
    <w:tmpl w:val="FD4E40EC"/>
    <w:styleLink w:val="aa"/>
    <w:lvl w:ilvl="0">
      <w:start w:val="1"/>
      <w:numFmt w:val="bullet"/>
      <w:lvlText w:val=""/>
      <w:lvlJc w:val="left"/>
      <w:pPr>
        <w:ind w:left="851" w:hanging="284"/>
      </w:pPr>
      <w:rPr>
        <w:rFonts w:ascii="Symbol" w:hAnsi="Symbol" w:hint="default"/>
        <w:color w:val="auto"/>
        <w:sz w:val="28"/>
      </w:rPr>
    </w:lvl>
    <w:lvl w:ilvl="1">
      <w:start w:val="1"/>
      <w:numFmt w:val="lowerLetter"/>
      <w:lvlText w:val="%2)"/>
      <w:lvlJc w:val="left"/>
      <w:pPr>
        <w:ind w:left="1702" w:hanging="284"/>
      </w:pPr>
      <w:rPr>
        <w:rFonts w:cs="Times New Roman" w:hint="default"/>
      </w:rPr>
    </w:lvl>
    <w:lvl w:ilvl="2">
      <w:start w:val="1"/>
      <w:numFmt w:val="lowerRoman"/>
      <w:lvlText w:val="%3)"/>
      <w:lvlJc w:val="left"/>
      <w:pPr>
        <w:ind w:left="2553" w:hanging="284"/>
      </w:pPr>
      <w:rPr>
        <w:rFonts w:cs="Times New Roman" w:hint="default"/>
      </w:rPr>
    </w:lvl>
    <w:lvl w:ilvl="3">
      <w:start w:val="1"/>
      <w:numFmt w:val="decimal"/>
      <w:lvlText w:val="(%4)"/>
      <w:lvlJc w:val="left"/>
      <w:pPr>
        <w:ind w:left="3404" w:hanging="284"/>
      </w:pPr>
      <w:rPr>
        <w:rFonts w:cs="Times New Roman" w:hint="default"/>
      </w:rPr>
    </w:lvl>
    <w:lvl w:ilvl="4">
      <w:start w:val="1"/>
      <w:numFmt w:val="lowerLetter"/>
      <w:lvlText w:val="(%5)"/>
      <w:lvlJc w:val="left"/>
      <w:pPr>
        <w:ind w:left="4255" w:hanging="284"/>
      </w:pPr>
      <w:rPr>
        <w:rFonts w:cs="Times New Roman" w:hint="default"/>
      </w:rPr>
    </w:lvl>
    <w:lvl w:ilvl="5">
      <w:start w:val="1"/>
      <w:numFmt w:val="lowerRoman"/>
      <w:lvlText w:val="(%6)"/>
      <w:lvlJc w:val="left"/>
      <w:pPr>
        <w:ind w:left="5106" w:hanging="284"/>
      </w:pPr>
      <w:rPr>
        <w:rFonts w:cs="Times New Roman" w:hint="default"/>
      </w:rPr>
    </w:lvl>
    <w:lvl w:ilvl="6">
      <w:start w:val="1"/>
      <w:numFmt w:val="decimal"/>
      <w:lvlText w:val="%7."/>
      <w:lvlJc w:val="left"/>
      <w:pPr>
        <w:ind w:left="5957" w:hanging="284"/>
      </w:pPr>
      <w:rPr>
        <w:rFonts w:cs="Times New Roman" w:hint="default"/>
      </w:rPr>
    </w:lvl>
    <w:lvl w:ilvl="7">
      <w:start w:val="1"/>
      <w:numFmt w:val="lowerLetter"/>
      <w:lvlText w:val="%8."/>
      <w:lvlJc w:val="left"/>
      <w:pPr>
        <w:ind w:left="6808" w:hanging="284"/>
      </w:pPr>
      <w:rPr>
        <w:rFonts w:cs="Times New Roman" w:hint="default"/>
      </w:rPr>
    </w:lvl>
    <w:lvl w:ilvl="8">
      <w:start w:val="1"/>
      <w:numFmt w:val="lowerRoman"/>
      <w:lvlText w:val="%9."/>
      <w:lvlJc w:val="left"/>
      <w:pPr>
        <w:ind w:left="7659" w:hanging="284"/>
      </w:pPr>
      <w:rPr>
        <w:rFonts w:cs="Times New Roman" w:hint="default"/>
      </w:rPr>
    </w:lvl>
  </w:abstractNum>
  <w:abstractNum w:abstractNumId="38" w15:restartNumberingAfterBreak="0">
    <w:nsid w:val="774868AF"/>
    <w:multiLevelType w:val="multilevel"/>
    <w:tmpl w:val="ED988D7E"/>
    <w:styleLink w:val="jdhgdfjkghkdll"/>
    <w:lvl w:ilvl="0">
      <w:numFmt w:val="none"/>
      <w:lvlText w:val=""/>
      <w:lvlJc w:val="left"/>
      <w:pPr>
        <w:tabs>
          <w:tab w:val="num" w:pos="360"/>
        </w:tabs>
      </w:pPr>
    </w:lvl>
    <w:lvl w:ilvl="1">
      <w:start w:val="1"/>
      <w:numFmt w:val="lowerLetter"/>
      <w:lvlText w:val="%2)"/>
      <w:lvlJc w:val="left"/>
      <w:pPr>
        <w:ind w:left="1702" w:hanging="284"/>
      </w:pPr>
      <w:rPr>
        <w:rFonts w:cs="Times New Roman" w:hint="default"/>
      </w:rPr>
    </w:lvl>
    <w:lvl w:ilvl="2">
      <w:start w:val="1"/>
      <w:numFmt w:val="lowerRoman"/>
      <w:lvlText w:val="%3)"/>
      <w:lvlJc w:val="left"/>
      <w:pPr>
        <w:ind w:left="2553" w:hanging="284"/>
      </w:pPr>
      <w:rPr>
        <w:rFonts w:cs="Times New Roman" w:hint="default"/>
      </w:rPr>
    </w:lvl>
    <w:lvl w:ilvl="3">
      <w:start w:val="1"/>
      <w:numFmt w:val="decimal"/>
      <w:lvlText w:val="(%4)"/>
      <w:lvlJc w:val="left"/>
      <w:pPr>
        <w:ind w:left="3404" w:hanging="284"/>
      </w:pPr>
      <w:rPr>
        <w:rFonts w:cs="Times New Roman" w:hint="default"/>
      </w:rPr>
    </w:lvl>
    <w:lvl w:ilvl="4">
      <w:start w:val="1"/>
      <w:numFmt w:val="lowerLetter"/>
      <w:lvlText w:val="(%5)"/>
      <w:lvlJc w:val="left"/>
      <w:pPr>
        <w:ind w:left="4255" w:hanging="284"/>
      </w:pPr>
      <w:rPr>
        <w:rFonts w:cs="Times New Roman" w:hint="default"/>
      </w:rPr>
    </w:lvl>
    <w:lvl w:ilvl="5">
      <w:start w:val="1"/>
      <w:numFmt w:val="lowerRoman"/>
      <w:lvlText w:val="(%6)"/>
      <w:lvlJc w:val="left"/>
      <w:pPr>
        <w:ind w:left="5106" w:hanging="284"/>
      </w:pPr>
      <w:rPr>
        <w:rFonts w:cs="Times New Roman" w:hint="default"/>
      </w:rPr>
    </w:lvl>
    <w:lvl w:ilvl="6">
      <w:start w:val="1"/>
      <w:numFmt w:val="decimal"/>
      <w:lvlText w:val="%7."/>
      <w:lvlJc w:val="left"/>
      <w:pPr>
        <w:ind w:left="5957" w:hanging="284"/>
      </w:pPr>
      <w:rPr>
        <w:rFonts w:cs="Times New Roman" w:hint="default"/>
      </w:rPr>
    </w:lvl>
    <w:lvl w:ilvl="7">
      <w:start w:val="1"/>
      <w:numFmt w:val="lowerLetter"/>
      <w:lvlText w:val="%8."/>
      <w:lvlJc w:val="left"/>
      <w:pPr>
        <w:ind w:left="6808" w:hanging="284"/>
      </w:pPr>
      <w:rPr>
        <w:rFonts w:cs="Times New Roman" w:hint="default"/>
      </w:rPr>
    </w:lvl>
    <w:lvl w:ilvl="8">
      <w:start w:val="1"/>
      <w:numFmt w:val="lowerRoman"/>
      <w:lvlText w:val="%9."/>
      <w:lvlJc w:val="left"/>
      <w:pPr>
        <w:ind w:left="7659" w:hanging="284"/>
      </w:pPr>
      <w:rPr>
        <w:rFonts w:cs="Times New Roman" w:hint="default"/>
      </w:rPr>
    </w:lvl>
  </w:abstractNum>
  <w:abstractNum w:abstractNumId="39" w15:restartNumberingAfterBreak="0">
    <w:nsid w:val="77D17205"/>
    <w:multiLevelType w:val="multilevel"/>
    <w:tmpl w:val="54DCF7B8"/>
    <w:styleLink w:val="gfdjkhjl"/>
    <w:lvl w:ilvl="0">
      <w:start w:val="1"/>
      <w:numFmt w:val="bullet"/>
      <w:lvlText w:val=""/>
      <w:lvlJc w:val="left"/>
      <w:pPr>
        <w:ind w:left="851" w:hanging="369"/>
      </w:pPr>
      <w:rPr>
        <w:rFonts w:ascii="Wingdings" w:hAnsi="Wingdings" w:hint="default"/>
        <w:color w:val="auto"/>
        <w:sz w:val="28"/>
      </w:rPr>
    </w:lvl>
    <w:lvl w:ilvl="1">
      <w:start w:val="1"/>
      <w:numFmt w:val="lowerLetter"/>
      <w:lvlText w:val="%2)"/>
      <w:lvlJc w:val="left"/>
      <w:pPr>
        <w:ind w:left="1702" w:hanging="369"/>
      </w:pPr>
      <w:rPr>
        <w:rFonts w:cs="Times New Roman" w:hint="default"/>
      </w:rPr>
    </w:lvl>
    <w:lvl w:ilvl="2">
      <w:start w:val="1"/>
      <w:numFmt w:val="lowerRoman"/>
      <w:lvlText w:val="%3)"/>
      <w:lvlJc w:val="left"/>
      <w:pPr>
        <w:ind w:left="2553" w:hanging="369"/>
      </w:pPr>
      <w:rPr>
        <w:rFonts w:cs="Times New Roman" w:hint="default"/>
      </w:rPr>
    </w:lvl>
    <w:lvl w:ilvl="3">
      <w:start w:val="1"/>
      <w:numFmt w:val="decimal"/>
      <w:lvlText w:val="(%4)"/>
      <w:lvlJc w:val="left"/>
      <w:pPr>
        <w:ind w:left="3404" w:hanging="369"/>
      </w:pPr>
      <w:rPr>
        <w:rFonts w:cs="Times New Roman" w:hint="default"/>
      </w:rPr>
    </w:lvl>
    <w:lvl w:ilvl="4">
      <w:start w:val="1"/>
      <w:numFmt w:val="lowerLetter"/>
      <w:lvlText w:val="(%5)"/>
      <w:lvlJc w:val="left"/>
      <w:pPr>
        <w:ind w:left="4255" w:hanging="369"/>
      </w:pPr>
      <w:rPr>
        <w:rFonts w:cs="Times New Roman" w:hint="default"/>
      </w:rPr>
    </w:lvl>
    <w:lvl w:ilvl="5">
      <w:start w:val="1"/>
      <w:numFmt w:val="lowerRoman"/>
      <w:lvlText w:val="(%6)"/>
      <w:lvlJc w:val="left"/>
      <w:pPr>
        <w:ind w:left="5106" w:hanging="369"/>
      </w:pPr>
      <w:rPr>
        <w:rFonts w:cs="Times New Roman" w:hint="default"/>
      </w:rPr>
    </w:lvl>
    <w:lvl w:ilvl="6">
      <w:start w:val="1"/>
      <w:numFmt w:val="decimal"/>
      <w:lvlText w:val="%7."/>
      <w:lvlJc w:val="left"/>
      <w:pPr>
        <w:ind w:left="5957" w:hanging="369"/>
      </w:pPr>
      <w:rPr>
        <w:rFonts w:cs="Times New Roman" w:hint="default"/>
      </w:rPr>
    </w:lvl>
    <w:lvl w:ilvl="7">
      <w:start w:val="1"/>
      <w:numFmt w:val="lowerLetter"/>
      <w:lvlText w:val="%8."/>
      <w:lvlJc w:val="left"/>
      <w:pPr>
        <w:ind w:left="6808" w:hanging="369"/>
      </w:pPr>
      <w:rPr>
        <w:rFonts w:cs="Times New Roman" w:hint="default"/>
      </w:rPr>
    </w:lvl>
    <w:lvl w:ilvl="8">
      <w:start w:val="1"/>
      <w:numFmt w:val="lowerRoman"/>
      <w:lvlText w:val="%9."/>
      <w:lvlJc w:val="left"/>
      <w:pPr>
        <w:ind w:left="7659" w:hanging="369"/>
      </w:pPr>
      <w:rPr>
        <w:rFonts w:cs="Times New Roman" w:hint="default"/>
      </w:rPr>
    </w:lvl>
  </w:abstractNum>
  <w:abstractNum w:abstractNumId="40" w15:restartNumberingAfterBreak="0">
    <w:nsid w:val="79783D2A"/>
    <w:multiLevelType w:val="multilevel"/>
    <w:tmpl w:val="BA606B90"/>
    <w:styleLink w:val="hgfghfgkfj"/>
    <w:lvl w:ilvl="0">
      <w:start w:val="1"/>
      <w:numFmt w:val="bullet"/>
      <w:lvlText w:val=""/>
      <w:lvlJc w:val="left"/>
      <w:pPr>
        <w:ind w:left="624" w:hanging="340"/>
      </w:pPr>
      <w:rPr>
        <w:rFonts w:ascii="Symbol" w:hAnsi="Symbol" w:hint="default"/>
        <w:color w:val="auto"/>
        <w:sz w:val="28"/>
      </w:rPr>
    </w:lvl>
    <w:lvl w:ilvl="1">
      <w:start w:val="1"/>
      <w:numFmt w:val="lowerLetter"/>
      <w:lvlText w:val="%2)"/>
      <w:lvlJc w:val="left"/>
      <w:pPr>
        <w:ind w:left="1248" w:hanging="340"/>
      </w:pPr>
      <w:rPr>
        <w:rFonts w:cs="Times New Roman" w:hint="default"/>
      </w:rPr>
    </w:lvl>
    <w:lvl w:ilvl="2">
      <w:start w:val="1"/>
      <w:numFmt w:val="lowerRoman"/>
      <w:lvlText w:val="%3)"/>
      <w:lvlJc w:val="left"/>
      <w:pPr>
        <w:ind w:left="1872" w:hanging="340"/>
      </w:pPr>
      <w:rPr>
        <w:rFonts w:cs="Times New Roman" w:hint="default"/>
      </w:rPr>
    </w:lvl>
    <w:lvl w:ilvl="3">
      <w:start w:val="1"/>
      <w:numFmt w:val="decimal"/>
      <w:lvlText w:val="(%4)"/>
      <w:lvlJc w:val="left"/>
      <w:pPr>
        <w:ind w:left="2496" w:hanging="340"/>
      </w:pPr>
      <w:rPr>
        <w:rFonts w:cs="Times New Roman" w:hint="default"/>
      </w:rPr>
    </w:lvl>
    <w:lvl w:ilvl="4">
      <w:start w:val="1"/>
      <w:numFmt w:val="lowerLetter"/>
      <w:lvlText w:val="(%5)"/>
      <w:lvlJc w:val="left"/>
      <w:pPr>
        <w:ind w:left="3120" w:hanging="340"/>
      </w:pPr>
      <w:rPr>
        <w:rFonts w:cs="Times New Roman" w:hint="default"/>
      </w:rPr>
    </w:lvl>
    <w:lvl w:ilvl="5">
      <w:start w:val="1"/>
      <w:numFmt w:val="lowerRoman"/>
      <w:lvlText w:val="(%6)"/>
      <w:lvlJc w:val="left"/>
      <w:pPr>
        <w:ind w:left="3744" w:hanging="340"/>
      </w:pPr>
      <w:rPr>
        <w:rFonts w:cs="Times New Roman" w:hint="default"/>
      </w:rPr>
    </w:lvl>
    <w:lvl w:ilvl="6">
      <w:start w:val="1"/>
      <w:numFmt w:val="decimal"/>
      <w:lvlText w:val="%7."/>
      <w:lvlJc w:val="left"/>
      <w:pPr>
        <w:ind w:left="4368" w:hanging="340"/>
      </w:pPr>
      <w:rPr>
        <w:rFonts w:cs="Times New Roman" w:hint="default"/>
      </w:rPr>
    </w:lvl>
    <w:lvl w:ilvl="7">
      <w:start w:val="1"/>
      <w:numFmt w:val="lowerLetter"/>
      <w:lvlText w:val="%8."/>
      <w:lvlJc w:val="left"/>
      <w:pPr>
        <w:ind w:left="4992" w:hanging="340"/>
      </w:pPr>
      <w:rPr>
        <w:rFonts w:cs="Times New Roman" w:hint="default"/>
      </w:rPr>
    </w:lvl>
    <w:lvl w:ilvl="8">
      <w:start w:val="1"/>
      <w:numFmt w:val="lowerRoman"/>
      <w:lvlText w:val="%9."/>
      <w:lvlJc w:val="left"/>
      <w:pPr>
        <w:ind w:left="5616" w:hanging="340"/>
      </w:pPr>
      <w:rPr>
        <w:rFonts w:cs="Times New Roman" w:hint="default"/>
      </w:rPr>
    </w:lvl>
  </w:abstractNum>
  <w:abstractNum w:abstractNumId="41" w15:restartNumberingAfterBreak="0">
    <w:nsid w:val="7F552A73"/>
    <w:multiLevelType w:val="multilevel"/>
    <w:tmpl w:val="0DE670A6"/>
    <w:styleLink w:val="ab"/>
    <w:lvl w:ilvl="0">
      <w:start w:val="1"/>
      <w:numFmt w:val="bullet"/>
      <w:lvlText w:val=""/>
      <w:lvlJc w:val="left"/>
      <w:pPr>
        <w:ind w:left="624" w:hanging="426"/>
      </w:pPr>
      <w:rPr>
        <w:rFonts w:ascii="Symbol" w:hAnsi="Symbol" w:hint="default"/>
        <w:color w:val="auto"/>
        <w:sz w:val="28"/>
      </w:rPr>
    </w:lvl>
    <w:lvl w:ilvl="1">
      <w:start w:val="1"/>
      <w:numFmt w:val="lowerLetter"/>
      <w:lvlText w:val="%2)"/>
      <w:lvlJc w:val="left"/>
      <w:pPr>
        <w:ind w:left="1248" w:hanging="426"/>
      </w:pPr>
      <w:rPr>
        <w:rFonts w:cs="Times New Roman" w:hint="default"/>
      </w:rPr>
    </w:lvl>
    <w:lvl w:ilvl="2">
      <w:start w:val="1"/>
      <w:numFmt w:val="lowerRoman"/>
      <w:lvlText w:val="%3)"/>
      <w:lvlJc w:val="left"/>
      <w:pPr>
        <w:ind w:left="1872" w:hanging="426"/>
      </w:pPr>
      <w:rPr>
        <w:rFonts w:cs="Times New Roman" w:hint="default"/>
      </w:rPr>
    </w:lvl>
    <w:lvl w:ilvl="3">
      <w:start w:val="1"/>
      <w:numFmt w:val="decimal"/>
      <w:lvlText w:val="(%4)"/>
      <w:lvlJc w:val="left"/>
      <w:pPr>
        <w:ind w:left="2496" w:hanging="426"/>
      </w:pPr>
      <w:rPr>
        <w:rFonts w:cs="Times New Roman" w:hint="default"/>
      </w:rPr>
    </w:lvl>
    <w:lvl w:ilvl="4">
      <w:start w:val="1"/>
      <w:numFmt w:val="lowerLetter"/>
      <w:lvlText w:val="(%5)"/>
      <w:lvlJc w:val="left"/>
      <w:pPr>
        <w:ind w:left="3120" w:hanging="426"/>
      </w:pPr>
      <w:rPr>
        <w:rFonts w:cs="Times New Roman" w:hint="default"/>
      </w:rPr>
    </w:lvl>
    <w:lvl w:ilvl="5">
      <w:start w:val="1"/>
      <w:numFmt w:val="lowerRoman"/>
      <w:lvlText w:val="(%6)"/>
      <w:lvlJc w:val="left"/>
      <w:pPr>
        <w:ind w:left="3744" w:hanging="426"/>
      </w:pPr>
      <w:rPr>
        <w:rFonts w:cs="Times New Roman" w:hint="default"/>
      </w:rPr>
    </w:lvl>
    <w:lvl w:ilvl="6">
      <w:start w:val="1"/>
      <w:numFmt w:val="decimal"/>
      <w:lvlText w:val="%7."/>
      <w:lvlJc w:val="left"/>
      <w:pPr>
        <w:ind w:left="4368" w:hanging="426"/>
      </w:pPr>
      <w:rPr>
        <w:rFonts w:cs="Times New Roman" w:hint="default"/>
      </w:rPr>
    </w:lvl>
    <w:lvl w:ilvl="7">
      <w:start w:val="1"/>
      <w:numFmt w:val="lowerLetter"/>
      <w:lvlText w:val="%8."/>
      <w:lvlJc w:val="left"/>
      <w:pPr>
        <w:ind w:left="4992" w:hanging="426"/>
      </w:pPr>
      <w:rPr>
        <w:rFonts w:cs="Times New Roman" w:hint="default"/>
      </w:rPr>
    </w:lvl>
    <w:lvl w:ilvl="8">
      <w:start w:val="1"/>
      <w:numFmt w:val="lowerRoman"/>
      <w:lvlText w:val="%9."/>
      <w:lvlJc w:val="left"/>
      <w:pPr>
        <w:ind w:left="5616" w:hanging="426"/>
      </w:pPr>
      <w:rPr>
        <w:rFonts w:cs="Times New Roman" w:hint="default"/>
      </w:rPr>
    </w:lvl>
  </w:abstractNum>
  <w:num w:numId="1" w16cid:durableId="1997873309">
    <w:abstractNumId w:val="36"/>
  </w:num>
  <w:num w:numId="2" w16cid:durableId="468328727">
    <w:abstractNumId w:val="27"/>
  </w:num>
  <w:num w:numId="3" w16cid:durableId="2006008505">
    <w:abstractNumId w:val="14"/>
  </w:num>
  <w:num w:numId="4" w16cid:durableId="1027876707">
    <w:abstractNumId w:val="18"/>
  </w:num>
  <w:num w:numId="5" w16cid:durableId="1415663033">
    <w:abstractNumId w:val="38"/>
  </w:num>
  <w:num w:numId="6" w16cid:durableId="1095899882">
    <w:abstractNumId w:val="40"/>
  </w:num>
  <w:num w:numId="7" w16cid:durableId="961568947">
    <w:abstractNumId w:val="25"/>
  </w:num>
  <w:num w:numId="8" w16cid:durableId="1299843812">
    <w:abstractNumId w:val="41"/>
  </w:num>
  <w:num w:numId="9" w16cid:durableId="679310076">
    <w:abstractNumId w:val="16"/>
  </w:num>
  <w:num w:numId="10" w16cid:durableId="1597399521">
    <w:abstractNumId w:val="31"/>
  </w:num>
  <w:num w:numId="11" w16cid:durableId="1930652064">
    <w:abstractNumId w:val="39"/>
  </w:num>
  <w:num w:numId="12" w16cid:durableId="141625150">
    <w:abstractNumId w:val="12"/>
  </w:num>
  <w:num w:numId="13" w16cid:durableId="1290087163">
    <w:abstractNumId w:val="28"/>
  </w:num>
  <w:num w:numId="14" w16cid:durableId="585924333">
    <w:abstractNumId w:val="13"/>
  </w:num>
  <w:num w:numId="15" w16cid:durableId="748233514">
    <w:abstractNumId w:val="26"/>
  </w:num>
  <w:num w:numId="16" w16cid:durableId="2087416802">
    <w:abstractNumId w:val="30"/>
  </w:num>
  <w:num w:numId="17" w16cid:durableId="1200899634">
    <w:abstractNumId w:val="22"/>
  </w:num>
  <w:num w:numId="18" w16cid:durableId="1134834486">
    <w:abstractNumId w:val="29"/>
  </w:num>
  <w:num w:numId="19" w16cid:durableId="1865097763">
    <w:abstractNumId w:val="37"/>
  </w:num>
  <w:num w:numId="20" w16cid:durableId="1510438807">
    <w:abstractNumId w:val="17"/>
  </w:num>
  <w:num w:numId="21" w16cid:durableId="856040939">
    <w:abstractNumId w:val="19"/>
  </w:num>
  <w:num w:numId="22" w16cid:durableId="1402751865">
    <w:abstractNumId w:val="24"/>
  </w:num>
  <w:num w:numId="23" w16cid:durableId="1858425926">
    <w:abstractNumId w:val="34"/>
  </w:num>
  <w:num w:numId="24" w16cid:durableId="2000690590">
    <w:abstractNumId w:val="8"/>
  </w:num>
  <w:num w:numId="25" w16cid:durableId="1252079010">
    <w:abstractNumId w:val="3"/>
  </w:num>
  <w:num w:numId="26" w16cid:durableId="814372844">
    <w:abstractNumId w:val="2"/>
  </w:num>
  <w:num w:numId="27" w16cid:durableId="1763408934">
    <w:abstractNumId w:val="1"/>
  </w:num>
  <w:num w:numId="28" w16cid:durableId="2064602043">
    <w:abstractNumId w:val="0"/>
  </w:num>
  <w:num w:numId="29" w16cid:durableId="632759331">
    <w:abstractNumId w:val="9"/>
  </w:num>
  <w:num w:numId="30" w16cid:durableId="828791287">
    <w:abstractNumId w:val="7"/>
  </w:num>
  <w:num w:numId="31" w16cid:durableId="544679198">
    <w:abstractNumId w:val="6"/>
  </w:num>
  <w:num w:numId="32" w16cid:durableId="1044259681">
    <w:abstractNumId w:val="5"/>
  </w:num>
  <w:num w:numId="33" w16cid:durableId="585261578">
    <w:abstractNumId w:val="4"/>
  </w:num>
  <w:num w:numId="34" w16cid:durableId="1922594014">
    <w:abstractNumId w:val="21"/>
  </w:num>
  <w:num w:numId="35" w16cid:durableId="158470031">
    <w:abstractNumId w:val="33"/>
  </w:num>
  <w:num w:numId="36" w16cid:durableId="1128430342">
    <w:abstractNumId w:val="10"/>
  </w:num>
  <w:num w:numId="37" w16cid:durableId="1588618028">
    <w:abstractNumId w:val="23"/>
  </w:num>
  <w:num w:numId="38" w16cid:durableId="1819884275">
    <w:abstractNumId w:val="15"/>
  </w:num>
  <w:num w:numId="39" w16cid:durableId="1146430409">
    <w:abstractNumId w:val="32"/>
  </w:num>
  <w:num w:numId="40" w16cid:durableId="2001347316">
    <w:abstractNumId w:val="11"/>
  </w:num>
  <w:num w:numId="41" w16cid:durableId="597493812">
    <w:abstractNumId w:val="20"/>
  </w:num>
  <w:num w:numId="42" w16cid:durableId="106536976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93626421">
    <w:abstractNumId w:val="3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962"/>
    <w:rsid w:val="000007F6"/>
    <w:rsid w:val="0000092D"/>
    <w:rsid w:val="0000098A"/>
    <w:rsid w:val="00000DDE"/>
    <w:rsid w:val="00000E01"/>
    <w:rsid w:val="00000ED3"/>
    <w:rsid w:val="000011DC"/>
    <w:rsid w:val="000015D2"/>
    <w:rsid w:val="00001B1C"/>
    <w:rsid w:val="00002215"/>
    <w:rsid w:val="0000284F"/>
    <w:rsid w:val="0000289C"/>
    <w:rsid w:val="000028D6"/>
    <w:rsid w:val="00002CC4"/>
    <w:rsid w:val="00002DAA"/>
    <w:rsid w:val="000032B1"/>
    <w:rsid w:val="0000336F"/>
    <w:rsid w:val="000035C9"/>
    <w:rsid w:val="00003D49"/>
    <w:rsid w:val="00003D95"/>
    <w:rsid w:val="0000418D"/>
    <w:rsid w:val="00004B00"/>
    <w:rsid w:val="00004FDB"/>
    <w:rsid w:val="00005289"/>
    <w:rsid w:val="00005CDF"/>
    <w:rsid w:val="00005CE7"/>
    <w:rsid w:val="00005DF7"/>
    <w:rsid w:val="00006658"/>
    <w:rsid w:val="00006B92"/>
    <w:rsid w:val="00007408"/>
    <w:rsid w:val="00007E2C"/>
    <w:rsid w:val="00010229"/>
    <w:rsid w:val="00010249"/>
    <w:rsid w:val="00010437"/>
    <w:rsid w:val="000110EF"/>
    <w:rsid w:val="0001132A"/>
    <w:rsid w:val="00011331"/>
    <w:rsid w:val="00011695"/>
    <w:rsid w:val="000117A2"/>
    <w:rsid w:val="000125CF"/>
    <w:rsid w:val="00012612"/>
    <w:rsid w:val="00012F73"/>
    <w:rsid w:val="00013681"/>
    <w:rsid w:val="00013822"/>
    <w:rsid w:val="00013EC0"/>
    <w:rsid w:val="000144DF"/>
    <w:rsid w:val="00014B2B"/>
    <w:rsid w:val="000153E6"/>
    <w:rsid w:val="000159BE"/>
    <w:rsid w:val="0001610F"/>
    <w:rsid w:val="00016A1A"/>
    <w:rsid w:val="00016ECF"/>
    <w:rsid w:val="00017891"/>
    <w:rsid w:val="0001799C"/>
    <w:rsid w:val="00020CD1"/>
    <w:rsid w:val="00020D83"/>
    <w:rsid w:val="00020F37"/>
    <w:rsid w:val="000212B3"/>
    <w:rsid w:val="00021A58"/>
    <w:rsid w:val="000224BD"/>
    <w:rsid w:val="000226A5"/>
    <w:rsid w:val="000229CB"/>
    <w:rsid w:val="00022D3B"/>
    <w:rsid w:val="00022E56"/>
    <w:rsid w:val="00023C0B"/>
    <w:rsid w:val="000243A9"/>
    <w:rsid w:val="00024694"/>
    <w:rsid w:val="00024A3F"/>
    <w:rsid w:val="00024AE2"/>
    <w:rsid w:val="00024DB5"/>
    <w:rsid w:val="00024E5A"/>
    <w:rsid w:val="00024F08"/>
    <w:rsid w:val="00024F45"/>
    <w:rsid w:val="00025B4E"/>
    <w:rsid w:val="00025C66"/>
    <w:rsid w:val="00025F50"/>
    <w:rsid w:val="00026250"/>
    <w:rsid w:val="00026A79"/>
    <w:rsid w:val="00026C11"/>
    <w:rsid w:val="00026F89"/>
    <w:rsid w:val="00027033"/>
    <w:rsid w:val="0002741D"/>
    <w:rsid w:val="000274F8"/>
    <w:rsid w:val="00027D66"/>
    <w:rsid w:val="00027E9C"/>
    <w:rsid w:val="00030056"/>
    <w:rsid w:val="00030C06"/>
    <w:rsid w:val="00030C0F"/>
    <w:rsid w:val="00031230"/>
    <w:rsid w:val="00031E14"/>
    <w:rsid w:val="00031E2C"/>
    <w:rsid w:val="00031FE0"/>
    <w:rsid w:val="0003355C"/>
    <w:rsid w:val="00033E62"/>
    <w:rsid w:val="00033F02"/>
    <w:rsid w:val="00034A66"/>
    <w:rsid w:val="00034CFD"/>
    <w:rsid w:val="00035AFC"/>
    <w:rsid w:val="00035DC8"/>
    <w:rsid w:val="00035F43"/>
    <w:rsid w:val="0003635A"/>
    <w:rsid w:val="0003638A"/>
    <w:rsid w:val="0003673F"/>
    <w:rsid w:val="0003685D"/>
    <w:rsid w:val="00036CFA"/>
    <w:rsid w:val="00036FD7"/>
    <w:rsid w:val="00037593"/>
    <w:rsid w:val="00037D6E"/>
    <w:rsid w:val="0004010A"/>
    <w:rsid w:val="00040D7F"/>
    <w:rsid w:val="00041000"/>
    <w:rsid w:val="00041595"/>
    <w:rsid w:val="000416B0"/>
    <w:rsid w:val="00042170"/>
    <w:rsid w:val="000427FA"/>
    <w:rsid w:val="00043475"/>
    <w:rsid w:val="0004395C"/>
    <w:rsid w:val="00043D16"/>
    <w:rsid w:val="00043FFB"/>
    <w:rsid w:val="000449BE"/>
    <w:rsid w:val="00044AEA"/>
    <w:rsid w:val="00045FF5"/>
    <w:rsid w:val="00046312"/>
    <w:rsid w:val="00046510"/>
    <w:rsid w:val="000477F3"/>
    <w:rsid w:val="00050464"/>
    <w:rsid w:val="000507CB"/>
    <w:rsid w:val="000509C5"/>
    <w:rsid w:val="000509F0"/>
    <w:rsid w:val="00050A6F"/>
    <w:rsid w:val="00051B62"/>
    <w:rsid w:val="00051F9F"/>
    <w:rsid w:val="00052300"/>
    <w:rsid w:val="00052FBC"/>
    <w:rsid w:val="00053676"/>
    <w:rsid w:val="00053E1F"/>
    <w:rsid w:val="00053F49"/>
    <w:rsid w:val="00053F66"/>
    <w:rsid w:val="00054DB9"/>
    <w:rsid w:val="00055247"/>
    <w:rsid w:val="00055365"/>
    <w:rsid w:val="00055676"/>
    <w:rsid w:val="000557C1"/>
    <w:rsid w:val="00055EEA"/>
    <w:rsid w:val="00056A10"/>
    <w:rsid w:val="0005730A"/>
    <w:rsid w:val="00057C40"/>
    <w:rsid w:val="00060A31"/>
    <w:rsid w:val="00060A79"/>
    <w:rsid w:val="0006153D"/>
    <w:rsid w:val="00061CBB"/>
    <w:rsid w:val="00062269"/>
    <w:rsid w:val="0006263D"/>
    <w:rsid w:val="000629BE"/>
    <w:rsid w:val="00062B5D"/>
    <w:rsid w:val="000631A0"/>
    <w:rsid w:val="0006327B"/>
    <w:rsid w:val="0006391C"/>
    <w:rsid w:val="00063CFB"/>
    <w:rsid w:val="00064069"/>
    <w:rsid w:val="0006612A"/>
    <w:rsid w:val="00066219"/>
    <w:rsid w:val="0006622F"/>
    <w:rsid w:val="00066677"/>
    <w:rsid w:val="00066C9E"/>
    <w:rsid w:val="00066FE5"/>
    <w:rsid w:val="00070196"/>
    <w:rsid w:val="00072460"/>
    <w:rsid w:val="000725EB"/>
    <w:rsid w:val="00073220"/>
    <w:rsid w:val="00073E46"/>
    <w:rsid w:val="00074154"/>
    <w:rsid w:val="00074403"/>
    <w:rsid w:val="000746B8"/>
    <w:rsid w:val="00074E78"/>
    <w:rsid w:val="00075013"/>
    <w:rsid w:val="0007652D"/>
    <w:rsid w:val="000767BF"/>
    <w:rsid w:val="0007704C"/>
    <w:rsid w:val="000771D1"/>
    <w:rsid w:val="000779E5"/>
    <w:rsid w:val="00077A27"/>
    <w:rsid w:val="000804E2"/>
    <w:rsid w:val="00080654"/>
    <w:rsid w:val="000806C4"/>
    <w:rsid w:val="000807E5"/>
    <w:rsid w:val="0008090E"/>
    <w:rsid w:val="00080BA0"/>
    <w:rsid w:val="000814B8"/>
    <w:rsid w:val="0008169B"/>
    <w:rsid w:val="00081961"/>
    <w:rsid w:val="00081F14"/>
    <w:rsid w:val="000820A1"/>
    <w:rsid w:val="0008261D"/>
    <w:rsid w:val="00083BA9"/>
    <w:rsid w:val="00083C16"/>
    <w:rsid w:val="00083EF5"/>
    <w:rsid w:val="00084639"/>
    <w:rsid w:val="00085224"/>
    <w:rsid w:val="000855AD"/>
    <w:rsid w:val="000859FC"/>
    <w:rsid w:val="00086096"/>
    <w:rsid w:val="000860E3"/>
    <w:rsid w:val="000862B5"/>
    <w:rsid w:val="00086CDA"/>
    <w:rsid w:val="00086DA7"/>
    <w:rsid w:val="00087035"/>
    <w:rsid w:val="0008717B"/>
    <w:rsid w:val="00087483"/>
    <w:rsid w:val="00087863"/>
    <w:rsid w:val="00087CD1"/>
    <w:rsid w:val="00087F47"/>
    <w:rsid w:val="000902BF"/>
    <w:rsid w:val="00090CCF"/>
    <w:rsid w:val="00090FD0"/>
    <w:rsid w:val="00091400"/>
    <w:rsid w:val="00091560"/>
    <w:rsid w:val="000918AD"/>
    <w:rsid w:val="00091BBC"/>
    <w:rsid w:val="0009267A"/>
    <w:rsid w:val="00092C58"/>
    <w:rsid w:val="00092F52"/>
    <w:rsid w:val="000936B8"/>
    <w:rsid w:val="000944AE"/>
    <w:rsid w:val="0009474E"/>
    <w:rsid w:val="000948C5"/>
    <w:rsid w:val="0009563E"/>
    <w:rsid w:val="00095693"/>
    <w:rsid w:val="000959D8"/>
    <w:rsid w:val="0009690E"/>
    <w:rsid w:val="00097298"/>
    <w:rsid w:val="00097761"/>
    <w:rsid w:val="000A018C"/>
    <w:rsid w:val="000A03D1"/>
    <w:rsid w:val="000A0712"/>
    <w:rsid w:val="000A0ADD"/>
    <w:rsid w:val="000A0C21"/>
    <w:rsid w:val="000A1302"/>
    <w:rsid w:val="000A15E7"/>
    <w:rsid w:val="000A1741"/>
    <w:rsid w:val="000A1B9B"/>
    <w:rsid w:val="000A279E"/>
    <w:rsid w:val="000A2C0E"/>
    <w:rsid w:val="000A2C68"/>
    <w:rsid w:val="000A3256"/>
    <w:rsid w:val="000A3335"/>
    <w:rsid w:val="000A3487"/>
    <w:rsid w:val="000A4159"/>
    <w:rsid w:val="000A4F77"/>
    <w:rsid w:val="000A51C8"/>
    <w:rsid w:val="000A5C91"/>
    <w:rsid w:val="000A651D"/>
    <w:rsid w:val="000A653B"/>
    <w:rsid w:val="000A666D"/>
    <w:rsid w:val="000A6770"/>
    <w:rsid w:val="000A6789"/>
    <w:rsid w:val="000A68E1"/>
    <w:rsid w:val="000A6F74"/>
    <w:rsid w:val="000A7133"/>
    <w:rsid w:val="000A7C52"/>
    <w:rsid w:val="000A7CDB"/>
    <w:rsid w:val="000A7FB7"/>
    <w:rsid w:val="000B0261"/>
    <w:rsid w:val="000B105D"/>
    <w:rsid w:val="000B152F"/>
    <w:rsid w:val="000B209F"/>
    <w:rsid w:val="000B2DE9"/>
    <w:rsid w:val="000B3050"/>
    <w:rsid w:val="000B3695"/>
    <w:rsid w:val="000B36E4"/>
    <w:rsid w:val="000B3966"/>
    <w:rsid w:val="000B3AA7"/>
    <w:rsid w:val="000B4E42"/>
    <w:rsid w:val="000B4E48"/>
    <w:rsid w:val="000B512B"/>
    <w:rsid w:val="000B6217"/>
    <w:rsid w:val="000B676B"/>
    <w:rsid w:val="000B6BBD"/>
    <w:rsid w:val="000B70A3"/>
    <w:rsid w:val="000B794F"/>
    <w:rsid w:val="000C0173"/>
    <w:rsid w:val="000C057B"/>
    <w:rsid w:val="000C075D"/>
    <w:rsid w:val="000C07AF"/>
    <w:rsid w:val="000C0CFD"/>
    <w:rsid w:val="000C0F09"/>
    <w:rsid w:val="000C129C"/>
    <w:rsid w:val="000C1443"/>
    <w:rsid w:val="000C1956"/>
    <w:rsid w:val="000C1FDC"/>
    <w:rsid w:val="000C2208"/>
    <w:rsid w:val="000C2365"/>
    <w:rsid w:val="000C26E8"/>
    <w:rsid w:val="000C3A2F"/>
    <w:rsid w:val="000C3C8E"/>
    <w:rsid w:val="000C408B"/>
    <w:rsid w:val="000C4158"/>
    <w:rsid w:val="000C447A"/>
    <w:rsid w:val="000C4C56"/>
    <w:rsid w:val="000C55CD"/>
    <w:rsid w:val="000C5A90"/>
    <w:rsid w:val="000C6447"/>
    <w:rsid w:val="000C6695"/>
    <w:rsid w:val="000C6993"/>
    <w:rsid w:val="000C6D97"/>
    <w:rsid w:val="000C6EAF"/>
    <w:rsid w:val="000C7829"/>
    <w:rsid w:val="000C7A92"/>
    <w:rsid w:val="000D03B4"/>
    <w:rsid w:val="000D0512"/>
    <w:rsid w:val="000D1572"/>
    <w:rsid w:val="000D1E4C"/>
    <w:rsid w:val="000D29A6"/>
    <w:rsid w:val="000D2A76"/>
    <w:rsid w:val="000D3D91"/>
    <w:rsid w:val="000D3FE0"/>
    <w:rsid w:val="000D400B"/>
    <w:rsid w:val="000D424B"/>
    <w:rsid w:val="000D4298"/>
    <w:rsid w:val="000D4553"/>
    <w:rsid w:val="000D4CF9"/>
    <w:rsid w:val="000D4D4B"/>
    <w:rsid w:val="000D551E"/>
    <w:rsid w:val="000D5E7C"/>
    <w:rsid w:val="000D66CE"/>
    <w:rsid w:val="000D6723"/>
    <w:rsid w:val="000D67F1"/>
    <w:rsid w:val="000D73A6"/>
    <w:rsid w:val="000D7C2E"/>
    <w:rsid w:val="000E0DCF"/>
    <w:rsid w:val="000E20DD"/>
    <w:rsid w:val="000E2763"/>
    <w:rsid w:val="000E2C88"/>
    <w:rsid w:val="000E3094"/>
    <w:rsid w:val="000E370F"/>
    <w:rsid w:val="000E4603"/>
    <w:rsid w:val="000E4779"/>
    <w:rsid w:val="000E47B2"/>
    <w:rsid w:val="000E5359"/>
    <w:rsid w:val="000E5AF7"/>
    <w:rsid w:val="000E5D3D"/>
    <w:rsid w:val="000E6407"/>
    <w:rsid w:val="000E75B4"/>
    <w:rsid w:val="000E7786"/>
    <w:rsid w:val="000F0177"/>
    <w:rsid w:val="000F0B01"/>
    <w:rsid w:val="000F17CD"/>
    <w:rsid w:val="000F18DA"/>
    <w:rsid w:val="000F1B5D"/>
    <w:rsid w:val="000F1CCF"/>
    <w:rsid w:val="000F2339"/>
    <w:rsid w:val="000F3768"/>
    <w:rsid w:val="000F39D7"/>
    <w:rsid w:val="000F3EB3"/>
    <w:rsid w:val="000F3EC3"/>
    <w:rsid w:val="000F43C8"/>
    <w:rsid w:val="000F47C4"/>
    <w:rsid w:val="000F511B"/>
    <w:rsid w:val="000F5AA1"/>
    <w:rsid w:val="000F5CB5"/>
    <w:rsid w:val="000F5D5A"/>
    <w:rsid w:val="000F5E9B"/>
    <w:rsid w:val="000F6239"/>
    <w:rsid w:val="000F71B6"/>
    <w:rsid w:val="000F7BCD"/>
    <w:rsid w:val="001012BD"/>
    <w:rsid w:val="001017E0"/>
    <w:rsid w:val="00101B98"/>
    <w:rsid w:val="00102611"/>
    <w:rsid w:val="00102D8D"/>
    <w:rsid w:val="00103654"/>
    <w:rsid w:val="00103F43"/>
    <w:rsid w:val="0010425A"/>
    <w:rsid w:val="00104B99"/>
    <w:rsid w:val="00104D06"/>
    <w:rsid w:val="00104D10"/>
    <w:rsid w:val="001058B2"/>
    <w:rsid w:val="00106846"/>
    <w:rsid w:val="00106C18"/>
    <w:rsid w:val="0010725A"/>
    <w:rsid w:val="00110D5A"/>
    <w:rsid w:val="00110EEB"/>
    <w:rsid w:val="0011145E"/>
    <w:rsid w:val="0011232B"/>
    <w:rsid w:val="00112632"/>
    <w:rsid w:val="00113237"/>
    <w:rsid w:val="00113F1D"/>
    <w:rsid w:val="001140FF"/>
    <w:rsid w:val="0011410A"/>
    <w:rsid w:val="0011431E"/>
    <w:rsid w:val="001144DE"/>
    <w:rsid w:val="00114D86"/>
    <w:rsid w:val="00114E5A"/>
    <w:rsid w:val="0011532C"/>
    <w:rsid w:val="00116C75"/>
    <w:rsid w:val="00117666"/>
    <w:rsid w:val="00117B62"/>
    <w:rsid w:val="00117EE7"/>
    <w:rsid w:val="00120166"/>
    <w:rsid w:val="001210D9"/>
    <w:rsid w:val="0012166E"/>
    <w:rsid w:val="00121693"/>
    <w:rsid w:val="00121737"/>
    <w:rsid w:val="0012188D"/>
    <w:rsid w:val="001218E3"/>
    <w:rsid w:val="00121EE4"/>
    <w:rsid w:val="00121F9C"/>
    <w:rsid w:val="00122127"/>
    <w:rsid w:val="00122C0F"/>
    <w:rsid w:val="00123131"/>
    <w:rsid w:val="00123503"/>
    <w:rsid w:val="00124C97"/>
    <w:rsid w:val="00124E5C"/>
    <w:rsid w:val="0012534F"/>
    <w:rsid w:val="001254F7"/>
    <w:rsid w:val="001263DF"/>
    <w:rsid w:val="00126885"/>
    <w:rsid w:val="00126B1A"/>
    <w:rsid w:val="0012735D"/>
    <w:rsid w:val="001273DA"/>
    <w:rsid w:val="00127870"/>
    <w:rsid w:val="00127B55"/>
    <w:rsid w:val="00127C35"/>
    <w:rsid w:val="00127D30"/>
    <w:rsid w:val="001304D8"/>
    <w:rsid w:val="00130DCB"/>
    <w:rsid w:val="00131046"/>
    <w:rsid w:val="0013109D"/>
    <w:rsid w:val="00131833"/>
    <w:rsid w:val="00131E4E"/>
    <w:rsid w:val="00131EC8"/>
    <w:rsid w:val="001325CC"/>
    <w:rsid w:val="00133008"/>
    <w:rsid w:val="001346FD"/>
    <w:rsid w:val="00134801"/>
    <w:rsid w:val="00134B0D"/>
    <w:rsid w:val="001350DC"/>
    <w:rsid w:val="001358C6"/>
    <w:rsid w:val="0013676A"/>
    <w:rsid w:val="00136C91"/>
    <w:rsid w:val="00137018"/>
    <w:rsid w:val="0013741A"/>
    <w:rsid w:val="00137FD4"/>
    <w:rsid w:val="00141125"/>
    <w:rsid w:val="00141ABD"/>
    <w:rsid w:val="00142738"/>
    <w:rsid w:val="0014293B"/>
    <w:rsid w:val="00143C18"/>
    <w:rsid w:val="001444AE"/>
    <w:rsid w:val="00144BB0"/>
    <w:rsid w:val="00144C7A"/>
    <w:rsid w:val="00144ED4"/>
    <w:rsid w:val="00145A52"/>
    <w:rsid w:val="00145D66"/>
    <w:rsid w:val="00146503"/>
    <w:rsid w:val="0014696C"/>
    <w:rsid w:val="00147DE3"/>
    <w:rsid w:val="001517A3"/>
    <w:rsid w:val="00151BE8"/>
    <w:rsid w:val="00151D60"/>
    <w:rsid w:val="00152151"/>
    <w:rsid w:val="001522F5"/>
    <w:rsid w:val="00153F8F"/>
    <w:rsid w:val="0015484F"/>
    <w:rsid w:val="00155061"/>
    <w:rsid w:val="00156536"/>
    <w:rsid w:val="00156ED8"/>
    <w:rsid w:val="0015767A"/>
    <w:rsid w:val="00157BD0"/>
    <w:rsid w:val="0016041D"/>
    <w:rsid w:val="00160790"/>
    <w:rsid w:val="001615B9"/>
    <w:rsid w:val="0016193A"/>
    <w:rsid w:val="001620F9"/>
    <w:rsid w:val="00162CAA"/>
    <w:rsid w:val="00162F0C"/>
    <w:rsid w:val="00163763"/>
    <w:rsid w:val="00163D5C"/>
    <w:rsid w:val="00163DB0"/>
    <w:rsid w:val="0016440C"/>
    <w:rsid w:val="00164AC4"/>
    <w:rsid w:val="00164BD2"/>
    <w:rsid w:val="00164CF7"/>
    <w:rsid w:val="00164CF9"/>
    <w:rsid w:val="00165121"/>
    <w:rsid w:val="001652C7"/>
    <w:rsid w:val="00165930"/>
    <w:rsid w:val="00165A76"/>
    <w:rsid w:val="00165CF9"/>
    <w:rsid w:val="00166156"/>
    <w:rsid w:val="00166255"/>
    <w:rsid w:val="00166369"/>
    <w:rsid w:val="00166389"/>
    <w:rsid w:val="00166E5D"/>
    <w:rsid w:val="00167080"/>
    <w:rsid w:val="001674FA"/>
    <w:rsid w:val="001677A8"/>
    <w:rsid w:val="001678FD"/>
    <w:rsid w:val="00167A6D"/>
    <w:rsid w:val="001702FD"/>
    <w:rsid w:val="00170465"/>
    <w:rsid w:val="001713A5"/>
    <w:rsid w:val="001715B4"/>
    <w:rsid w:val="0017256A"/>
    <w:rsid w:val="00172769"/>
    <w:rsid w:val="00172B6C"/>
    <w:rsid w:val="00172EEC"/>
    <w:rsid w:val="0017349B"/>
    <w:rsid w:val="001735DD"/>
    <w:rsid w:val="00173601"/>
    <w:rsid w:val="00173899"/>
    <w:rsid w:val="00173A6B"/>
    <w:rsid w:val="00174F74"/>
    <w:rsid w:val="00175243"/>
    <w:rsid w:val="0017545F"/>
    <w:rsid w:val="00175934"/>
    <w:rsid w:val="001762D4"/>
    <w:rsid w:val="001764A8"/>
    <w:rsid w:val="001766C9"/>
    <w:rsid w:val="00177701"/>
    <w:rsid w:val="0018019D"/>
    <w:rsid w:val="001808F7"/>
    <w:rsid w:val="00180E1D"/>
    <w:rsid w:val="001814C0"/>
    <w:rsid w:val="00181A8B"/>
    <w:rsid w:val="00181BEE"/>
    <w:rsid w:val="001821D7"/>
    <w:rsid w:val="00182EE3"/>
    <w:rsid w:val="001837F3"/>
    <w:rsid w:val="00183A25"/>
    <w:rsid w:val="00183B8F"/>
    <w:rsid w:val="00184F33"/>
    <w:rsid w:val="00185D11"/>
    <w:rsid w:val="0018618A"/>
    <w:rsid w:val="001863D9"/>
    <w:rsid w:val="0018669E"/>
    <w:rsid w:val="00186FC2"/>
    <w:rsid w:val="00187249"/>
    <w:rsid w:val="001873EF"/>
    <w:rsid w:val="0019049B"/>
    <w:rsid w:val="001905A8"/>
    <w:rsid w:val="001907E3"/>
    <w:rsid w:val="00190AA2"/>
    <w:rsid w:val="00190B39"/>
    <w:rsid w:val="00190CB3"/>
    <w:rsid w:val="00190F4A"/>
    <w:rsid w:val="00191114"/>
    <w:rsid w:val="001911A1"/>
    <w:rsid w:val="00191218"/>
    <w:rsid w:val="001914B7"/>
    <w:rsid w:val="00191D01"/>
    <w:rsid w:val="00192CEE"/>
    <w:rsid w:val="00192E4D"/>
    <w:rsid w:val="00192EAC"/>
    <w:rsid w:val="0019391C"/>
    <w:rsid w:val="001944B6"/>
    <w:rsid w:val="00194731"/>
    <w:rsid w:val="00194948"/>
    <w:rsid w:val="001949BF"/>
    <w:rsid w:val="001952B0"/>
    <w:rsid w:val="0019540A"/>
    <w:rsid w:val="0019547A"/>
    <w:rsid w:val="001957A3"/>
    <w:rsid w:val="00196028"/>
    <w:rsid w:val="001969A7"/>
    <w:rsid w:val="0019725C"/>
    <w:rsid w:val="001975B6"/>
    <w:rsid w:val="00197829"/>
    <w:rsid w:val="001979E6"/>
    <w:rsid w:val="00197B33"/>
    <w:rsid w:val="001A06B4"/>
    <w:rsid w:val="001A0AD9"/>
    <w:rsid w:val="001A112F"/>
    <w:rsid w:val="001A1D2E"/>
    <w:rsid w:val="001A23EB"/>
    <w:rsid w:val="001A24D8"/>
    <w:rsid w:val="001A2738"/>
    <w:rsid w:val="001A3ABD"/>
    <w:rsid w:val="001A435E"/>
    <w:rsid w:val="001A4605"/>
    <w:rsid w:val="001A48B0"/>
    <w:rsid w:val="001A4AA1"/>
    <w:rsid w:val="001A4B25"/>
    <w:rsid w:val="001A4CB9"/>
    <w:rsid w:val="001A4DCA"/>
    <w:rsid w:val="001A5349"/>
    <w:rsid w:val="001A5BF3"/>
    <w:rsid w:val="001A5DEF"/>
    <w:rsid w:val="001A60C8"/>
    <w:rsid w:val="001A6438"/>
    <w:rsid w:val="001A68A9"/>
    <w:rsid w:val="001A7239"/>
    <w:rsid w:val="001A78BF"/>
    <w:rsid w:val="001B0475"/>
    <w:rsid w:val="001B15AF"/>
    <w:rsid w:val="001B16B3"/>
    <w:rsid w:val="001B1CBF"/>
    <w:rsid w:val="001B2340"/>
    <w:rsid w:val="001B2372"/>
    <w:rsid w:val="001B26BE"/>
    <w:rsid w:val="001B2851"/>
    <w:rsid w:val="001B2B02"/>
    <w:rsid w:val="001B3778"/>
    <w:rsid w:val="001B4E9F"/>
    <w:rsid w:val="001B4F51"/>
    <w:rsid w:val="001B5863"/>
    <w:rsid w:val="001B5E50"/>
    <w:rsid w:val="001B63AC"/>
    <w:rsid w:val="001B6616"/>
    <w:rsid w:val="001B6801"/>
    <w:rsid w:val="001B6BFD"/>
    <w:rsid w:val="001B6CC0"/>
    <w:rsid w:val="001B6E92"/>
    <w:rsid w:val="001B79F7"/>
    <w:rsid w:val="001B7A7A"/>
    <w:rsid w:val="001B7BE6"/>
    <w:rsid w:val="001B7DD7"/>
    <w:rsid w:val="001C030B"/>
    <w:rsid w:val="001C06C7"/>
    <w:rsid w:val="001C0768"/>
    <w:rsid w:val="001C0A3E"/>
    <w:rsid w:val="001C0BD1"/>
    <w:rsid w:val="001C163D"/>
    <w:rsid w:val="001C1C04"/>
    <w:rsid w:val="001C1C34"/>
    <w:rsid w:val="001C23FC"/>
    <w:rsid w:val="001C2A31"/>
    <w:rsid w:val="001C2C47"/>
    <w:rsid w:val="001C2CF3"/>
    <w:rsid w:val="001C2DAB"/>
    <w:rsid w:val="001C3195"/>
    <w:rsid w:val="001C3752"/>
    <w:rsid w:val="001C45F8"/>
    <w:rsid w:val="001C4AC5"/>
    <w:rsid w:val="001C4B1F"/>
    <w:rsid w:val="001C4D56"/>
    <w:rsid w:val="001C5511"/>
    <w:rsid w:val="001C6133"/>
    <w:rsid w:val="001C6AB7"/>
    <w:rsid w:val="001C7614"/>
    <w:rsid w:val="001C7718"/>
    <w:rsid w:val="001C7D45"/>
    <w:rsid w:val="001C7DD6"/>
    <w:rsid w:val="001D0468"/>
    <w:rsid w:val="001D0847"/>
    <w:rsid w:val="001D099B"/>
    <w:rsid w:val="001D0C17"/>
    <w:rsid w:val="001D0DA5"/>
    <w:rsid w:val="001D0E15"/>
    <w:rsid w:val="001D12B3"/>
    <w:rsid w:val="001D1F13"/>
    <w:rsid w:val="001D2212"/>
    <w:rsid w:val="001D298F"/>
    <w:rsid w:val="001D3697"/>
    <w:rsid w:val="001D3A56"/>
    <w:rsid w:val="001D3C72"/>
    <w:rsid w:val="001D3CEB"/>
    <w:rsid w:val="001D3DC5"/>
    <w:rsid w:val="001D48CF"/>
    <w:rsid w:val="001D4A68"/>
    <w:rsid w:val="001D4B4B"/>
    <w:rsid w:val="001D4C84"/>
    <w:rsid w:val="001D515B"/>
    <w:rsid w:val="001D527E"/>
    <w:rsid w:val="001D5368"/>
    <w:rsid w:val="001D5543"/>
    <w:rsid w:val="001D575C"/>
    <w:rsid w:val="001D6B55"/>
    <w:rsid w:val="001D703C"/>
    <w:rsid w:val="001D733A"/>
    <w:rsid w:val="001D7861"/>
    <w:rsid w:val="001D7E3A"/>
    <w:rsid w:val="001E09A4"/>
    <w:rsid w:val="001E0A0C"/>
    <w:rsid w:val="001E0AC5"/>
    <w:rsid w:val="001E0AE2"/>
    <w:rsid w:val="001E0DF1"/>
    <w:rsid w:val="001E1A06"/>
    <w:rsid w:val="001E1A7D"/>
    <w:rsid w:val="001E1EC3"/>
    <w:rsid w:val="001E2A03"/>
    <w:rsid w:val="001E31C1"/>
    <w:rsid w:val="001E394D"/>
    <w:rsid w:val="001E3F02"/>
    <w:rsid w:val="001E5056"/>
    <w:rsid w:val="001E570E"/>
    <w:rsid w:val="001E6563"/>
    <w:rsid w:val="001E76E4"/>
    <w:rsid w:val="001E7846"/>
    <w:rsid w:val="001F0457"/>
    <w:rsid w:val="001F0883"/>
    <w:rsid w:val="001F09E7"/>
    <w:rsid w:val="001F12CE"/>
    <w:rsid w:val="001F1C39"/>
    <w:rsid w:val="001F1E57"/>
    <w:rsid w:val="001F224F"/>
    <w:rsid w:val="001F230F"/>
    <w:rsid w:val="001F286B"/>
    <w:rsid w:val="001F31FD"/>
    <w:rsid w:val="001F3461"/>
    <w:rsid w:val="001F3534"/>
    <w:rsid w:val="001F35C2"/>
    <w:rsid w:val="001F4022"/>
    <w:rsid w:val="001F419F"/>
    <w:rsid w:val="001F49D8"/>
    <w:rsid w:val="001F4A17"/>
    <w:rsid w:val="001F545E"/>
    <w:rsid w:val="001F59E7"/>
    <w:rsid w:val="001F5C3C"/>
    <w:rsid w:val="001F5F9E"/>
    <w:rsid w:val="001F6006"/>
    <w:rsid w:val="001F6067"/>
    <w:rsid w:val="001F6BA3"/>
    <w:rsid w:val="001F7096"/>
    <w:rsid w:val="001F75AF"/>
    <w:rsid w:val="001F78C9"/>
    <w:rsid w:val="001F78DA"/>
    <w:rsid w:val="001F7E4C"/>
    <w:rsid w:val="00200104"/>
    <w:rsid w:val="00200151"/>
    <w:rsid w:val="00200187"/>
    <w:rsid w:val="0020022C"/>
    <w:rsid w:val="00200BB0"/>
    <w:rsid w:val="00201F61"/>
    <w:rsid w:val="002029E2"/>
    <w:rsid w:val="00202D0C"/>
    <w:rsid w:val="00203984"/>
    <w:rsid w:val="00203C7C"/>
    <w:rsid w:val="0020548C"/>
    <w:rsid w:val="002058B2"/>
    <w:rsid w:val="00205919"/>
    <w:rsid w:val="00206DCF"/>
    <w:rsid w:val="00207309"/>
    <w:rsid w:val="00207800"/>
    <w:rsid w:val="00207883"/>
    <w:rsid w:val="002078CD"/>
    <w:rsid w:val="00210130"/>
    <w:rsid w:val="002111F9"/>
    <w:rsid w:val="0021121F"/>
    <w:rsid w:val="00211296"/>
    <w:rsid w:val="00211ACF"/>
    <w:rsid w:val="00211B5D"/>
    <w:rsid w:val="00211D13"/>
    <w:rsid w:val="00211F31"/>
    <w:rsid w:val="0021215A"/>
    <w:rsid w:val="002123DC"/>
    <w:rsid w:val="00212713"/>
    <w:rsid w:val="0021326E"/>
    <w:rsid w:val="00213353"/>
    <w:rsid w:val="002138F7"/>
    <w:rsid w:val="002138FC"/>
    <w:rsid w:val="00213CB1"/>
    <w:rsid w:val="0021457C"/>
    <w:rsid w:val="002149AD"/>
    <w:rsid w:val="00214A55"/>
    <w:rsid w:val="0021500B"/>
    <w:rsid w:val="00215084"/>
    <w:rsid w:val="00215739"/>
    <w:rsid w:val="00215831"/>
    <w:rsid w:val="0021689A"/>
    <w:rsid w:val="00216CE9"/>
    <w:rsid w:val="002171AC"/>
    <w:rsid w:val="00217C26"/>
    <w:rsid w:val="0022050E"/>
    <w:rsid w:val="00220723"/>
    <w:rsid w:val="00220C05"/>
    <w:rsid w:val="00220C5C"/>
    <w:rsid w:val="00221F8D"/>
    <w:rsid w:val="00222770"/>
    <w:rsid w:val="00222E54"/>
    <w:rsid w:val="00225183"/>
    <w:rsid w:val="002252F8"/>
    <w:rsid w:val="0022547E"/>
    <w:rsid w:val="00225CA6"/>
    <w:rsid w:val="00226985"/>
    <w:rsid w:val="00226A6B"/>
    <w:rsid w:val="00227626"/>
    <w:rsid w:val="00227A2A"/>
    <w:rsid w:val="00227C6D"/>
    <w:rsid w:val="00227E0D"/>
    <w:rsid w:val="0023116F"/>
    <w:rsid w:val="0023163B"/>
    <w:rsid w:val="00231D33"/>
    <w:rsid w:val="00232CCB"/>
    <w:rsid w:val="0023313F"/>
    <w:rsid w:val="002333F9"/>
    <w:rsid w:val="00233C93"/>
    <w:rsid w:val="00233DC0"/>
    <w:rsid w:val="0023498E"/>
    <w:rsid w:val="00234C77"/>
    <w:rsid w:val="002352A1"/>
    <w:rsid w:val="00235B6F"/>
    <w:rsid w:val="0023628E"/>
    <w:rsid w:val="00236895"/>
    <w:rsid w:val="00236AA7"/>
    <w:rsid w:val="00237BED"/>
    <w:rsid w:val="00237D83"/>
    <w:rsid w:val="00237E5C"/>
    <w:rsid w:val="00240258"/>
    <w:rsid w:val="00241A25"/>
    <w:rsid w:val="00241B9C"/>
    <w:rsid w:val="00241C7B"/>
    <w:rsid w:val="00241F53"/>
    <w:rsid w:val="002424E0"/>
    <w:rsid w:val="00242F39"/>
    <w:rsid w:val="00244B5A"/>
    <w:rsid w:val="0024532D"/>
    <w:rsid w:val="00246518"/>
    <w:rsid w:val="00246B7C"/>
    <w:rsid w:val="00250EC1"/>
    <w:rsid w:val="002515C8"/>
    <w:rsid w:val="00251E59"/>
    <w:rsid w:val="0025206D"/>
    <w:rsid w:val="00252564"/>
    <w:rsid w:val="00252639"/>
    <w:rsid w:val="00252AC4"/>
    <w:rsid w:val="00253010"/>
    <w:rsid w:val="0025313E"/>
    <w:rsid w:val="002535A4"/>
    <w:rsid w:val="00253720"/>
    <w:rsid w:val="00254360"/>
    <w:rsid w:val="002543AC"/>
    <w:rsid w:val="00254963"/>
    <w:rsid w:val="0025497C"/>
    <w:rsid w:val="00254C36"/>
    <w:rsid w:val="00254C8F"/>
    <w:rsid w:val="00254DBA"/>
    <w:rsid w:val="002550A9"/>
    <w:rsid w:val="002558EB"/>
    <w:rsid w:val="002560B4"/>
    <w:rsid w:val="00257657"/>
    <w:rsid w:val="00257854"/>
    <w:rsid w:val="00257C6E"/>
    <w:rsid w:val="00257D6E"/>
    <w:rsid w:val="00257F66"/>
    <w:rsid w:val="00260C9A"/>
    <w:rsid w:val="0026116A"/>
    <w:rsid w:val="0026167A"/>
    <w:rsid w:val="00261B02"/>
    <w:rsid w:val="00261B3F"/>
    <w:rsid w:val="00262EA8"/>
    <w:rsid w:val="00262FB7"/>
    <w:rsid w:val="00263A7F"/>
    <w:rsid w:val="00265A02"/>
    <w:rsid w:val="002664EA"/>
    <w:rsid w:val="00266BFD"/>
    <w:rsid w:val="002675B6"/>
    <w:rsid w:val="0026769A"/>
    <w:rsid w:val="00267ED1"/>
    <w:rsid w:val="0027015A"/>
    <w:rsid w:val="002701F2"/>
    <w:rsid w:val="00271648"/>
    <w:rsid w:val="00272118"/>
    <w:rsid w:val="002722D5"/>
    <w:rsid w:val="0027257D"/>
    <w:rsid w:val="0027261E"/>
    <w:rsid w:val="00272AEA"/>
    <w:rsid w:val="002734A9"/>
    <w:rsid w:val="002735E0"/>
    <w:rsid w:val="002736A5"/>
    <w:rsid w:val="00273A9B"/>
    <w:rsid w:val="00273FEB"/>
    <w:rsid w:val="00274220"/>
    <w:rsid w:val="00274680"/>
    <w:rsid w:val="002753C2"/>
    <w:rsid w:val="002761BA"/>
    <w:rsid w:val="00276D2E"/>
    <w:rsid w:val="0027713D"/>
    <w:rsid w:val="00277979"/>
    <w:rsid w:val="00277A7A"/>
    <w:rsid w:val="002805B6"/>
    <w:rsid w:val="00280CF0"/>
    <w:rsid w:val="0028101A"/>
    <w:rsid w:val="002815D5"/>
    <w:rsid w:val="00281711"/>
    <w:rsid w:val="0028247F"/>
    <w:rsid w:val="002836DF"/>
    <w:rsid w:val="002836FA"/>
    <w:rsid w:val="002838E9"/>
    <w:rsid w:val="00284011"/>
    <w:rsid w:val="002854A7"/>
    <w:rsid w:val="00285DD5"/>
    <w:rsid w:val="00285F51"/>
    <w:rsid w:val="002865E2"/>
    <w:rsid w:val="00286A98"/>
    <w:rsid w:val="00286ACE"/>
    <w:rsid w:val="00286CDF"/>
    <w:rsid w:val="00287018"/>
    <w:rsid w:val="002877AE"/>
    <w:rsid w:val="002901BC"/>
    <w:rsid w:val="002904AE"/>
    <w:rsid w:val="0029069B"/>
    <w:rsid w:val="0029125E"/>
    <w:rsid w:val="00291539"/>
    <w:rsid w:val="00291939"/>
    <w:rsid w:val="00291E33"/>
    <w:rsid w:val="00292533"/>
    <w:rsid w:val="00292BE0"/>
    <w:rsid w:val="00293835"/>
    <w:rsid w:val="00293C92"/>
    <w:rsid w:val="00293D64"/>
    <w:rsid w:val="0029421C"/>
    <w:rsid w:val="00294CA6"/>
    <w:rsid w:val="00294F07"/>
    <w:rsid w:val="00294F8E"/>
    <w:rsid w:val="00295105"/>
    <w:rsid w:val="0029584A"/>
    <w:rsid w:val="002958CE"/>
    <w:rsid w:val="00295F7E"/>
    <w:rsid w:val="00296480"/>
    <w:rsid w:val="00296E58"/>
    <w:rsid w:val="00297059"/>
    <w:rsid w:val="00297410"/>
    <w:rsid w:val="0029772C"/>
    <w:rsid w:val="002977A4"/>
    <w:rsid w:val="002978D4"/>
    <w:rsid w:val="00297B3B"/>
    <w:rsid w:val="00297E46"/>
    <w:rsid w:val="00297EF4"/>
    <w:rsid w:val="002A00CF"/>
    <w:rsid w:val="002A022F"/>
    <w:rsid w:val="002A0AE1"/>
    <w:rsid w:val="002A0BCD"/>
    <w:rsid w:val="002A261F"/>
    <w:rsid w:val="002A2934"/>
    <w:rsid w:val="002A2B3F"/>
    <w:rsid w:val="002A34CB"/>
    <w:rsid w:val="002A5612"/>
    <w:rsid w:val="002A5C3D"/>
    <w:rsid w:val="002A60EE"/>
    <w:rsid w:val="002A7149"/>
    <w:rsid w:val="002A735B"/>
    <w:rsid w:val="002B18CE"/>
    <w:rsid w:val="002B2B37"/>
    <w:rsid w:val="002B2B3B"/>
    <w:rsid w:val="002B3020"/>
    <w:rsid w:val="002B35F5"/>
    <w:rsid w:val="002B3B41"/>
    <w:rsid w:val="002B3DFC"/>
    <w:rsid w:val="002B4E2A"/>
    <w:rsid w:val="002B5D41"/>
    <w:rsid w:val="002B5F49"/>
    <w:rsid w:val="002B66C4"/>
    <w:rsid w:val="002B6D56"/>
    <w:rsid w:val="002B7100"/>
    <w:rsid w:val="002C0014"/>
    <w:rsid w:val="002C06FD"/>
    <w:rsid w:val="002C0721"/>
    <w:rsid w:val="002C0D03"/>
    <w:rsid w:val="002C1043"/>
    <w:rsid w:val="002C1A35"/>
    <w:rsid w:val="002C1F89"/>
    <w:rsid w:val="002C229E"/>
    <w:rsid w:val="002C2527"/>
    <w:rsid w:val="002C2DDA"/>
    <w:rsid w:val="002C30F9"/>
    <w:rsid w:val="002C37B8"/>
    <w:rsid w:val="002C3D24"/>
    <w:rsid w:val="002C4262"/>
    <w:rsid w:val="002C4598"/>
    <w:rsid w:val="002C4AA9"/>
    <w:rsid w:val="002C4CA6"/>
    <w:rsid w:val="002C4F13"/>
    <w:rsid w:val="002C52B3"/>
    <w:rsid w:val="002C55F2"/>
    <w:rsid w:val="002C581D"/>
    <w:rsid w:val="002C5E8D"/>
    <w:rsid w:val="002C6558"/>
    <w:rsid w:val="002C6A3B"/>
    <w:rsid w:val="002C6A6F"/>
    <w:rsid w:val="002C6CEE"/>
    <w:rsid w:val="002C6EBC"/>
    <w:rsid w:val="002C78FB"/>
    <w:rsid w:val="002D04FB"/>
    <w:rsid w:val="002D0533"/>
    <w:rsid w:val="002D0B53"/>
    <w:rsid w:val="002D0BC5"/>
    <w:rsid w:val="002D0C64"/>
    <w:rsid w:val="002D1026"/>
    <w:rsid w:val="002D2F56"/>
    <w:rsid w:val="002D42F2"/>
    <w:rsid w:val="002D46BC"/>
    <w:rsid w:val="002D5FAD"/>
    <w:rsid w:val="002D618C"/>
    <w:rsid w:val="002D62B0"/>
    <w:rsid w:val="002D63ED"/>
    <w:rsid w:val="002D6A56"/>
    <w:rsid w:val="002D6F13"/>
    <w:rsid w:val="002D76F1"/>
    <w:rsid w:val="002E04F0"/>
    <w:rsid w:val="002E0744"/>
    <w:rsid w:val="002E0E0B"/>
    <w:rsid w:val="002E176B"/>
    <w:rsid w:val="002E1D2E"/>
    <w:rsid w:val="002E2BA7"/>
    <w:rsid w:val="002E3314"/>
    <w:rsid w:val="002E3B20"/>
    <w:rsid w:val="002E3C58"/>
    <w:rsid w:val="002E3D0A"/>
    <w:rsid w:val="002E3EE1"/>
    <w:rsid w:val="002E4859"/>
    <w:rsid w:val="002E4BD8"/>
    <w:rsid w:val="002E5575"/>
    <w:rsid w:val="002E5B27"/>
    <w:rsid w:val="002E5E9E"/>
    <w:rsid w:val="002E632B"/>
    <w:rsid w:val="002E703D"/>
    <w:rsid w:val="002E70C5"/>
    <w:rsid w:val="002E756D"/>
    <w:rsid w:val="002F0141"/>
    <w:rsid w:val="002F04C8"/>
    <w:rsid w:val="002F083D"/>
    <w:rsid w:val="002F0DBA"/>
    <w:rsid w:val="002F1432"/>
    <w:rsid w:val="002F19CB"/>
    <w:rsid w:val="002F1C71"/>
    <w:rsid w:val="002F234D"/>
    <w:rsid w:val="002F2CBB"/>
    <w:rsid w:val="002F3B06"/>
    <w:rsid w:val="002F3CDB"/>
    <w:rsid w:val="002F3D9E"/>
    <w:rsid w:val="002F4305"/>
    <w:rsid w:val="002F43C4"/>
    <w:rsid w:val="002F4608"/>
    <w:rsid w:val="002F46BB"/>
    <w:rsid w:val="002F4780"/>
    <w:rsid w:val="002F4907"/>
    <w:rsid w:val="002F4D1C"/>
    <w:rsid w:val="002F4DFB"/>
    <w:rsid w:val="002F4E57"/>
    <w:rsid w:val="002F4EB2"/>
    <w:rsid w:val="002F513E"/>
    <w:rsid w:val="002F5628"/>
    <w:rsid w:val="002F56F2"/>
    <w:rsid w:val="002F5B3A"/>
    <w:rsid w:val="002F5C9E"/>
    <w:rsid w:val="002F5FBB"/>
    <w:rsid w:val="002F656D"/>
    <w:rsid w:val="002F6D00"/>
    <w:rsid w:val="002F71EF"/>
    <w:rsid w:val="002F7F5C"/>
    <w:rsid w:val="0030068F"/>
    <w:rsid w:val="00300708"/>
    <w:rsid w:val="00300B87"/>
    <w:rsid w:val="00300ED6"/>
    <w:rsid w:val="0030102D"/>
    <w:rsid w:val="00301676"/>
    <w:rsid w:val="00301841"/>
    <w:rsid w:val="003019C5"/>
    <w:rsid w:val="00301F56"/>
    <w:rsid w:val="00301FE1"/>
    <w:rsid w:val="00302DD9"/>
    <w:rsid w:val="00304339"/>
    <w:rsid w:val="00305012"/>
    <w:rsid w:val="003053C2"/>
    <w:rsid w:val="0030547F"/>
    <w:rsid w:val="0030554B"/>
    <w:rsid w:val="00306426"/>
    <w:rsid w:val="00306C63"/>
    <w:rsid w:val="00306F6C"/>
    <w:rsid w:val="003070EC"/>
    <w:rsid w:val="003070F9"/>
    <w:rsid w:val="00307206"/>
    <w:rsid w:val="0030754E"/>
    <w:rsid w:val="00310266"/>
    <w:rsid w:val="00310472"/>
    <w:rsid w:val="003108DC"/>
    <w:rsid w:val="00311684"/>
    <w:rsid w:val="00311B26"/>
    <w:rsid w:val="00311D29"/>
    <w:rsid w:val="00311F60"/>
    <w:rsid w:val="003122DE"/>
    <w:rsid w:val="00313ADE"/>
    <w:rsid w:val="0031411F"/>
    <w:rsid w:val="003143BB"/>
    <w:rsid w:val="003144B0"/>
    <w:rsid w:val="003145A5"/>
    <w:rsid w:val="00314A45"/>
    <w:rsid w:val="00314C57"/>
    <w:rsid w:val="0031510C"/>
    <w:rsid w:val="0031589C"/>
    <w:rsid w:val="00315FB1"/>
    <w:rsid w:val="003163BD"/>
    <w:rsid w:val="00317368"/>
    <w:rsid w:val="00317D36"/>
    <w:rsid w:val="00317E31"/>
    <w:rsid w:val="0032083E"/>
    <w:rsid w:val="0032086D"/>
    <w:rsid w:val="00320D13"/>
    <w:rsid w:val="00320E59"/>
    <w:rsid w:val="0032111E"/>
    <w:rsid w:val="003212AF"/>
    <w:rsid w:val="003215A1"/>
    <w:rsid w:val="00322664"/>
    <w:rsid w:val="00322EA4"/>
    <w:rsid w:val="003231F0"/>
    <w:rsid w:val="00323687"/>
    <w:rsid w:val="003238F6"/>
    <w:rsid w:val="003239BF"/>
    <w:rsid w:val="00323DFE"/>
    <w:rsid w:val="0032434A"/>
    <w:rsid w:val="00325090"/>
    <w:rsid w:val="00325968"/>
    <w:rsid w:val="003259A2"/>
    <w:rsid w:val="00325F98"/>
    <w:rsid w:val="00326ACC"/>
    <w:rsid w:val="0033082E"/>
    <w:rsid w:val="003309E0"/>
    <w:rsid w:val="00330B23"/>
    <w:rsid w:val="00330B89"/>
    <w:rsid w:val="00330FC5"/>
    <w:rsid w:val="00331F0B"/>
    <w:rsid w:val="00332827"/>
    <w:rsid w:val="00332B9D"/>
    <w:rsid w:val="00333525"/>
    <w:rsid w:val="0033352B"/>
    <w:rsid w:val="00333AEC"/>
    <w:rsid w:val="00333D99"/>
    <w:rsid w:val="00333E31"/>
    <w:rsid w:val="00333FBF"/>
    <w:rsid w:val="003342FB"/>
    <w:rsid w:val="00334D8D"/>
    <w:rsid w:val="0033545F"/>
    <w:rsid w:val="00335B49"/>
    <w:rsid w:val="00335DEF"/>
    <w:rsid w:val="00336026"/>
    <w:rsid w:val="00336D4F"/>
    <w:rsid w:val="003370AC"/>
    <w:rsid w:val="00337854"/>
    <w:rsid w:val="00340795"/>
    <w:rsid w:val="00340D43"/>
    <w:rsid w:val="00340E90"/>
    <w:rsid w:val="00341027"/>
    <w:rsid w:val="0034162F"/>
    <w:rsid w:val="0034205D"/>
    <w:rsid w:val="00342529"/>
    <w:rsid w:val="00342E05"/>
    <w:rsid w:val="00343136"/>
    <w:rsid w:val="003431FC"/>
    <w:rsid w:val="003435B8"/>
    <w:rsid w:val="00343C53"/>
    <w:rsid w:val="00344334"/>
    <w:rsid w:val="0034475E"/>
    <w:rsid w:val="00344775"/>
    <w:rsid w:val="00345763"/>
    <w:rsid w:val="00345A69"/>
    <w:rsid w:val="003461F7"/>
    <w:rsid w:val="003466E6"/>
    <w:rsid w:val="00346C67"/>
    <w:rsid w:val="00346FFC"/>
    <w:rsid w:val="003471C9"/>
    <w:rsid w:val="0034724D"/>
    <w:rsid w:val="003474E4"/>
    <w:rsid w:val="00347FAA"/>
    <w:rsid w:val="003503D0"/>
    <w:rsid w:val="00350848"/>
    <w:rsid w:val="00350CB7"/>
    <w:rsid w:val="00350E19"/>
    <w:rsid w:val="00351D15"/>
    <w:rsid w:val="00351EF6"/>
    <w:rsid w:val="0035204B"/>
    <w:rsid w:val="00352284"/>
    <w:rsid w:val="0035286E"/>
    <w:rsid w:val="003528DD"/>
    <w:rsid w:val="00352A6B"/>
    <w:rsid w:val="00352C12"/>
    <w:rsid w:val="003534FC"/>
    <w:rsid w:val="0035351C"/>
    <w:rsid w:val="00353E21"/>
    <w:rsid w:val="00354332"/>
    <w:rsid w:val="00354488"/>
    <w:rsid w:val="003544C2"/>
    <w:rsid w:val="003547D1"/>
    <w:rsid w:val="003555C7"/>
    <w:rsid w:val="00356216"/>
    <w:rsid w:val="0035718C"/>
    <w:rsid w:val="00357281"/>
    <w:rsid w:val="003608AD"/>
    <w:rsid w:val="00361194"/>
    <w:rsid w:val="0036166E"/>
    <w:rsid w:val="003616EC"/>
    <w:rsid w:val="003619EF"/>
    <w:rsid w:val="00361BBA"/>
    <w:rsid w:val="00362B1F"/>
    <w:rsid w:val="00362D6A"/>
    <w:rsid w:val="00362FAA"/>
    <w:rsid w:val="00363090"/>
    <w:rsid w:val="00363DF7"/>
    <w:rsid w:val="0036426B"/>
    <w:rsid w:val="003646FD"/>
    <w:rsid w:val="0036479A"/>
    <w:rsid w:val="0036497A"/>
    <w:rsid w:val="00364E3C"/>
    <w:rsid w:val="003656D0"/>
    <w:rsid w:val="00366251"/>
    <w:rsid w:val="00366EC8"/>
    <w:rsid w:val="00367039"/>
    <w:rsid w:val="0036726D"/>
    <w:rsid w:val="00370A96"/>
    <w:rsid w:val="00370B49"/>
    <w:rsid w:val="00370F8C"/>
    <w:rsid w:val="00371178"/>
    <w:rsid w:val="003716F8"/>
    <w:rsid w:val="00371FFC"/>
    <w:rsid w:val="00372487"/>
    <w:rsid w:val="00372551"/>
    <w:rsid w:val="00372DEF"/>
    <w:rsid w:val="0037316E"/>
    <w:rsid w:val="00373759"/>
    <w:rsid w:val="003742B9"/>
    <w:rsid w:val="00374475"/>
    <w:rsid w:val="0037448D"/>
    <w:rsid w:val="00374EF2"/>
    <w:rsid w:val="00376547"/>
    <w:rsid w:val="00376D95"/>
    <w:rsid w:val="0037704C"/>
    <w:rsid w:val="003778EF"/>
    <w:rsid w:val="00377939"/>
    <w:rsid w:val="00377F97"/>
    <w:rsid w:val="0038034B"/>
    <w:rsid w:val="00380457"/>
    <w:rsid w:val="00380A3E"/>
    <w:rsid w:val="00381623"/>
    <w:rsid w:val="0038194E"/>
    <w:rsid w:val="00381AAB"/>
    <w:rsid w:val="00381CB6"/>
    <w:rsid w:val="0038219C"/>
    <w:rsid w:val="0038238A"/>
    <w:rsid w:val="003825FE"/>
    <w:rsid w:val="0038267C"/>
    <w:rsid w:val="00382F4F"/>
    <w:rsid w:val="003834BB"/>
    <w:rsid w:val="00383854"/>
    <w:rsid w:val="00383FB0"/>
    <w:rsid w:val="00384F8D"/>
    <w:rsid w:val="0038507E"/>
    <w:rsid w:val="00387286"/>
    <w:rsid w:val="00390D8A"/>
    <w:rsid w:val="003910DA"/>
    <w:rsid w:val="0039269E"/>
    <w:rsid w:val="00392BFC"/>
    <w:rsid w:val="00392E0D"/>
    <w:rsid w:val="0039339C"/>
    <w:rsid w:val="00393906"/>
    <w:rsid w:val="00393E6A"/>
    <w:rsid w:val="00395204"/>
    <w:rsid w:val="00395966"/>
    <w:rsid w:val="0039651B"/>
    <w:rsid w:val="00396EC9"/>
    <w:rsid w:val="00397B72"/>
    <w:rsid w:val="003A014C"/>
    <w:rsid w:val="003A0CE8"/>
    <w:rsid w:val="003A18F0"/>
    <w:rsid w:val="003A1E09"/>
    <w:rsid w:val="003A227B"/>
    <w:rsid w:val="003A2946"/>
    <w:rsid w:val="003A2A33"/>
    <w:rsid w:val="003A2D5A"/>
    <w:rsid w:val="003A3B24"/>
    <w:rsid w:val="003A4349"/>
    <w:rsid w:val="003A44ED"/>
    <w:rsid w:val="003A4C60"/>
    <w:rsid w:val="003A5465"/>
    <w:rsid w:val="003A58FB"/>
    <w:rsid w:val="003A5E0F"/>
    <w:rsid w:val="003A6342"/>
    <w:rsid w:val="003A70E7"/>
    <w:rsid w:val="003A7C9D"/>
    <w:rsid w:val="003A7DE5"/>
    <w:rsid w:val="003B0240"/>
    <w:rsid w:val="003B0BB6"/>
    <w:rsid w:val="003B1886"/>
    <w:rsid w:val="003B4CB6"/>
    <w:rsid w:val="003B65AC"/>
    <w:rsid w:val="003B665F"/>
    <w:rsid w:val="003B6B96"/>
    <w:rsid w:val="003B71D4"/>
    <w:rsid w:val="003B7932"/>
    <w:rsid w:val="003B7E96"/>
    <w:rsid w:val="003B7EC5"/>
    <w:rsid w:val="003C00AB"/>
    <w:rsid w:val="003C0509"/>
    <w:rsid w:val="003C06CF"/>
    <w:rsid w:val="003C0A70"/>
    <w:rsid w:val="003C1C63"/>
    <w:rsid w:val="003C2784"/>
    <w:rsid w:val="003C2BBF"/>
    <w:rsid w:val="003C2F91"/>
    <w:rsid w:val="003C3202"/>
    <w:rsid w:val="003C33E0"/>
    <w:rsid w:val="003C3478"/>
    <w:rsid w:val="003C34EA"/>
    <w:rsid w:val="003C38D0"/>
    <w:rsid w:val="003C3A4C"/>
    <w:rsid w:val="003C4C1A"/>
    <w:rsid w:val="003C50DB"/>
    <w:rsid w:val="003C568E"/>
    <w:rsid w:val="003C6002"/>
    <w:rsid w:val="003C696B"/>
    <w:rsid w:val="003C6B4B"/>
    <w:rsid w:val="003C6BA5"/>
    <w:rsid w:val="003C6E59"/>
    <w:rsid w:val="003C6FEF"/>
    <w:rsid w:val="003C74E0"/>
    <w:rsid w:val="003C7837"/>
    <w:rsid w:val="003C7D03"/>
    <w:rsid w:val="003D0356"/>
    <w:rsid w:val="003D03C3"/>
    <w:rsid w:val="003D0659"/>
    <w:rsid w:val="003D076E"/>
    <w:rsid w:val="003D0CA5"/>
    <w:rsid w:val="003D0E9E"/>
    <w:rsid w:val="003D1548"/>
    <w:rsid w:val="003D1636"/>
    <w:rsid w:val="003D1F61"/>
    <w:rsid w:val="003D2061"/>
    <w:rsid w:val="003D223B"/>
    <w:rsid w:val="003D291E"/>
    <w:rsid w:val="003D2F99"/>
    <w:rsid w:val="003D3E86"/>
    <w:rsid w:val="003D442A"/>
    <w:rsid w:val="003D44CC"/>
    <w:rsid w:val="003D454A"/>
    <w:rsid w:val="003D45F7"/>
    <w:rsid w:val="003D4BD9"/>
    <w:rsid w:val="003D4D92"/>
    <w:rsid w:val="003D5120"/>
    <w:rsid w:val="003D543F"/>
    <w:rsid w:val="003D55EB"/>
    <w:rsid w:val="003D562B"/>
    <w:rsid w:val="003D5D12"/>
    <w:rsid w:val="003D614F"/>
    <w:rsid w:val="003D73C6"/>
    <w:rsid w:val="003D7574"/>
    <w:rsid w:val="003E057F"/>
    <w:rsid w:val="003E070A"/>
    <w:rsid w:val="003E0AB4"/>
    <w:rsid w:val="003E1BBD"/>
    <w:rsid w:val="003E34A7"/>
    <w:rsid w:val="003E360C"/>
    <w:rsid w:val="003E371E"/>
    <w:rsid w:val="003E3E33"/>
    <w:rsid w:val="003E4302"/>
    <w:rsid w:val="003E498E"/>
    <w:rsid w:val="003E4AB6"/>
    <w:rsid w:val="003E5326"/>
    <w:rsid w:val="003E5647"/>
    <w:rsid w:val="003E57F0"/>
    <w:rsid w:val="003E5807"/>
    <w:rsid w:val="003E5983"/>
    <w:rsid w:val="003E5996"/>
    <w:rsid w:val="003E5D39"/>
    <w:rsid w:val="003E66FB"/>
    <w:rsid w:val="003E6701"/>
    <w:rsid w:val="003E6EFF"/>
    <w:rsid w:val="003E71B7"/>
    <w:rsid w:val="003E7531"/>
    <w:rsid w:val="003F06F4"/>
    <w:rsid w:val="003F1B54"/>
    <w:rsid w:val="003F2C2F"/>
    <w:rsid w:val="003F2E5E"/>
    <w:rsid w:val="003F3361"/>
    <w:rsid w:val="003F3A3B"/>
    <w:rsid w:val="003F445D"/>
    <w:rsid w:val="003F4BD8"/>
    <w:rsid w:val="003F4E5A"/>
    <w:rsid w:val="003F6435"/>
    <w:rsid w:val="003F64DD"/>
    <w:rsid w:val="003F64E7"/>
    <w:rsid w:val="003F662F"/>
    <w:rsid w:val="003F6792"/>
    <w:rsid w:val="003F6A5B"/>
    <w:rsid w:val="003F6CB6"/>
    <w:rsid w:val="003F6E7F"/>
    <w:rsid w:val="003F6F0B"/>
    <w:rsid w:val="003F7215"/>
    <w:rsid w:val="003F72C2"/>
    <w:rsid w:val="003F7A42"/>
    <w:rsid w:val="003F7FFE"/>
    <w:rsid w:val="00400754"/>
    <w:rsid w:val="00401284"/>
    <w:rsid w:val="00401BE8"/>
    <w:rsid w:val="004022EF"/>
    <w:rsid w:val="00402626"/>
    <w:rsid w:val="0040287B"/>
    <w:rsid w:val="00402899"/>
    <w:rsid w:val="0040310B"/>
    <w:rsid w:val="00403195"/>
    <w:rsid w:val="0040336A"/>
    <w:rsid w:val="0040489D"/>
    <w:rsid w:val="00404CF0"/>
    <w:rsid w:val="00405314"/>
    <w:rsid w:val="004061A4"/>
    <w:rsid w:val="00406871"/>
    <w:rsid w:val="004068F5"/>
    <w:rsid w:val="0040698E"/>
    <w:rsid w:val="004069A5"/>
    <w:rsid w:val="00406FDB"/>
    <w:rsid w:val="0040773F"/>
    <w:rsid w:val="0040797A"/>
    <w:rsid w:val="00407B12"/>
    <w:rsid w:val="0041096F"/>
    <w:rsid w:val="00410DFC"/>
    <w:rsid w:val="004117FB"/>
    <w:rsid w:val="00412086"/>
    <w:rsid w:val="004128E0"/>
    <w:rsid w:val="00412E69"/>
    <w:rsid w:val="00414928"/>
    <w:rsid w:val="00415060"/>
    <w:rsid w:val="004155FE"/>
    <w:rsid w:val="0041636A"/>
    <w:rsid w:val="00417040"/>
    <w:rsid w:val="004170E3"/>
    <w:rsid w:val="0041719A"/>
    <w:rsid w:val="0041753C"/>
    <w:rsid w:val="004209D7"/>
    <w:rsid w:val="00420B93"/>
    <w:rsid w:val="004215E7"/>
    <w:rsid w:val="00421BB0"/>
    <w:rsid w:val="00422714"/>
    <w:rsid w:val="00422F29"/>
    <w:rsid w:val="00423D0C"/>
    <w:rsid w:val="004240C8"/>
    <w:rsid w:val="004240E9"/>
    <w:rsid w:val="00424C29"/>
    <w:rsid w:val="00424DF7"/>
    <w:rsid w:val="00425324"/>
    <w:rsid w:val="004253DD"/>
    <w:rsid w:val="00425DC2"/>
    <w:rsid w:val="00426D88"/>
    <w:rsid w:val="004275F6"/>
    <w:rsid w:val="0042762F"/>
    <w:rsid w:val="00427AE7"/>
    <w:rsid w:val="00427C5A"/>
    <w:rsid w:val="00430009"/>
    <w:rsid w:val="004305C1"/>
    <w:rsid w:val="004305DD"/>
    <w:rsid w:val="00430845"/>
    <w:rsid w:val="00430EC6"/>
    <w:rsid w:val="00430F83"/>
    <w:rsid w:val="00430F9D"/>
    <w:rsid w:val="00431305"/>
    <w:rsid w:val="0043160A"/>
    <w:rsid w:val="00431F22"/>
    <w:rsid w:val="004323C1"/>
    <w:rsid w:val="00432463"/>
    <w:rsid w:val="004330D0"/>
    <w:rsid w:val="00433FA1"/>
    <w:rsid w:val="004348AA"/>
    <w:rsid w:val="00434937"/>
    <w:rsid w:val="00436400"/>
    <w:rsid w:val="00436404"/>
    <w:rsid w:val="00436D47"/>
    <w:rsid w:val="00437605"/>
    <w:rsid w:val="00437C44"/>
    <w:rsid w:val="00437F00"/>
    <w:rsid w:val="00441B63"/>
    <w:rsid w:val="00441B85"/>
    <w:rsid w:val="00441F24"/>
    <w:rsid w:val="00441F51"/>
    <w:rsid w:val="00441FA6"/>
    <w:rsid w:val="004424CE"/>
    <w:rsid w:val="00442654"/>
    <w:rsid w:val="004429A9"/>
    <w:rsid w:val="00442DEA"/>
    <w:rsid w:val="0044306C"/>
    <w:rsid w:val="0044307D"/>
    <w:rsid w:val="00443428"/>
    <w:rsid w:val="004439C4"/>
    <w:rsid w:val="00443B09"/>
    <w:rsid w:val="00445957"/>
    <w:rsid w:val="00445BDB"/>
    <w:rsid w:val="0044602A"/>
    <w:rsid w:val="00447091"/>
    <w:rsid w:val="004472AA"/>
    <w:rsid w:val="0044752B"/>
    <w:rsid w:val="00447921"/>
    <w:rsid w:val="00447C3A"/>
    <w:rsid w:val="004500E9"/>
    <w:rsid w:val="00450340"/>
    <w:rsid w:val="00450681"/>
    <w:rsid w:val="004507B7"/>
    <w:rsid w:val="004519F3"/>
    <w:rsid w:val="00451C51"/>
    <w:rsid w:val="004527EF"/>
    <w:rsid w:val="00452A87"/>
    <w:rsid w:val="00453538"/>
    <w:rsid w:val="004536B0"/>
    <w:rsid w:val="00453E75"/>
    <w:rsid w:val="00453F17"/>
    <w:rsid w:val="0045417E"/>
    <w:rsid w:val="00454185"/>
    <w:rsid w:val="00454C36"/>
    <w:rsid w:val="0045551F"/>
    <w:rsid w:val="0045584D"/>
    <w:rsid w:val="00455C37"/>
    <w:rsid w:val="004564E4"/>
    <w:rsid w:val="00456729"/>
    <w:rsid w:val="004573A9"/>
    <w:rsid w:val="00457D2F"/>
    <w:rsid w:val="00460640"/>
    <w:rsid w:val="00460C25"/>
    <w:rsid w:val="00460F5E"/>
    <w:rsid w:val="00462281"/>
    <w:rsid w:val="00462798"/>
    <w:rsid w:val="004629E8"/>
    <w:rsid w:val="0046375C"/>
    <w:rsid w:val="00463806"/>
    <w:rsid w:val="00463881"/>
    <w:rsid w:val="0046390F"/>
    <w:rsid w:val="00463D16"/>
    <w:rsid w:val="00464583"/>
    <w:rsid w:val="004646CA"/>
    <w:rsid w:val="00464DBA"/>
    <w:rsid w:val="004654F6"/>
    <w:rsid w:val="0046550E"/>
    <w:rsid w:val="0046603E"/>
    <w:rsid w:val="004662A9"/>
    <w:rsid w:val="004664E3"/>
    <w:rsid w:val="00467338"/>
    <w:rsid w:val="00467B14"/>
    <w:rsid w:val="00467FB8"/>
    <w:rsid w:val="00470184"/>
    <w:rsid w:val="00470422"/>
    <w:rsid w:val="00471859"/>
    <w:rsid w:val="004718AC"/>
    <w:rsid w:val="00472131"/>
    <w:rsid w:val="00472B21"/>
    <w:rsid w:val="00473852"/>
    <w:rsid w:val="00473A5B"/>
    <w:rsid w:val="00473F81"/>
    <w:rsid w:val="004743F9"/>
    <w:rsid w:val="00474D20"/>
    <w:rsid w:val="00475252"/>
    <w:rsid w:val="004757E9"/>
    <w:rsid w:val="00476805"/>
    <w:rsid w:val="00476D5E"/>
    <w:rsid w:val="0047716B"/>
    <w:rsid w:val="004771F8"/>
    <w:rsid w:val="0047786B"/>
    <w:rsid w:val="00480258"/>
    <w:rsid w:val="00480344"/>
    <w:rsid w:val="0048039B"/>
    <w:rsid w:val="004810D6"/>
    <w:rsid w:val="004815E8"/>
    <w:rsid w:val="00481783"/>
    <w:rsid w:val="00481B6E"/>
    <w:rsid w:val="00481B86"/>
    <w:rsid w:val="004821BF"/>
    <w:rsid w:val="00482566"/>
    <w:rsid w:val="004825F9"/>
    <w:rsid w:val="00482A7A"/>
    <w:rsid w:val="00482EC4"/>
    <w:rsid w:val="00484B9F"/>
    <w:rsid w:val="00484FB0"/>
    <w:rsid w:val="00484FBA"/>
    <w:rsid w:val="00485B5F"/>
    <w:rsid w:val="0048614C"/>
    <w:rsid w:val="0048753D"/>
    <w:rsid w:val="00487DFC"/>
    <w:rsid w:val="00487E4F"/>
    <w:rsid w:val="00491882"/>
    <w:rsid w:val="00491B66"/>
    <w:rsid w:val="004921E8"/>
    <w:rsid w:val="004927E1"/>
    <w:rsid w:val="00492A1C"/>
    <w:rsid w:val="004937BA"/>
    <w:rsid w:val="00493BBE"/>
    <w:rsid w:val="00494240"/>
    <w:rsid w:val="00494966"/>
    <w:rsid w:val="00494E94"/>
    <w:rsid w:val="004950BC"/>
    <w:rsid w:val="0049577B"/>
    <w:rsid w:val="00497A8D"/>
    <w:rsid w:val="00497AFB"/>
    <w:rsid w:val="004A1D40"/>
    <w:rsid w:val="004A203A"/>
    <w:rsid w:val="004A23E9"/>
    <w:rsid w:val="004A3040"/>
    <w:rsid w:val="004A3A6F"/>
    <w:rsid w:val="004A3B81"/>
    <w:rsid w:val="004A3F59"/>
    <w:rsid w:val="004A3FD4"/>
    <w:rsid w:val="004A4A73"/>
    <w:rsid w:val="004A4C2D"/>
    <w:rsid w:val="004A51F7"/>
    <w:rsid w:val="004A5274"/>
    <w:rsid w:val="004A5824"/>
    <w:rsid w:val="004A58FE"/>
    <w:rsid w:val="004A5BB9"/>
    <w:rsid w:val="004A6067"/>
    <w:rsid w:val="004A6124"/>
    <w:rsid w:val="004A6B78"/>
    <w:rsid w:val="004A6FB9"/>
    <w:rsid w:val="004A7B9E"/>
    <w:rsid w:val="004B0B2C"/>
    <w:rsid w:val="004B0C6C"/>
    <w:rsid w:val="004B152E"/>
    <w:rsid w:val="004B1F2D"/>
    <w:rsid w:val="004B2637"/>
    <w:rsid w:val="004B2CBD"/>
    <w:rsid w:val="004B2DC5"/>
    <w:rsid w:val="004B326B"/>
    <w:rsid w:val="004B3D72"/>
    <w:rsid w:val="004B3DE0"/>
    <w:rsid w:val="004B458B"/>
    <w:rsid w:val="004B4C72"/>
    <w:rsid w:val="004B4E86"/>
    <w:rsid w:val="004B51BC"/>
    <w:rsid w:val="004B564E"/>
    <w:rsid w:val="004B6CB4"/>
    <w:rsid w:val="004B6F3D"/>
    <w:rsid w:val="004B7896"/>
    <w:rsid w:val="004C0227"/>
    <w:rsid w:val="004C0696"/>
    <w:rsid w:val="004C1D56"/>
    <w:rsid w:val="004C1FFA"/>
    <w:rsid w:val="004C224A"/>
    <w:rsid w:val="004C24D7"/>
    <w:rsid w:val="004C267A"/>
    <w:rsid w:val="004C29B5"/>
    <w:rsid w:val="004C2E64"/>
    <w:rsid w:val="004C311D"/>
    <w:rsid w:val="004C4403"/>
    <w:rsid w:val="004C4453"/>
    <w:rsid w:val="004C4AFD"/>
    <w:rsid w:val="004C4E96"/>
    <w:rsid w:val="004C4F18"/>
    <w:rsid w:val="004C5A4C"/>
    <w:rsid w:val="004C5F9B"/>
    <w:rsid w:val="004C665A"/>
    <w:rsid w:val="004C66CA"/>
    <w:rsid w:val="004C709C"/>
    <w:rsid w:val="004C7103"/>
    <w:rsid w:val="004C7AB9"/>
    <w:rsid w:val="004D0C51"/>
    <w:rsid w:val="004D0E6B"/>
    <w:rsid w:val="004D19B7"/>
    <w:rsid w:val="004D22CE"/>
    <w:rsid w:val="004D2DDB"/>
    <w:rsid w:val="004D33BF"/>
    <w:rsid w:val="004D40F8"/>
    <w:rsid w:val="004D413B"/>
    <w:rsid w:val="004D4433"/>
    <w:rsid w:val="004D4AD1"/>
    <w:rsid w:val="004D4D35"/>
    <w:rsid w:val="004D4F63"/>
    <w:rsid w:val="004D50BB"/>
    <w:rsid w:val="004D5856"/>
    <w:rsid w:val="004D729E"/>
    <w:rsid w:val="004D73E5"/>
    <w:rsid w:val="004D7ED2"/>
    <w:rsid w:val="004E0073"/>
    <w:rsid w:val="004E0865"/>
    <w:rsid w:val="004E0C35"/>
    <w:rsid w:val="004E189D"/>
    <w:rsid w:val="004E1CB2"/>
    <w:rsid w:val="004E2204"/>
    <w:rsid w:val="004E22B3"/>
    <w:rsid w:val="004E23EA"/>
    <w:rsid w:val="004E24AA"/>
    <w:rsid w:val="004E2611"/>
    <w:rsid w:val="004E29F0"/>
    <w:rsid w:val="004E2D67"/>
    <w:rsid w:val="004E300C"/>
    <w:rsid w:val="004E3652"/>
    <w:rsid w:val="004E389C"/>
    <w:rsid w:val="004E4A5F"/>
    <w:rsid w:val="004E4C17"/>
    <w:rsid w:val="004E558C"/>
    <w:rsid w:val="004E6306"/>
    <w:rsid w:val="004E6E3B"/>
    <w:rsid w:val="004E6F71"/>
    <w:rsid w:val="004E71B2"/>
    <w:rsid w:val="004F013A"/>
    <w:rsid w:val="004F03B7"/>
    <w:rsid w:val="004F083D"/>
    <w:rsid w:val="004F10E8"/>
    <w:rsid w:val="004F1897"/>
    <w:rsid w:val="004F1A5D"/>
    <w:rsid w:val="004F1F00"/>
    <w:rsid w:val="004F21F4"/>
    <w:rsid w:val="004F28F7"/>
    <w:rsid w:val="004F2B81"/>
    <w:rsid w:val="004F3155"/>
    <w:rsid w:val="004F36DB"/>
    <w:rsid w:val="004F41C8"/>
    <w:rsid w:val="004F4732"/>
    <w:rsid w:val="004F48DB"/>
    <w:rsid w:val="004F4911"/>
    <w:rsid w:val="004F4EFD"/>
    <w:rsid w:val="004F5166"/>
    <w:rsid w:val="004F5C71"/>
    <w:rsid w:val="004F5EC0"/>
    <w:rsid w:val="004F6021"/>
    <w:rsid w:val="004F6B95"/>
    <w:rsid w:val="004F6C0C"/>
    <w:rsid w:val="004F6D08"/>
    <w:rsid w:val="004F73B6"/>
    <w:rsid w:val="004F762F"/>
    <w:rsid w:val="004F7669"/>
    <w:rsid w:val="004F7AF2"/>
    <w:rsid w:val="004F7E8A"/>
    <w:rsid w:val="0050086A"/>
    <w:rsid w:val="005008C1"/>
    <w:rsid w:val="00500B77"/>
    <w:rsid w:val="00500E66"/>
    <w:rsid w:val="005010DE"/>
    <w:rsid w:val="005011FD"/>
    <w:rsid w:val="00501C65"/>
    <w:rsid w:val="00502E73"/>
    <w:rsid w:val="00503323"/>
    <w:rsid w:val="00503DDA"/>
    <w:rsid w:val="005041E6"/>
    <w:rsid w:val="0050441C"/>
    <w:rsid w:val="005044B2"/>
    <w:rsid w:val="00504884"/>
    <w:rsid w:val="005048D6"/>
    <w:rsid w:val="0050623F"/>
    <w:rsid w:val="005067B1"/>
    <w:rsid w:val="005069D5"/>
    <w:rsid w:val="005101FE"/>
    <w:rsid w:val="00510244"/>
    <w:rsid w:val="005102A3"/>
    <w:rsid w:val="005103BE"/>
    <w:rsid w:val="00510D77"/>
    <w:rsid w:val="0051223A"/>
    <w:rsid w:val="00512634"/>
    <w:rsid w:val="00512ACA"/>
    <w:rsid w:val="00512E24"/>
    <w:rsid w:val="00513112"/>
    <w:rsid w:val="005137CB"/>
    <w:rsid w:val="0051407F"/>
    <w:rsid w:val="0051422D"/>
    <w:rsid w:val="005151BE"/>
    <w:rsid w:val="00515258"/>
    <w:rsid w:val="00515D9B"/>
    <w:rsid w:val="00515F62"/>
    <w:rsid w:val="005169DC"/>
    <w:rsid w:val="00516FEF"/>
    <w:rsid w:val="00516FF7"/>
    <w:rsid w:val="00517147"/>
    <w:rsid w:val="005172AA"/>
    <w:rsid w:val="00517780"/>
    <w:rsid w:val="005178FF"/>
    <w:rsid w:val="005203B4"/>
    <w:rsid w:val="0052046B"/>
    <w:rsid w:val="00520621"/>
    <w:rsid w:val="00520A85"/>
    <w:rsid w:val="005214D1"/>
    <w:rsid w:val="00521622"/>
    <w:rsid w:val="00521635"/>
    <w:rsid w:val="0052212A"/>
    <w:rsid w:val="005222C7"/>
    <w:rsid w:val="00522483"/>
    <w:rsid w:val="00522FEA"/>
    <w:rsid w:val="00523299"/>
    <w:rsid w:val="0052354E"/>
    <w:rsid w:val="005236A5"/>
    <w:rsid w:val="005246FA"/>
    <w:rsid w:val="00524B77"/>
    <w:rsid w:val="00524D09"/>
    <w:rsid w:val="00524E8D"/>
    <w:rsid w:val="00525F06"/>
    <w:rsid w:val="00525FA3"/>
    <w:rsid w:val="005264EC"/>
    <w:rsid w:val="00526660"/>
    <w:rsid w:val="005266C2"/>
    <w:rsid w:val="005268FA"/>
    <w:rsid w:val="00527098"/>
    <w:rsid w:val="00527E03"/>
    <w:rsid w:val="00527FA2"/>
    <w:rsid w:val="00530033"/>
    <w:rsid w:val="00530458"/>
    <w:rsid w:val="00530585"/>
    <w:rsid w:val="005306A3"/>
    <w:rsid w:val="00530AFF"/>
    <w:rsid w:val="0053119D"/>
    <w:rsid w:val="005314B1"/>
    <w:rsid w:val="0053168D"/>
    <w:rsid w:val="005324D2"/>
    <w:rsid w:val="00533D8B"/>
    <w:rsid w:val="005342A5"/>
    <w:rsid w:val="0053552C"/>
    <w:rsid w:val="005359C2"/>
    <w:rsid w:val="00535BC8"/>
    <w:rsid w:val="005363AE"/>
    <w:rsid w:val="00536A92"/>
    <w:rsid w:val="00537593"/>
    <w:rsid w:val="00537604"/>
    <w:rsid w:val="005377C2"/>
    <w:rsid w:val="00537B66"/>
    <w:rsid w:val="00540738"/>
    <w:rsid w:val="00540ABF"/>
    <w:rsid w:val="00541D72"/>
    <w:rsid w:val="00542155"/>
    <w:rsid w:val="00542BB8"/>
    <w:rsid w:val="00542EA3"/>
    <w:rsid w:val="00543FFB"/>
    <w:rsid w:val="0054403D"/>
    <w:rsid w:val="005440F1"/>
    <w:rsid w:val="00544229"/>
    <w:rsid w:val="00544359"/>
    <w:rsid w:val="00544785"/>
    <w:rsid w:val="00544F44"/>
    <w:rsid w:val="0054511D"/>
    <w:rsid w:val="00545191"/>
    <w:rsid w:val="005455BE"/>
    <w:rsid w:val="00545610"/>
    <w:rsid w:val="00545D06"/>
    <w:rsid w:val="00546492"/>
    <w:rsid w:val="00550DE0"/>
    <w:rsid w:val="00551577"/>
    <w:rsid w:val="00551CF8"/>
    <w:rsid w:val="0055216C"/>
    <w:rsid w:val="0055267E"/>
    <w:rsid w:val="00552778"/>
    <w:rsid w:val="00553235"/>
    <w:rsid w:val="005543D3"/>
    <w:rsid w:val="00554474"/>
    <w:rsid w:val="00554C50"/>
    <w:rsid w:val="005551DB"/>
    <w:rsid w:val="00555972"/>
    <w:rsid w:val="00555D2F"/>
    <w:rsid w:val="005561A1"/>
    <w:rsid w:val="005564AC"/>
    <w:rsid w:val="005565F8"/>
    <w:rsid w:val="005567E0"/>
    <w:rsid w:val="00556836"/>
    <w:rsid w:val="00557331"/>
    <w:rsid w:val="00557BE9"/>
    <w:rsid w:val="0056068C"/>
    <w:rsid w:val="00560F14"/>
    <w:rsid w:val="00561820"/>
    <w:rsid w:val="00561CF3"/>
    <w:rsid w:val="00561EA2"/>
    <w:rsid w:val="00562318"/>
    <w:rsid w:val="00562428"/>
    <w:rsid w:val="00562839"/>
    <w:rsid w:val="00562A46"/>
    <w:rsid w:val="00562BF5"/>
    <w:rsid w:val="00562C24"/>
    <w:rsid w:val="005638E6"/>
    <w:rsid w:val="00563985"/>
    <w:rsid w:val="00563A9E"/>
    <w:rsid w:val="00564B0C"/>
    <w:rsid w:val="00564D30"/>
    <w:rsid w:val="0056579F"/>
    <w:rsid w:val="00565D2F"/>
    <w:rsid w:val="005668D6"/>
    <w:rsid w:val="005670FB"/>
    <w:rsid w:val="00567D2D"/>
    <w:rsid w:val="00570186"/>
    <w:rsid w:val="005701E0"/>
    <w:rsid w:val="00570451"/>
    <w:rsid w:val="00570852"/>
    <w:rsid w:val="00570B6D"/>
    <w:rsid w:val="00571BB4"/>
    <w:rsid w:val="00571F17"/>
    <w:rsid w:val="005727E5"/>
    <w:rsid w:val="00572935"/>
    <w:rsid w:val="00572ABF"/>
    <w:rsid w:val="00572E33"/>
    <w:rsid w:val="0057362B"/>
    <w:rsid w:val="00573AC3"/>
    <w:rsid w:val="00574A00"/>
    <w:rsid w:val="00575766"/>
    <w:rsid w:val="00575F0E"/>
    <w:rsid w:val="005769D7"/>
    <w:rsid w:val="00580F35"/>
    <w:rsid w:val="00581465"/>
    <w:rsid w:val="005822FC"/>
    <w:rsid w:val="00582E47"/>
    <w:rsid w:val="0058316D"/>
    <w:rsid w:val="0058359C"/>
    <w:rsid w:val="005836D8"/>
    <w:rsid w:val="00583BEC"/>
    <w:rsid w:val="00583D47"/>
    <w:rsid w:val="00584663"/>
    <w:rsid w:val="00584BAE"/>
    <w:rsid w:val="00584F3C"/>
    <w:rsid w:val="005853DF"/>
    <w:rsid w:val="00586076"/>
    <w:rsid w:val="005860C9"/>
    <w:rsid w:val="0058636E"/>
    <w:rsid w:val="00586BC4"/>
    <w:rsid w:val="00586CCA"/>
    <w:rsid w:val="00587A91"/>
    <w:rsid w:val="00587DF9"/>
    <w:rsid w:val="0059022A"/>
    <w:rsid w:val="005903F9"/>
    <w:rsid w:val="005908A8"/>
    <w:rsid w:val="00590FF9"/>
    <w:rsid w:val="005919A7"/>
    <w:rsid w:val="00591EBF"/>
    <w:rsid w:val="005920CF"/>
    <w:rsid w:val="0059253B"/>
    <w:rsid w:val="00592D5A"/>
    <w:rsid w:val="00592E8B"/>
    <w:rsid w:val="00592FC8"/>
    <w:rsid w:val="005937CC"/>
    <w:rsid w:val="00593935"/>
    <w:rsid w:val="00593B91"/>
    <w:rsid w:val="00594379"/>
    <w:rsid w:val="0059507E"/>
    <w:rsid w:val="005958D4"/>
    <w:rsid w:val="00595ACF"/>
    <w:rsid w:val="0059664E"/>
    <w:rsid w:val="00596D1F"/>
    <w:rsid w:val="00596FB3"/>
    <w:rsid w:val="0059708A"/>
    <w:rsid w:val="0059781F"/>
    <w:rsid w:val="005A1040"/>
    <w:rsid w:val="005A1559"/>
    <w:rsid w:val="005A1601"/>
    <w:rsid w:val="005A1C6C"/>
    <w:rsid w:val="005A1E80"/>
    <w:rsid w:val="005A22F9"/>
    <w:rsid w:val="005A290F"/>
    <w:rsid w:val="005A2949"/>
    <w:rsid w:val="005A2B91"/>
    <w:rsid w:val="005A2E22"/>
    <w:rsid w:val="005A31BE"/>
    <w:rsid w:val="005A324F"/>
    <w:rsid w:val="005A3AA1"/>
    <w:rsid w:val="005A3AE3"/>
    <w:rsid w:val="005A40DC"/>
    <w:rsid w:val="005A490C"/>
    <w:rsid w:val="005A4A72"/>
    <w:rsid w:val="005A4B29"/>
    <w:rsid w:val="005A4DC5"/>
    <w:rsid w:val="005A4FD7"/>
    <w:rsid w:val="005A5526"/>
    <w:rsid w:val="005A61AA"/>
    <w:rsid w:val="005A6301"/>
    <w:rsid w:val="005A6BDC"/>
    <w:rsid w:val="005A6FEB"/>
    <w:rsid w:val="005A70DA"/>
    <w:rsid w:val="005A71F1"/>
    <w:rsid w:val="005B0751"/>
    <w:rsid w:val="005B15A9"/>
    <w:rsid w:val="005B1B78"/>
    <w:rsid w:val="005B21C9"/>
    <w:rsid w:val="005B25FF"/>
    <w:rsid w:val="005B36CF"/>
    <w:rsid w:val="005B3A8C"/>
    <w:rsid w:val="005B3D59"/>
    <w:rsid w:val="005B4654"/>
    <w:rsid w:val="005B4905"/>
    <w:rsid w:val="005B5516"/>
    <w:rsid w:val="005B5617"/>
    <w:rsid w:val="005B5921"/>
    <w:rsid w:val="005B6307"/>
    <w:rsid w:val="005B6674"/>
    <w:rsid w:val="005B691B"/>
    <w:rsid w:val="005B74FB"/>
    <w:rsid w:val="005B79B0"/>
    <w:rsid w:val="005C0EEC"/>
    <w:rsid w:val="005C1920"/>
    <w:rsid w:val="005C19DD"/>
    <w:rsid w:val="005C1AE2"/>
    <w:rsid w:val="005C1B10"/>
    <w:rsid w:val="005C1D84"/>
    <w:rsid w:val="005C1EA8"/>
    <w:rsid w:val="005C2655"/>
    <w:rsid w:val="005C2684"/>
    <w:rsid w:val="005C2B6A"/>
    <w:rsid w:val="005C327E"/>
    <w:rsid w:val="005C3417"/>
    <w:rsid w:val="005C41A5"/>
    <w:rsid w:val="005C43AA"/>
    <w:rsid w:val="005C4714"/>
    <w:rsid w:val="005C48F2"/>
    <w:rsid w:val="005C4A97"/>
    <w:rsid w:val="005C5AC8"/>
    <w:rsid w:val="005C632F"/>
    <w:rsid w:val="005D0034"/>
    <w:rsid w:val="005D1541"/>
    <w:rsid w:val="005D18B7"/>
    <w:rsid w:val="005D1C3F"/>
    <w:rsid w:val="005D26B8"/>
    <w:rsid w:val="005D35B4"/>
    <w:rsid w:val="005D43F4"/>
    <w:rsid w:val="005D4AF7"/>
    <w:rsid w:val="005D4C30"/>
    <w:rsid w:val="005D4CD3"/>
    <w:rsid w:val="005D5367"/>
    <w:rsid w:val="005D5457"/>
    <w:rsid w:val="005D5687"/>
    <w:rsid w:val="005D5DF4"/>
    <w:rsid w:val="005D7745"/>
    <w:rsid w:val="005D7AB0"/>
    <w:rsid w:val="005D7F92"/>
    <w:rsid w:val="005E00D7"/>
    <w:rsid w:val="005E01F9"/>
    <w:rsid w:val="005E0233"/>
    <w:rsid w:val="005E0ABD"/>
    <w:rsid w:val="005E1B75"/>
    <w:rsid w:val="005E2283"/>
    <w:rsid w:val="005E4167"/>
    <w:rsid w:val="005E4B50"/>
    <w:rsid w:val="005E54E4"/>
    <w:rsid w:val="005E5673"/>
    <w:rsid w:val="005E56B2"/>
    <w:rsid w:val="005E5746"/>
    <w:rsid w:val="005E59A3"/>
    <w:rsid w:val="005E675F"/>
    <w:rsid w:val="005E67E0"/>
    <w:rsid w:val="005E6822"/>
    <w:rsid w:val="005E7475"/>
    <w:rsid w:val="005E7595"/>
    <w:rsid w:val="005E7745"/>
    <w:rsid w:val="005E77E2"/>
    <w:rsid w:val="005E786D"/>
    <w:rsid w:val="005F022D"/>
    <w:rsid w:val="005F0714"/>
    <w:rsid w:val="005F1287"/>
    <w:rsid w:val="005F1B21"/>
    <w:rsid w:val="005F286F"/>
    <w:rsid w:val="005F2D24"/>
    <w:rsid w:val="005F360D"/>
    <w:rsid w:val="005F3EA1"/>
    <w:rsid w:val="005F41DD"/>
    <w:rsid w:val="005F511D"/>
    <w:rsid w:val="005F616E"/>
    <w:rsid w:val="005F6E59"/>
    <w:rsid w:val="005F7324"/>
    <w:rsid w:val="005F7749"/>
    <w:rsid w:val="005F7BEF"/>
    <w:rsid w:val="00600756"/>
    <w:rsid w:val="006008EF"/>
    <w:rsid w:val="00600C01"/>
    <w:rsid w:val="00600C6A"/>
    <w:rsid w:val="00600FC9"/>
    <w:rsid w:val="0060128B"/>
    <w:rsid w:val="0060131F"/>
    <w:rsid w:val="00602102"/>
    <w:rsid w:val="00602368"/>
    <w:rsid w:val="00602B4D"/>
    <w:rsid w:val="006033E2"/>
    <w:rsid w:val="0060356F"/>
    <w:rsid w:val="00603E1C"/>
    <w:rsid w:val="006043CB"/>
    <w:rsid w:val="0060445A"/>
    <w:rsid w:val="00604C72"/>
    <w:rsid w:val="006057FA"/>
    <w:rsid w:val="006058E3"/>
    <w:rsid w:val="006076A9"/>
    <w:rsid w:val="00607752"/>
    <w:rsid w:val="00607AFE"/>
    <w:rsid w:val="00607C6E"/>
    <w:rsid w:val="0061015E"/>
    <w:rsid w:val="006104AD"/>
    <w:rsid w:val="00610756"/>
    <w:rsid w:val="00610B7C"/>
    <w:rsid w:val="00610C56"/>
    <w:rsid w:val="00611797"/>
    <w:rsid w:val="00611A0A"/>
    <w:rsid w:val="00611BAF"/>
    <w:rsid w:val="0061263A"/>
    <w:rsid w:val="00613569"/>
    <w:rsid w:val="006139F7"/>
    <w:rsid w:val="0061460F"/>
    <w:rsid w:val="00614D98"/>
    <w:rsid w:val="00615348"/>
    <w:rsid w:val="00615A57"/>
    <w:rsid w:val="00615A81"/>
    <w:rsid w:val="00616417"/>
    <w:rsid w:val="006168F2"/>
    <w:rsid w:val="00616C3D"/>
    <w:rsid w:val="006171DB"/>
    <w:rsid w:val="00617DBD"/>
    <w:rsid w:val="0062022D"/>
    <w:rsid w:val="00621015"/>
    <w:rsid w:val="00622321"/>
    <w:rsid w:val="0062285E"/>
    <w:rsid w:val="00622C9C"/>
    <w:rsid w:val="00622F8B"/>
    <w:rsid w:val="006241F9"/>
    <w:rsid w:val="00624606"/>
    <w:rsid w:val="00624C5D"/>
    <w:rsid w:val="00624DAC"/>
    <w:rsid w:val="00626052"/>
    <w:rsid w:val="00626173"/>
    <w:rsid w:val="00626273"/>
    <w:rsid w:val="00626E19"/>
    <w:rsid w:val="0062707B"/>
    <w:rsid w:val="006274A8"/>
    <w:rsid w:val="00627996"/>
    <w:rsid w:val="00630147"/>
    <w:rsid w:val="00630951"/>
    <w:rsid w:val="00630A3A"/>
    <w:rsid w:val="00631F09"/>
    <w:rsid w:val="00633E34"/>
    <w:rsid w:val="00633E95"/>
    <w:rsid w:val="00634385"/>
    <w:rsid w:val="00634834"/>
    <w:rsid w:val="006354E0"/>
    <w:rsid w:val="00635BA4"/>
    <w:rsid w:val="00635CB9"/>
    <w:rsid w:val="00637739"/>
    <w:rsid w:val="00637C9C"/>
    <w:rsid w:val="0064007C"/>
    <w:rsid w:val="006403AC"/>
    <w:rsid w:val="00640457"/>
    <w:rsid w:val="006409A2"/>
    <w:rsid w:val="00640BDD"/>
    <w:rsid w:val="00641581"/>
    <w:rsid w:val="00642245"/>
    <w:rsid w:val="006423D1"/>
    <w:rsid w:val="00642AAE"/>
    <w:rsid w:val="00642F74"/>
    <w:rsid w:val="006430AE"/>
    <w:rsid w:val="0064334A"/>
    <w:rsid w:val="006434C3"/>
    <w:rsid w:val="00643998"/>
    <w:rsid w:val="006446B9"/>
    <w:rsid w:val="0064495A"/>
    <w:rsid w:val="00644B11"/>
    <w:rsid w:val="00644C6C"/>
    <w:rsid w:val="00644CCA"/>
    <w:rsid w:val="00644D29"/>
    <w:rsid w:val="00645C9D"/>
    <w:rsid w:val="00647303"/>
    <w:rsid w:val="00650878"/>
    <w:rsid w:val="00651274"/>
    <w:rsid w:val="0065156A"/>
    <w:rsid w:val="0065169A"/>
    <w:rsid w:val="0065172E"/>
    <w:rsid w:val="006518BC"/>
    <w:rsid w:val="00651D62"/>
    <w:rsid w:val="00651EF9"/>
    <w:rsid w:val="00652975"/>
    <w:rsid w:val="00652B56"/>
    <w:rsid w:val="00653DFE"/>
    <w:rsid w:val="00654364"/>
    <w:rsid w:val="006543B8"/>
    <w:rsid w:val="00654551"/>
    <w:rsid w:val="00654AC5"/>
    <w:rsid w:val="00655277"/>
    <w:rsid w:val="006557A0"/>
    <w:rsid w:val="00655C56"/>
    <w:rsid w:val="0065656B"/>
    <w:rsid w:val="00656670"/>
    <w:rsid w:val="00656A82"/>
    <w:rsid w:val="00657E26"/>
    <w:rsid w:val="00660470"/>
    <w:rsid w:val="00660DA7"/>
    <w:rsid w:val="00660EFC"/>
    <w:rsid w:val="00661991"/>
    <w:rsid w:val="00661DF5"/>
    <w:rsid w:val="006620CD"/>
    <w:rsid w:val="00662133"/>
    <w:rsid w:val="00662460"/>
    <w:rsid w:val="00662AEB"/>
    <w:rsid w:val="00663655"/>
    <w:rsid w:val="0066383A"/>
    <w:rsid w:val="0066421F"/>
    <w:rsid w:val="00664264"/>
    <w:rsid w:val="0066448F"/>
    <w:rsid w:val="00664B90"/>
    <w:rsid w:val="00664F1F"/>
    <w:rsid w:val="006656B4"/>
    <w:rsid w:val="00665DCB"/>
    <w:rsid w:val="00665FF0"/>
    <w:rsid w:val="006663DD"/>
    <w:rsid w:val="0066666E"/>
    <w:rsid w:val="00666B36"/>
    <w:rsid w:val="00666BE6"/>
    <w:rsid w:val="00666E82"/>
    <w:rsid w:val="00667860"/>
    <w:rsid w:val="006678B3"/>
    <w:rsid w:val="00667A96"/>
    <w:rsid w:val="00667B17"/>
    <w:rsid w:val="00667B9C"/>
    <w:rsid w:val="00667D6F"/>
    <w:rsid w:val="00667E1C"/>
    <w:rsid w:val="00667FF4"/>
    <w:rsid w:val="006705C3"/>
    <w:rsid w:val="00670B60"/>
    <w:rsid w:val="00670CBD"/>
    <w:rsid w:val="00670CED"/>
    <w:rsid w:val="00670F0C"/>
    <w:rsid w:val="006712C7"/>
    <w:rsid w:val="00671373"/>
    <w:rsid w:val="00671A0B"/>
    <w:rsid w:val="00672E7E"/>
    <w:rsid w:val="00672EBB"/>
    <w:rsid w:val="006744AE"/>
    <w:rsid w:val="00674CCE"/>
    <w:rsid w:val="00674E6D"/>
    <w:rsid w:val="00675090"/>
    <w:rsid w:val="00675254"/>
    <w:rsid w:val="00675D52"/>
    <w:rsid w:val="0067603B"/>
    <w:rsid w:val="006766E5"/>
    <w:rsid w:val="00677081"/>
    <w:rsid w:val="0067758D"/>
    <w:rsid w:val="0067783E"/>
    <w:rsid w:val="00680034"/>
    <w:rsid w:val="00680166"/>
    <w:rsid w:val="006806A5"/>
    <w:rsid w:val="00680968"/>
    <w:rsid w:val="00680B9C"/>
    <w:rsid w:val="006819CE"/>
    <w:rsid w:val="00681D88"/>
    <w:rsid w:val="00681F58"/>
    <w:rsid w:val="00682200"/>
    <w:rsid w:val="00682A1F"/>
    <w:rsid w:val="00682D7E"/>
    <w:rsid w:val="00682EAF"/>
    <w:rsid w:val="00682FFC"/>
    <w:rsid w:val="006837D0"/>
    <w:rsid w:val="00683E10"/>
    <w:rsid w:val="006841C0"/>
    <w:rsid w:val="006841EE"/>
    <w:rsid w:val="00684781"/>
    <w:rsid w:val="006851F1"/>
    <w:rsid w:val="006857C3"/>
    <w:rsid w:val="0068773F"/>
    <w:rsid w:val="0069069A"/>
    <w:rsid w:val="00691340"/>
    <w:rsid w:val="00691CF5"/>
    <w:rsid w:val="00691DC1"/>
    <w:rsid w:val="006924B8"/>
    <w:rsid w:val="006934EB"/>
    <w:rsid w:val="006935D9"/>
    <w:rsid w:val="00693F8F"/>
    <w:rsid w:val="00694192"/>
    <w:rsid w:val="006946A6"/>
    <w:rsid w:val="00694F86"/>
    <w:rsid w:val="006950A1"/>
    <w:rsid w:val="006950FF"/>
    <w:rsid w:val="006955F4"/>
    <w:rsid w:val="00695DEE"/>
    <w:rsid w:val="0069657C"/>
    <w:rsid w:val="006967A9"/>
    <w:rsid w:val="00696A90"/>
    <w:rsid w:val="00696D48"/>
    <w:rsid w:val="00697108"/>
    <w:rsid w:val="006A09C6"/>
    <w:rsid w:val="006A0FE5"/>
    <w:rsid w:val="006A1753"/>
    <w:rsid w:val="006A1C40"/>
    <w:rsid w:val="006A2914"/>
    <w:rsid w:val="006A4B9E"/>
    <w:rsid w:val="006A5E99"/>
    <w:rsid w:val="006A699D"/>
    <w:rsid w:val="006A6EC3"/>
    <w:rsid w:val="006A7009"/>
    <w:rsid w:val="006A72D5"/>
    <w:rsid w:val="006A7484"/>
    <w:rsid w:val="006A7595"/>
    <w:rsid w:val="006A776D"/>
    <w:rsid w:val="006A7E6E"/>
    <w:rsid w:val="006B0771"/>
    <w:rsid w:val="006B1011"/>
    <w:rsid w:val="006B199F"/>
    <w:rsid w:val="006B19BA"/>
    <w:rsid w:val="006B2232"/>
    <w:rsid w:val="006B26A0"/>
    <w:rsid w:val="006B381B"/>
    <w:rsid w:val="006B3B03"/>
    <w:rsid w:val="006B431F"/>
    <w:rsid w:val="006B44E3"/>
    <w:rsid w:val="006B4FFC"/>
    <w:rsid w:val="006B69A8"/>
    <w:rsid w:val="006B6FF1"/>
    <w:rsid w:val="006B7F1D"/>
    <w:rsid w:val="006C028A"/>
    <w:rsid w:val="006C02C5"/>
    <w:rsid w:val="006C168C"/>
    <w:rsid w:val="006C18A8"/>
    <w:rsid w:val="006C19E9"/>
    <w:rsid w:val="006C24B0"/>
    <w:rsid w:val="006C285A"/>
    <w:rsid w:val="006C2893"/>
    <w:rsid w:val="006C2C79"/>
    <w:rsid w:val="006C2CEC"/>
    <w:rsid w:val="006C444C"/>
    <w:rsid w:val="006C444D"/>
    <w:rsid w:val="006C4E39"/>
    <w:rsid w:val="006C53BA"/>
    <w:rsid w:val="006C59B8"/>
    <w:rsid w:val="006C5BF6"/>
    <w:rsid w:val="006C6897"/>
    <w:rsid w:val="006D0D63"/>
    <w:rsid w:val="006D0EF1"/>
    <w:rsid w:val="006D16C4"/>
    <w:rsid w:val="006D1990"/>
    <w:rsid w:val="006D24B7"/>
    <w:rsid w:val="006D274C"/>
    <w:rsid w:val="006D2B33"/>
    <w:rsid w:val="006D30D2"/>
    <w:rsid w:val="006D3BEE"/>
    <w:rsid w:val="006D415E"/>
    <w:rsid w:val="006D42E1"/>
    <w:rsid w:val="006D44F7"/>
    <w:rsid w:val="006D4B05"/>
    <w:rsid w:val="006D4C29"/>
    <w:rsid w:val="006D4C85"/>
    <w:rsid w:val="006D555B"/>
    <w:rsid w:val="006D576E"/>
    <w:rsid w:val="006D5A63"/>
    <w:rsid w:val="006D6E30"/>
    <w:rsid w:val="006D7505"/>
    <w:rsid w:val="006D7775"/>
    <w:rsid w:val="006D77D8"/>
    <w:rsid w:val="006E1A6B"/>
    <w:rsid w:val="006E1A8F"/>
    <w:rsid w:val="006E202D"/>
    <w:rsid w:val="006E22DE"/>
    <w:rsid w:val="006E241D"/>
    <w:rsid w:val="006E27FB"/>
    <w:rsid w:val="006E3C4F"/>
    <w:rsid w:val="006E3E8A"/>
    <w:rsid w:val="006E4030"/>
    <w:rsid w:val="006E4EA7"/>
    <w:rsid w:val="006E53A6"/>
    <w:rsid w:val="006E54FC"/>
    <w:rsid w:val="006E57F7"/>
    <w:rsid w:val="006E6104"/>
    <w:rsid w:val="006E67EE"/>
    <w:rsid w:val="006E6B00"/>
    <w:rsid w:val="006E6C61"/>
    <w:rsid w:val="006E71B5"/>
    <w:rsid w:val="006E788A"/>
    <w:rsid w:val="006F017D"/>
    <w:rsid w:val="006F03AB"/>
    <w:rsid w:val="006F119D"/>
    <w:rsid w:val="006F13BE"/>
    <w:rsid w:val="006F1764"/>
    <w:rsid w:val="006F1C8E"/>
    <w:rsid w:val="006F35AD"/>
    <w:rsid w:val="006F39E9"/>
    <w:rsid w:val="006F3BFC"/>
    <w:rsid w:val="006F4410"/>
    <w:rsid w:val="006F57A9"/>
    <w:rsid w:val="006F5F2D"/>
    <w:rsid w:val="006F6D48"/>
    <w:rsid w:val="006F6E8E"/>
    <w:rsid w:val="006F7210"/>
    <w:rsid w:val="006F7EC4"/>
    <w:rsid w:val="00700208"/>
    <w:rsid w:val="00701083"/>
    <w:rsid w:val="00701093"/>
    <w:rsid w:val="00701F38"/>
    <w:rsid w:val="00702CD9"/>
    <w:rsid w:val="00702CDF"/>
    <w:rsid w:val="007033E9"/>
    <w:rsid w:val="00703D01"/>
    <w:rsid w:val="0070416A"/>
    <w:rsid w:val="007046E6"/>
    <w:rsid w:val="0070549C"/>
    <w:rsid w:val="007057D0"/>
    <w:rsid w:val="0070602F"/>
    <w:rsid w:val="007061AF"/>
    <w:rsid w:val="007063E3"/>
    <w:rsid w:val="00706B8E"/>
    <w:rsid w:val="007073A3"/>
    <w:rsid w:val="007075BB"/>
    <w:rsid w:val="00710105"/>
    <w:rsid w:val="00710556"/>
    <w:rsid w:val="00710EBE"/>
    <w:rsid w:val="007110CF"/>
    <w:rsid w:val="007117D9"/>
    <w:rsid w:val="00711CD6"/>
    <w:rsid w:val="007123A9"/>
    <w:rsid w:val="00712955"/>
    <w:rsid w:val="007129CB"/>
    <w:rsid w:val="00713120"/>
    <w:rsid w:val="007138BD"/>
    <w:rsid w:val="007145E6"/>
    <w:rsid w:val="00714794"/>
    <w:rsid w:val="00714809"/>
    <w:rsid w:val="007148E6"/>
    <w:rsid w:val="00714993"/>
    <w:rsid w:val="00714EEB"/>
    <w:rsid w:val="00714F90"/>
    <w:rsid w:val="00715E0E"/>
    <w:rsid w:val="00715EDF"/>
    <w:rsid w:val="00715F46"/>
    <w:rsid w:val="00716A3A"/>
    <w:rsid w:val="00716FE9"/>
    <w:rsid w:val="0071738D"/>
    <w:rsid w:val="0071781D"/>
    <w:rsid w:val="0072001F"/>
    <w:rsid w:val="00720F29"/>
    <w:rsid w:val="00720F79"/>
    <w:rsid w:val="00721C94"/>
    <w:rsid w:val="00721E76"/>
    <w:rsid w:val="00722392"/>
    <w:rsid w:val="007229AB"/>
    <w:rsid w:val="00723381"/>
    <w:rsid w:val="007235B8"/>
    <w:rsid w:val="0072377E"/>
    <w:rsid w:val="00723E95"/>
    <w:rsid w:val="00723FF9"/>
    <w:rsid w:val="007243BF"/>
    <w:rsid w:val="00724B02"/>
    <w:rsid w:val="00725451"/>
    <w:rsid w:val="00725C14"/>
    <w:rsid w:val="00725DC4"/>
    <w:rsid w:val="00726875"/>
    <w:rsid w:val="00726BEC"/>
    <w:rsid w:val="00727355"/>
    <w:rsid w:val="007300CB"/>
    <w:rsid w:val="007302C6"/>
    <w:rsid w:val="00730476"/>
    <w:rsid w:val="00730ADA"/>
    <w:rsid w:val="00730BDA"/>
    <w:rsid w:val="00730DED"/>
    <w:rsid w:val="00731BD2"/>
    <w:rsid w:val="00731FCA"/>
    <w:rsid w:val="00732444"/>
    <w:rsid w:val="007326ED"/>
    <w:rsid w:val="00733375"/>
    <w:rsid w:val="00733997"/>
    <w:rsid w:val="00733EC3"/>
    <w:rsid w:val="00733F8C"/>
    <w:rsid w:val="0073412F"/>
    <w:rsid w:val="0073424D"/>
    <w:rsid w:val="00734426"/>
    <w:rsid w:val="0073480F"/>
    <w:rsid w:val="00734AF8"/>
    <w:rsid w:val="007350F2"/>
    <w:rsid w:val="00735462"/>
    <w:rsid w:val="00735560"/>
    <w:rsid w:val="007356F1"/>
    <w:rsid w:val="00735DA4"/>
    <w:rsid w:val="0073612F"/>
    <w:rsid w:val="0073615D"/>
    <w:rsid w:val="007361E1"/>
    <w:rsid w:val="00736763"/>
    <w:rsid w:val="00736AFD"/>
    <w:rsid w:val="00736B2F"/>
    <w:rsid w:val="00736D2A"/>
    <w:rsid w:val="00736E76"/>
    <w:rsid w:val="00737030"/>
    <w:rsid w:val="007405D5"/>
    <w:rsid w:val="007409CD"/>
    <w:rsid w:val="00740C1E"/>
    <w:rsid w:val="00740E61"/>
    <w:rsid w:val="007418E1"/>
    <w:rsid w:val="00742B15"/>
    <w:rsid w:val="00742B7C"/>
    <w:rsid w:val="00743C60"/>
    <w:rsid w:val="00744729"/>
    <w:rsid w:val="00744A27"/>
    <w:rsid w:val="00744D43"/>
    <w:rsid w:val="007454A4"/>
    <w:rsid w:val="007462DD"/>
    <w:rsid w:val="00746354"/>
    <w:rsid w:val="00746756"/>
    <w:rsid w:val="00746805"/>
    <w:rsid w:val="00746A01"/>
    <w:rsid w:val="00746D71"/>
    <w:rsid w:val="00747223"/>
    <w:rsid w:val="007475E0"/>
    <w:rsid w:val="00750243"/>
    <w:rsid w:val="007504DE"/>
    <w:rsid w:val="00750728"/>
    <w:rsid w:val="007521F3"/>
    <w:rsid w:val="00752481"/>
    <w:rsid w:val="007529C2"/>
    <w:rsid w:val="00752DC5"/>
    <w:rsid w:val="00752EF0"/>
    <w:rsid w:val="00754185"/>
    <w:rsid w:val="00754448"/>
    <w:rsid w:val="00754647"/>
    <w:rsid w:val="007548A5"/>
    <w:rsid w:val="007548D7"/>
    <w:rsid w:val="00754AAD"/>
    <w:rsid w:val="0075582C"/>
    <w:rsid w:val="0075597F"/>
    <w:rsid w:val="00755ED8"/>
    <w:rsid w:val="00756110"/>
    <w:rsid w:val="00756145"/>
    <w:rsid w:val="00756722"/>
    <w:rsid w:val="00757606"/>
    <w:rsid w:val="007578CF"/>
    <w:rsid w:val="00757C99"/>
    <w:rsid w:val="007606CD"/>
    <w:rsid w:val="007612D5"/>
    <w:rsid w:val="007612E6"/>
    <w:rsid w:val="00761810"/>
    <w:rsid w:val="0076214E"/>
    <w:rsid w:val="00762870"/>
    <w:rsid w:val="007628F7"/>
    <w:rsid w:val="00763E4E"/>
    <w:rsid w:val="00763FE4"/>
    <w:rsid w:val="00763FFA"/>
    <w:rsid w:val="00764B26"/>
    <w:rsid w:val="00764BF1"/>
    <w:rsid w:val="0076537A"/>
    <w:rsid w:val="00765836"/>
    <w:rsid w:val="007659E1"/>
    <w:rsid w:val="00765C48"/>
    <w:rsid w:val="0076631E"/>
    <w:rsid w:val="0076671A"/>
    <w:rsid w:val="00766955"/>
    <w:rsid w:val="00766ABE"/>
    <w:rsid w:val="00767193"/>
    <w:rsid w:val="00767B62"/>
    <w:rsid w:val="007703D8"/>
    <w:rsid w:val="007704A1"/>
    <w:rsid w:val="00770D08"/>
    <w:rsid w:val="00770E20"/>
    <w:rsid w:val="0077108C"/>
    <w:rsid w:val="00771594"/>
    <w:rsid w:val="00771759"/>
    <w:rsid w:val="00771EBE"/>
    <w:rsid w:val="00772581"/>
    <w:rsid w:val="00772ED0"/>
    <w:rsid w:val="00773411"/>
    <w:rsid w:val="0077382A"/>
    <w:rsid w:val="0077389A"/>
    <w:rsid w:val="007740B7"/>
    <w:rsid w:val="00774579"/>
    <w:rsid w:val="00775174"/>
    <w:rsid w:val="00775BBE"/>
    <w:rsid w:val="007766D8"/>
    <w:rsid w:val="00776E62"/>
    <w:rsid w:val="007772E9"/>
    <w:rsid w:val="00780010"/>
    <w:rsid w:val="007801C0"/>
    <w:rsid w:val="007803D5"/>
    <w:rsid w:val="00780F73"/>
    <w:rsid w:val="00781A9A"/>
    <w:rsid w:val="007821C1"/>
    <w:rsid w:val="00782336"/>
    <w:rsid w:val="00782B5D"/>
    <w:rsid w:val="00782DAA"/>
    <w:rsid w:val="00783644"/>
    <w:rsid w:val="00783C9F"/>
    <w:rsid w:val="00784021"/>
    <w:rsid w:val="007846DD"/>
    <w:rsid w:val="00784DD3"/>
    <w:rsid w:val="00784E6D"/>
    <w:rsid w:val="0078533A"/>
    <w:rsid w:val="00785634"/>
    <w:rsid w:val="007856E2"/>
    <w:rsid w:val="00785AA9"/>
    <w:rsid w:val="00785EBE"/>
    <w:rsid w:val="00791105"/>
    <w:rsid w:val="00791441"/>
    <w:rsid w:val="007917B5"/>
    <w:rsid w:val="007918AE"/>
    <w:rsid w:val="00791B1C"/>
    <w:rsid w:val="00791B5D"/>
    <w:rsid w:val="007933A8"/>
    <w:rsid w:val="00793E39"/>
    <w:rsid w:val="00793F0B"/>
    <w:rsid w:val="00794490"/>
    <w:rsid w:val="007945E7"/>
    <w:rsid w:val="00794880"/>
    <w:rsid w:val="00794D42"/>
    <w:rsid w:val="00795BDD"/>
    <w:rsid w:val="00796047"/>
    <w:rsid w:val="0079668E"/>
    <w:rsid w:val="00796C49"/>
    <w:rsid w:val="00796D16"/>
    <w:rsid w:val="00797124"/>
    <w:rsid w:val="00797400"/>
    <w:rsid w:val="00797BCE"/>
    <w:rsid w:val="00797C4E"/>
    <w:rsid w:val="007A0954"/>
    <w:rsid w:val="007A2227"/>
    <w:rsid w:val="007A2759"/>
    <w:rsid w:val="007A3022"/>
    <w:rsid w:val="007A35E6"/>
    <w:rsid w:val="007A3679"/>
    <w:rsid w:val="007A3D95"/>
    <w:rsid w:val="007A4310"/>
    <w:rsid w:val="007A4461"/>
    <w:rsid w:val="007A48A6"/>
    <w:rsid w:val="007A4E65"/>
    <w:rsid w:val="007A4ED3"/>
    <w:rsid w:val="007A594A"/>
    <w:rsid w:val="007A6580"/>
    <w:rsid w:val="007A6B86"/>
    <w:rsid w:val="007A6F8E"/>
    <w:rsid w:val="007A6F95"/>
    <w:rsid w:val="007A7168"/>
    <w:rsid w:val="007A737D"/>
    <w:rsid w:val="007A77B2"/>
    <w:rsid w:val="007A7DC1"/>
    <w:rsid w:val="007B0421"/>
    <w:rsid w:val="007B0C93"/>
    <w:rsid w:val="007B0DBF"/>
    <w:rsid w:val="007B19AC"/>
    <w:rsid w:val="007B2601"/>
    <w:rsid w:val="007B2B4E"/>
    <w:rsid w:val="007B33DF"/>
    <w:rsid w:val="007B3EF2"/>
    <w:rsid w:val="007B45B2"/>
    <w:rsid w:val="007B4704"/>
    <w:rsid w:val="007B5023"/>
    <w:rsid w:val="007B5814"/>
    <w:rsid w:val="007B63A1"/>
    <w:rsid w:val="007B6D2B"/>
    <w:rsid w:val="007B70E1"/>
    <w:rsid w:val="007B7370"/>
    <w:rsid w:val="007B7BBE"/>
    <w:rsid w:val="007C050E"/>
    <w:rsid w:val="007C11BE"/>
    <w:rsid w:val="007C12A6"/>
    <w:rsid w:val="007C1339"/>
    <w:rsid w:val="007C191A"/>
    <w:rsid w:val="007C271C"/>
    <w:rsid w:val="007C2A70"/>
    <w:rsid w:val="007C3183"/>
    <w:rsid w:val="007C34EC"/>
    <w:rsid w:val="007C3894"/>
    <w:rsid w:val="007C389A"/>
    <w:rsid w:val="007C3CDD"/>
    <w:rsid w:val="007C3F27"/>
    <w:rsid w:val="007C4CE7"/>
    <w:rsid w:val="007C4F2D"/>
    <w:rsid w:val="007C5144"/>
    <w:rsid w:val="007C53D5"/>
    <w:rsid w:val="007C55CA"/>
    <w:rsid w:val="007C63CA"/>
    <w:rsid w:val="007C7CFB"/>
    <w:rsid w:val="007D020C"/>
    <w:rsid w:val="007D09E9"/>
    <w:rsid w:val="007D19D6"/>
    <w:rsid w:val="007D20AB"/>
    <w:rsid w:val="007D26B1"/>
    <w:rsid w:val="007D287B"/>
    <w:rsid w:val="007D3228"/>
    <w:rsid w:val="007D3547"/>
    <w:rsid w:val="007D3750"/>
    <w:rsid w:val="007D3E91"/>
    <w:rsid w:val="007D41C2"/>
    <w:rsid w:val="007D423F"/>
    <w:rsid w:val="007D4BEF"/>
    <w:rsid w:val="007D5F26"/>
    <w:rsid w:val="007D6AB0"/>
    <w:rsid w:val="007D796D"/>
    <w:rsid w:val="007D7ADC"/>
    <w:rsid w:val="007E0D2E"/>
    <w:rsid w:val="007E1159"/>
    <w:rsid w:val="007E1ADC"/>
    <w:rsid w:val="007E1ADF"/>
    <w:rsid w:val="007E244D"/>
    <w:rsid w:val="007E2A35"/>
    <w:rsid w:val="007E301A"/>
    <w:rsid w:val="007E32DA"/>
    <w:rsid w:val="007E3A9A"/>
    <w:rsid w:val="007E3F08"/>
    <w:rsid w:val="007E45BA"/>
    <w:rsid w:val="007E4882"/>
    <w:rsid w:val="007E4BC2"/>
    <w:rsid w:val="007E5BDE"/>
    <w:rsid w:val="007E6731"/>
    <w:rsid w:val="007E6E9B"/>
    <w:rsid w:val="007E7183"/>
    <w:rsid w:val="007E721C"/>
    <w:rsid w:val="007E774D"/>
    <w:rsid w:val="007E79D2"/>
    <w:rsid w:val="007E7C34"/>
    <w:rsid w:val="007F0A4F"/>
    <w:rsid w:val="007F188E"/>
    <w:rsid w:val="007F18A8"/>
    <w:rsid w:val="007F2449"/>
    <w:rsid w:val="007F2A7F"/>
    <w:rsid w:val="007F3427"/>
    <w:rsid w:val="007F54FE"/>
    <w:rsid w:val="007F5E62"/>
    <w:rsid w:val="007F725C"/>
    <w:rsid w:val="007F7301"/>
    <w:rsid w:val="007F7D0C"/>
    <w:rsid w:val="008000B1"/>
    <w:rsid w:val="0080173E"/>
    <w:rsid w:val="0080185A"/>
    <w:rsid w:val="0080197F"/>
    <w:rsid w:val="00801F0D"/>
    <w:rsid w:val="008020CC"/>
    <w:rsid w:val="008026A4"/>
    <w:rsid w:val="00803A74"/>
    <w:rsid w:val="00803BF5"/>
    <w:rsid w:val="00804192"/>
    <w:rsid w:val="008041B2"/>
    <w:rsid w:val="0080421E"/>
    <w:rsid w:val="008046D0"/>
    <w:rsid w:val="0080474F"/>
    <w:rsid w:val="0080488D"/>
    <w:rsid w:val="00804CA6"/>
    <w:rsid w:val="00805B8D"/>
    <w:rsid w:val="0080608B"/>
    <w:rsid w:val="0080620D"/>
    <w:rsid w:val="00806EF5"/>
    <w:rsid w:val="00807005"/>
    <w:rsid w:val="0080785B"/>
    <w:rsid w:val="00807D75"/>
    <w:rsid w:val="00810091"/>
    <w:rsid w:val="008102BF"/>
    <w:rsid w:val="00810B65"/>
    <w:rsid w:val="00810E7C"/>
    <w:rsid w:val="00810F01"/>
    <w:rsid w:val="00811124"/>
    <w:rsid w:val="0081144B"/>
    <w:rsid w:val="00812161"/>
    <w:rsid w:val="00812518"/>
    <w:rsid w:val="00812CFF"/>
    <w:rsid w:val="00812F4D"/>
    <w:rsid w:val="008146FA"/>
    <w:rsid w:val="00814715"/>
    <w:rsid w:val="00814D64"/>
    <w:rsid w:val="00814E9C"/>
    <w:rsid w:val="00814ECF"/>
    <w:rsid w:val="00815130"/>
    <w:rsid w:val="008155B4"/>
    <w:rsid w:val="00815790"/>
    <w:rsid w:val="00816E12"/>
    <w:rsid w:val="00817180"/>
    <w:rsid w:val="00817267"/>
    <w:rsid w:val="00817BEF"/>
    <w:rsid w:val="00820200"/>
    <w:rsid w:val="008204D5"/>
    <w:rsid w:val="00820532"/>
    <w:rsid w:val="00820A84"/>
    <w:rsid w:val="00821164"/>
    <w:rsid w:val="00821230"/>
    <w:rsid w:val="00822ADC"/>
    <w:rsid w:val="00822CE9"/>
    <w:rsid w:val="00822EAB"/>
    <w:rsid w:val="00823330"/>
    <w:rsid w:val="008236B3"/>
    <w:rsid w:val="0082420B"/>
    <w:rsid w:val="00824DFC"/>
    <w:rsid w:val="008253E6"/>
    <w:rsid w:val="00825467"/>
    <w:rsid w:val="008257BB"/>
    <w:rsid w:val="0082694A"/>
    <w:rsid w:val="008271D8"/>
    <w:rsid w:val="008275D2"/>
    <w:rsid w:val="00830540"/>
    <w:rsid w:val="008309B2"/>
    <w:rsid w:val="00830D29"/>
    <w:rsid w:val="00831138"/>
    <w:rsid w:val="008323EF"/>
    <w:rsid w:val="00832E14"/>
    <w:rsid w:val="008333A6"/>
    <w:rsid w:val="008335A8"/>
    <w:rsid w:val="0083368F"/>
    <w:rsid w:val="00833891"/>
    <w:rsid w:val="0083396A"/>
    <w:rsid w:val="00834891"/>
    <w:rsid w:val="00834D29"/>
    <w:rsid w:val="00835ED5"/>
    <w:rsid w:val="00836125"/>
    <w:rsid w:val="00836DFE"/>
    <w:rsid w:val="008371D4"/>
    <w:rsid w:val="00837515"/>
    <w:rsid w:val="00837946"/>
    <w:rsid w:val="00837A28"/>
    <w:rsid w:val="00840172"/>
    <w:rsid w:val="00840871"/>
    <w:rsid w:val="00842348"/>
    <w:rsid w:val="00842761"/>
    <w:rsid w:val="00842955"/>
    <w:rsid w:val="008431DC"/>
    <w:rsid w:val="0084368D"/>
    <w:rsid w:val="00843725"/>
    <w:rsid w:val="00844802"/>
    <w:rsid w:val="008449D9"/>
    <w:rsid w:val="00844C67"/>
    <w:rsid w:val="00844E4B"/>
    <w:rsid w:val="008453D5"/>
    <w:rsid w:val="008461CD"/>
    <w:rsid w:val="008463E6"/>
    <w:rsid w:val="00846592"/>
    <w:rsid w:val="00846886"/>
    <w:rsid w:val="00846AD6"/>
    <w:rsid w:val="00846E54"/>
    <w:rsid w:val="00847744"/>
    <w:rsid w:val="00850C76"/>
    <w:rsid w:val="008513AE"/>
    <w:rsid w:val="00851611"/>
    <w:rsid w:val="00852604"/>
    <w:rsid w:val="008528B3"/>
    <w:rsid w:val="0085378A"/>
    <w:rsid w:val="00853D98"/>
    <w:rsid w:val="00854031"/>
    <w:rsid w:val="008541AC"/>
    <w:rsid w:val="00854927"/>
    <w:rsid w:val="00854D7F"/>
    <w:rsid w:val="008550D8"/>
    <w:rsid w:val="0085602A"/>
    <w:rsid w:val="00856089"/>
    <w:rsid w:val="0085639B"/>
    <w:rsid w:val="0085679B"/>
    <w:rsid w:val="00856A99"/>
    <w:rsid w:val="00857094"/>
    <w:rsid w:val="008571D5"/>
    <w:rsid w:val="0085772A"/>
    <w:rsid w:val="00857ABE"/>
    <w:rsid w:val="00861F1B"/>
    <w:rsid w:val="0086220E"/>
    <w:rsid w:val="00863066"/>
    <w:rsid w:val="00863A13"/>
    <w:rsid w:val="008641BB"/>
    <w:rsid w:val="008650D0"/>
    <w:rsid w:val="00866052"/>
    <w:rsid w:val="0086621F"/>
    <w:rsid w:val="008666C3"/>
    <w:rsid w:val="00866B60"/>
    <w:rsid w:val="008670F3"/>
    <w:rsid w:val="0086739A"/>
    <w:rsid w:val="00867753"/>
    <w:rsid w:val="008678C9"/>
    <w:rsid w:val="008679DE"/>
    <w:rsid w:val="008679F7"/>
    <w:rsid w:val="00867EB4"/>
    <w:rsid w:val="00870006"/>
    <w:rsid w:val="00870780"/>
    <w:rsid w:val="00870ACD"/>
    <w:rsid w:val="00870B1F"/>
    <w:rsid w:val="00870E3C"/>
    <w:rsid w:val="008710F1"/>
    <w:rsid w:val="008721D1"/>
    <w:rsid w:val="00872936"/>
    <w:rsid w:val="00872A6E"/>
    <w:rsid w:val="00873828"/>
    <w:rsid w:val="00873829"/>
    <w:rsid w:val="00873E9C"/>
    <w:rsid w:val="00874184"/>
    <w:rsid w:val="00874444"/>
    <w:rsid w:val="008745E3"/>
    <w:rsid w:val="00874CED"/>
    <w:rsid w:val="00874F37"/>
    <w:rsid w:val="00875937"/>
    <w:rsid w:val="00875AEF"/>
    <w:rsid w:val="00876024"/>
    <w:rsid w:val="0087625A"/>
    <w:rsid w:val="008777BD"/>
    <w:rsid w:val="00877C2A"/>
    <w:rsid w:val="00877C96"/>
    <w:rsid w:val="00877D0C"/>
    <w:rsid w:val="00877F55"/>
    <w:rsid w:val="008808C4"/>
    <w:rsid w:val="00880C19"/>
    <w:rsid w:val="0088102D"/>
    <w:rsid w:val="008815BE"/>
    <w:rsid w:val="00881920"/>
    <w:rsid w:val="008826EB"/>
    <w:rsid w:val="0088308E"/>
    <w:rsid w:val="00883A7A"/>
    <w:rsid w:val="008840A0"/>
    <w:rsid w:val="00884195"/>
    <w:rsid w:val="00884345"/>
    <w:rsid w:val="0088494F"/>
    <w:rsid w:val="00885B18"/>
    <w:rsid w:val="00885BC9"/>
    <w:rsid w:val="00885DBF"/>
    <w:rsid w:val="00886211"/>
    <w:rsid w:val="00886319"/>
    <w:rsid w:val="008865C1"/>
    <w:rsid w:val="008868F3"/>
    <w:rsid w:val="00886CCA"/>
    <w:rsid w:val="00887589"/>
    <w:rsid w:val="0088785C"/>
    <w:rsid w:val="0089081A"/>
    <w:rsid w:val="008911E7"/>
    <w:rsid w:val="00891DDB"/>
    <w:rsid w:val="00891F8D"/>
    <w:rsid w:val="00892114"/>
    <w:rsid w:val="008923FA"/>
    <w:rsid w:val="008928C8"/>
    <w:rsid w:val="00892F0B"/>
    <w:rsid w:val="0089321C"/>
    <w:rsid w:val="00893726"/>
    <w:rsid w:val="0089390B"/>
    <w:rsid w:val="0089393C"/>
    <w:rsid w:val="008939C5"/>
    <w:rsid w:val="00893A62"/>
    <w:rsid w:val="008950E2"/>
    <w:rsid w:val="008954D4"/>
    <w:rsid w:val="00895BDB"/>
    <w:rsid w:val="00896153"/>
    <w:rsid w:val="008965D5"/>
    <w:rsid w:val="00896A4C"/>
    <w:rsid w:val="00897880"/>
    <w:rsid w:val="00897AD4"/>
    <w:rsid w:val="00897F0E"/>
    <w:rsid w:val="008A15DA"/>
    <w:rsid w:val="008A1643"/>
    <w:rsid w:val="008A1C28"/>
    <w:rsid w:val="008A1F7D"/>
    <w:rsid w:val="008A2AB7"/>
    <w:rsid w:val="008A4080"/>
    <w:rsid w:val="008A418E"/>
    <w:rsid w:val="008A47AE"/>
    <w:rsid w:val="008A47FB"/>
    <w:rsid w:val="008A4C24"/>
    <w:rsid w:val="008A4C8D"/>
    <w:rsid w:val="008A4F82"/>
    <w:rsid w:val="008A530C"/>
    <w:rsid w:val="008A5AE9"/>
    <w:rsid w:val="008A5E7C"/>
    <w:rsid w:val="008A6599"/>
    <w:rsid w:val="008A6F11"/>
    <w:rsid w:val="008A6F71"/>
    <w:rsid w:val="008A706F"/>
    <w:rsid w:val="008B0CB1"/>
    <w:rsid w:val="008B0EC6"/>
    <w:rsid w:val="008B12FC"/>
    <w:rsid w:val="008B1413"/>
    <w:rsid w:val="008B146E"/>
    <w:rsid w:val="008B1665"/>
    <w:rsid w:val="008B170E"/>
    <w:rsid w:val="008B181B"/>
    <w:rsid w:val="008B1A14"/>
    <w:rsid w:val="008B1CDE"/>
    <w:rsid w:val="008B2644"/>
    <w:rsid w:val="008B39CA"/>
    <w:rsid w:val="008B39D0"/>
    <w:rsid w:val="008B3D7E"/>
    <w:rsid w:val="008B4301"/>
    <w:rsid w:val="008B4381"/>
    <w:rsid w:val="008B4488"/>
    <w:rsid w:val="008B45A7"/>
    <w:rsid w:val="008B4BF9"/>
    <w:rsid w:val="008B4F79"/>
    <w:rsid w:val="008B581A"/>
    <w:rsid w:val="008B61F4"/>
    <w:rsid w:val="008B6B6F"/>
    <w:rsid w:val="008B705C"/>
    <w:rsid w:val="008B7183"/>
    <w:rsid w:val="008B778A"/>
    <w:rsid w:val="008C0154"/>
    <w:rsid w:val="008C0608"/>
    <w:rsid w:val="008C0B22"/>
    <w:rsid w:val="008C176E"/>
    <w:rsid w:val="008C1C87"/>
    <w:rsid w:val="008C1E2F"/>
    <w:rsid w:val="008C20F3"/>
    <w:rsid w:val="008C2691"/>
    <w:rsid w:val="008C2991"/>
    <w:rsid w:val="008C367F"/>
    <w:rsid w:val="008C38F6"/>
    <w:rsid w:val="008C4411"/>
    <w:rsid w:val="008C4496"/>
    <w:rsid w:val="008C4AF4"/>
    <w:rsid w:val="008C4C9F"/>
    <w:rsid w:val="008C5EB5"/>
    <w:rsid w:val="008C5EB7"/>
    <w:rsid w:val="008C6217"/>
    <w:rsid w:val="008C66F7"/>
    <w:rsid w:val="008C674A"/>
    <w:rsid w:val="008C6B76"/>
    <w:rsid w:val="008C6C7C"/>
    <w:rsid w:val="008C6E15"/>
    <w:rsid w:val="008C6F0E"/>
    <w:rsid w:val="008C7A79"/>
    <w:rsid w:val="008C7AC7"/>
    <w:rsid w:val="008D0B2D"/>
    <w:rsid w:val="008D11B0"/>
    <w:rsid w:val="008D1837"/>
    <w:rsid w:val="008D1A69"/>
    <w:rsid w:val="008D1FE2"/>
    <w:rsid w:val="008D2E0A"/>
    <w:rsid w:val="008D3171"/>
    <w:rsid w:val="008D3670"/>
    <w:rsid w:val="008D3EDD"/>
    <w:rsid w:val="008D406E"/>
    <w:rsid w:val="008D4EBF"/>
    <w:rsid w:val="008D5377"/>
    <w:rsid w:val="008D5A21"/>
    <w:rsid w:val="008D6204"/>
    <w:rsid w:val="008D6B2C"/>
    <w:rsid w:val="008D741D"/>
    <w:rsid w:val="008D7445"/>
    <w:rsid w:val="008D7937"/>
    <w:rsid w:val="008D7B11"/>
    <w:rsid w:val="008E054F"/>
    <w:rsid w:val="008E0E60"/>
    <w:rsid w:val="008E1055"/>
    <w:rsid w:val="008E1CC7"/>
    <w:rsid w:val="008E1D77"/>
    <w:rsid w:val="008E25F9"/>
    <w:rsid w:val="008E2937"/>
    <w:rsid w:val="008E2A1E"/>
    <w:rsid w:val="008E3069"/>
    <w:rsid w:val="008E332E"/>
    <w:rsid w:val="008E33F0"/>
    <w:rsid w:val="008E3C1D"/>
    <w:rsid w:val="008E4784"/>
    <w:rsid w:val="008E4D96"/>
    <w:rsid w:val="008E4DB3"/>
    <w:rsid w:val="008E4F21"/>
    <w:rsid w:val="008E5775"/>
    <w:rsid w:val="008E5FDC"/>
    <w:rsid w:val="008E73D7"/>
    <w:rsid w:val="008E743C"/>
    <w:rsid w:val="008E77D4"/>
    <w:rsid w:val="008E79AF"/>
    <w:rsid w:val="008F0003"/>
    <w:rsid w:val="008F0516"/>
    <w:rsid w:val="008F0BF5"/>
    <w:rsid w:val="008F0E09"/>
    <w:rsid w:val="008F1798"/>
    <w:rsid w:val="008F1BDF"/>
    <w:rsid w:val="008F1C8D"/>
    <w:rsid w:val="008F2067"/>
    <w:rsid w:val="008F2128"/>
    <w:rsid w:val="008F2F88"/>
    <w:rsid w:val="008F3821"/>
    <w:rsid w:val="008F38F2"/>
    <w:rsid w:val="008F39B0"/>
    <w:rsid w:val="008F3E3B"/>
    <w:rsid w:val="008F4B22"/>
    <w:rsid w:val="008F5293"/>
    <w:rsid w:val="008F5CFF"/>
    <w:rsid w:val="008F6586"/>
    <w:rsid w:val="008F667A"/>
    <w:rsid w:val="008F692C"/>
    <w:rsid w:val="008F7731"/>
    <w:rsid w:val="008F7C40"/>
    <w:rsid w:val="0090018F"/>
    <w:rsid w:val="009002E4"/>
    <w:rsid w:val="00900504"/>
    <w:rsid w:val="009008F3"/>
    <w:rsid w:val="0090093D"/>
    <w:rsid w:val="0090095A"/>
    <w:rsid w:val="009009C4"/>
    <w:rsid w:val="00900C5F"/>
    <w:rsid w:val="00900F6A"/>
    <w:rsid w:val="009015B5"/>
    <w:rsid w:val="0090174D"/>
    <w:rsid w:val="00901E5B"/>
    <w:rsid w:val="0090244F"/>
    <w:rsid w:val="0090250F"/>
    <w:rsid w:val="00902B14"/>
    <w:rsid w:val="00902EC7"/>
    <w:rsid w:val="00903704"/>
    <w:rsid w:val="00903CB2"/>
    <w:rsid w:val="00903F11"/>
    <w:rsid w:val="00904DBD"/>
    <w:rsid w:val="00904DC5"/>
    <w:rsid w:val="00905063"/>
    <w:rsid w:val="00906432"/>
    <w:rsid w:val="00906D68"/>
    <w:rsid w:val="00906E5D"/>
    <w:rsid w:val="00906EB1"/>
    <w:rsid w:val="0090724C"/>
    <w:rsid w:val="00907549"/>
    <w:rsid w:val="009076F9"/>
    <w:rsid w:val="00907E94"/>
    <w:rsid w:val="00911AF1"/>
    <w:rsid w:val="00911D05"/>
    <w:rsid w:val="00912431"/>
    <w:rsid w:val="009125AB"/>
    <w:rsid w:val="009134E6"/>
    <w:rsid w:val="00913B48"/>
    <w:rsid w:val="0091439B"/>
    <w:rsid w:val="00914C1B"/>
    <w:rsid w:val="009154E7"/>
    <w:rsid w:val="0091604E"/>
    <w:rsid w:val="00916EE6"/>
    <w:rsid w:val="009174BF"/>
    <w:rsid w:val="0091788C"/>
    <w:rsid w:val="009205FE"/>
    <w:rsid w:val="0092080F"/>
    <w:rsid w:val="0092081D"/>
    <w:rsid w:val="009212CC"/>
    <w:rsid w:val="00921502"/>
    <w:rsid w:val="00921739"/>
    <w:rsid w:val="00921DB6"/>
    <w:rsid w:val="0092382F"/>
    <w:rsid w:val="00923E3D"/>
    <w:rsid w:val="00924D14"/>
    <w:rsid w:val="00925A23"/>
    <w:rsid w:val="00925D2B"/>
    <w:rsid w:val="00925EB8"/>
    <w:rsid w:val="00925EB9"/>
    <w:rsid w:val="00926666"/>
    <w:rsid w:val="009274E5"/>
    <w:rsid w:val="009274ED"/>
    <w:rsid w:val="00927AC9"/>
    <w:rsid w:val="00927E41"/>
    <w:rsid w:val="00930ED6"/>
    <w:rsid w:val="00931A1E"/>
    <w:rsid w:val="00931B55"/>
    <w:rsid w:val="00932909"/>
    <w:rsid w:val="00933D61"/>
    <w:rsid w:val="00934D6B"/>
    <w:rsid w:val="009353C2"/>
    <w:rsid w:val="009358AE"/>
    <w:rsid w:val="00935CE4"/>
    <w:rsid w:val="00936320"/>
    <w:rsid w:val="00936773"/>
    <w:rsid w:val="00936D66"/>
    <w:rsid w:val="00937AB6"/>
    <w:rsid w:val="00940C08"/>
    <w:rsid w:val="00940FA4"/>
    <w:rsid w:val="00941416"/>
    <w:rsid w:val="00941F17"/>
    <w:rsid w:val="00942332"/>
    <w:rsid w:val="00942828"/>
    <w:rsid w:val="00943936"/>
    <w:rsid w:val="00943C71"/>
    <w:rsid w:val="0094409B"/>
    <w:rsid w:val="0094409F"/>
    <w:rsid w:val="00944526"/>
    <w:rsid w:val="00944781"/>
    <w:rsid w:val="00945375"/>
    <w:rsid w:val="009457CA"/>
    <w:rsid w:val="00947CA7"/>
    <w:rsid w:val="00947D38"/>
    <w:rsid w:val="0095037A"/>
    <w:rsid w:val="0095050E"/>
    <w:rsid w:val="00950558"/>
    <w:rsid w:val="0095073D"/>
    <w:rsid w:val="00950B5A"/>
    <w:rsid w:val="00950C70"/>
    <w:rsid w:val="00950D52"/>
    <w:rsid w:val="00950F50"/>
    <w:rsid w:val="00951FA5"/>
    <w:rsid w:val="0095211E"/>
    <w:rsid w:val="00953591"/>
    <w:rsid w:val="00953A55"/>
    <w:rsid w:val="00953D34"/>
    <w:rsid w:val="00954332"/>
    <w:rsid w:val="00954B81"/>
    <w:rsid w:val="00954C06"/>
    <w:rsid w:val="00955009"/>
    <w:rsid w:val="009551DD"/>
    <w:rsid w:val="00955A96"/>
    <w:rsid w:val="00956EF2"/>
    <w:rsid w:val="00957098"/>
    <w:rsid w:val="0095720A"/>
    <w:rsid w:val="009574C9"/>
    <w:rsid w:val="009575C1"/>
    <w:rsid w:val="00957BA2"/>
    <w:rsid w:val="00957F80"/>
    <w:rsid w:val="0096040E"/>
    <w:rsid w:val="009604DE"/>
    <w:rsid w:val="009613B9"/>
    <w:rsid w:val="00961453"/>
    <w:rsid w:val="0096148C"/>
    <w:rsid w:val="009618A4"/>
    <w:rsid w:val="00961D81"/>
    <w:rsid w:val="00962E93"/>
    <w:rsid w:val="009630B2"/>
    <w:rsid w:val="009632AD"/>
    <w:rsid w:val="00963746"/>
    <w:rsid w:val="00963ADB"/>
    <w:rsid w:val="00963DC0"/>
    <w:rsid w:val="009641B6"/>
    <w:rsid w:val="0096424D"/>
    <w:rsid w:val="00964FB0"/>
    <w:rsid w:val="00965190"/>
    <w:rsid w:val="0096520D"/>
    <w:rsid w:val="009655B4"/>
    <w:rsid w:val="0096671B"/>
    <w:rsid w:val="00966977"/>
    <w:rsid w:val="0096759E"/>
    <w:rsid w:val="00970DD4"/>
    <w:rsid w:val="00971072"/>
    <w:rsid w:val="0097286C"/>
    <w:rsid w:val="00973F62"/>
    <w:rsid w:val="00974808"/>
    <w:rsid w:val="0097492C"/>
    <w:rsid w:val="00974AAE"/>
    <w:rsid w:val="0097510D"/>
    <w:rsid w:val="00976140"/>
    <w:rsid w:val="00976781"/>
    <w:rsid w:val="00976ABB"/>
    <w:rsid w:val="00977D85"/>
    <w:rsid w:val="00980351"/>
    <w:rsid w:val="009806D2"/>
    <w:rsid w:val="009806E6"/>
    <w:rsid w:val="009806F6"/>
    <w:rsid w:val="0098084F"/>
    <w:rsid w:val="00980F12"/>
    <w:rsid w:val="00980FFD"/>
    <w:rsid w:val="009819E5"/>
    <w:rsid w:val="00981E2A"/>
    <w:rsid w:val="0098219B"/>
    <w:rsid w:val="009821D2"/>
    <w:rsid w:val="009828E5"/>
    <w:rsid w:val="00982D5C"/>
    <w:rsid w:val="009830A6"/>
    <w:rsid w:val="00983F56"/>
    <w:rsid w:val="00984076"/>
    <w:rsid w:val="00984164"/>
    <w:rsid w:val="00984745"/>
    <w:rsid w:val="009847B0"/>
    <w:rsid w:val="00984D9C"/>
    <w:rsid w:val="0098558F"/>
    <w:rsid w:val="00985F06"/>
    <w:rsid w:val="00985F71"/>
    <w:rsid w:val="00986302"/>
    <w:rsid w:val="00986C37"/>
    <w:rsid w:val="00987496"/>
    <w:rsid w:val="00987499"/>
    <w:rsid w:val="009904FE"/>
    <w:rsid w:val="00990B43"/>
    <w:rsid w:val="009918A2"/>
    <w:rsid w:val="00991E43"/>
    <w:rsid w:val="00992CA5"/>
    <w:rsid w:val="009930DC"/>
    <w:rsid w:val="00993454"/>
    <w:rsid w:val="009938F9"/>
    <w:rsid w:val="00993C92"/>
    <w:rsid w:val="00994B68"/>
    <w:rsid w:val="00995403"/>
    <w:rsid w:val="009959A4"/>
    <w:rsid w:val="00995CD4"/>
    <w:rsid w:val="009967DB"/>
    <w:rsid w:val="00996EE6"/>
    <w:rsid w:val="00996F2F"/>
    <w:rsid w:val="00997057"/>
    <w:rsid w:val="00997C05"/>
    <w:rsid w:val="00997C96"/>
    <w:rsid w:val="00997ED4"/>
    <w:rsid w:val="009A0474"/>
    <w:rsid w:val="009A12B0"/>
    <w:rsid w:val="009A1626"/>
    <w:rsid w:val="009A1F17"/>
    <w:rsid w:val="009A2312"/>
    <w:rsid w:val="009A29D9"/>
    <w:rsid w:val="009A3097"/>
    <w:rsid w:val="009A35D6"/>
    <w:rsid w:val="009A41A7"/>
    <w:rsid w:val="009A4307"/>
    <w:rsid w:val="009A469C"/>
    <w:rsid w:val="009A4701"/>
    <w:rsid w:val="009A4817"/>
    <w:rsid w:val="009A48DC"/>
    <w:rsid w:val="009A4E6F"/>
    <w:rsid w:val="009A50BC"/>
    <w:rsid w:val="009A5551"/>
    <w:rsid w:val="009A5B0A"/>
    <w:rsid w:val="009A5F74"/>
    <w:rsid w:val="009A6283"/>
    <w:rsid w:val="009A6666"/>
    <w:rsid w:val="009A67DF"/>
    <w:rsid w:val="009A724E"/>
    <w:rsid w:val="009A756C"/>
    <w:rsid w:val="009A7C02"/>
    <w:rsid w:val="009B0178"/>
    <w:rsid w:val="009B0194"/>
    <w:rsid w:val="009B0235"/>
    <w:rsid w:val="009B02B5"/>
    <w:rsid w:val="009B06A8"/>
    <w:rsid w:val="009B08E7"/>
    <w:rsid w:val="009B1899"/>
    <w:rsid w:val="009B1B07"/>
    <w:rsid w:val="009B201C"/>
    <w:rsid w:val="009B20FB"/>
    <w:rsid w:val="009B3451"/>
    <w:rsid w:val="009B3784"/>
    <w:rsid w:val="009B3AD4"/>
    <w:rsid w:val="009B3E02"/>
    <w:rsid w:val="009B3E65"/>
    <w:rsid w:val="009B45CE"/>
    <w:rsid w:val="009B47A2"/>
    <w:rsid w:val="009B51A1"/>
    <w:rsid w:val="009B5727"/>
    <w:rsid w:val="009B5DAA"/>
    <w:rsid w:val="009B661F"/>
    <w:rsid w:val="009B6841"/>
    <w:rsid w:val="009B6F92"/>
    <w:rsid w:val="009B773B"/>
    <w:rsid w:val="009B775A"/>
    <w:rsid w:val="009B7F51"/>
    <w:rsid w:val="009C0F3B"/>
    <w:rsid w:val="009C1D04"/>
    <w:rsid w:val="009C1DED"/>
    <w:rsid w:val="009C204B"/>
    <w:rsid w:val="009C274C"/>
    <w:rsid w:val="009C2ED5"/>
    <w:rsid w:val="009C32CB"/>
    <w:rsid w:val="009C3AA2"/>
    <w:rsid w:val="009C48AC"/>
    <w:rsid w:val="009C4AA6"/>
    <w:rsid w:val="009C4F30"/>
    <w:rsid w:val="009C54FC"/>
    <w:rsid w:val="009C5993"/>
    <w:rsid w:val="009C71C1"/>
    <w:rsid w:val="009C7223"/>
    <w:rsid w:val="009C7B7B"/>
    <w:rsid w:val="009C7E96"/>
    <w:rsid w:val="009D0415"/>
    <w:rsid w:val="009D0891"/>
    <w:rsid w:val="009D0D03"/>
    <w:rsid w:val="009D1BE1"/>
    <w:rsid w:val="009D217F"/>
    <w:rsid w:val="009D34B0"/>
    <w:rsid w:val="009D3D46"/>
    <w:rsid w:val="009D3FAD"/>
    <w:rsid w:val="009D49DA"/>
    <w:rsid w:val="009D51FA"/>
    <w:rsid w:val="009D5640"/>
    <w:rsid w:val="009D5D96"/>
    <w:rsid w:val="009D6F21"/>
    <w:rsid w:val="009D7008"/>
    <w:rsid w:val="009E0360"/>
    <w:rsid w:val="009E0E6D"/>
    <w:rsid w:val="009E10BF"/>
    <w:rsid w:val="009E1513"/>
    <w:rsid w:val="009E218B"/>
    <w:rsid w:val="009E238B"/>
    <w:rsid w:val="009E28FF"/>
    <w:rsid w:val="009E2B61"/>
    <w:rsid w:val="009E2CF7"/>
    <w:rsid w:val="009E2F34"/>
    <w:rsid w:val="009E4053"/>
    <w:rsid w:val="009E41A6"/>
    <w:rsid w:val="009E477F"/>
    <w:rsid w:val="009E4983"/>
    <w:rsid w:val="009E53B0"/>
    <w:rsid w:val="009E564E"/>
    <w:rsid w:val="009E5B86"/>
    <w:rsid w:val="009E5FAF"/>
    <w:rsid w:val="009E6041"/>
    <w:rsid w:val="009E62BF"/>
    <w:rsid w:val="009E64D3"/>
    <w:rsid w:val="009E676C"/>
    <w:rsid w:val="009E6A9A"/>
    <w:rsid w:val="009E72AA"/>
    <w:rsid w:val="009E753E"/>
    <w:rsid w:val="009E7820"/>
    <w:rsid w:val="009E78AF"/>
    <w:rsid w:val="009F0157"/>
    <w:rsid w:val="009F0278"/>
    <w:rsid w:val="009F0701"/>
    <w:rsid w:val="009F070D"/>
    <w:rsid w:val="009F09F7"/>
    <w:rsid w:val="009F0CEA"/>
    <w:rsid w:val="009F13D7"/>
    <w:rsid w:val="009F1D73"/>
    <w:rsid w:val="009F2112"/>
    <w:rsid w:val="009F2F8B"/>
    <w:rsid w:val="009F3376"/>
    <w:rsid w:val="009F4925"/>
    <w:rsid w:val="009F4ADA"/>
    <w:rsid w:val="009F53E9"/>
    <w:rsid w:val="009F5603"/>
    <w:rsid w:val="009F5B3E"/>
    <w:rsid w:val="009F6A7A"/>
    <w:rsid w:val="009F7029"/>
    <w:rsid w:val="009F70B3"/>
    <w:rsid w:val="009F7496"/>
    <w:rsid w:val="009F7B4D"/>
    <w:rsid w:val="009F7C8A"/>
    <w:rsid w:val="009F7D76"/>
    <w:rsid w:val="00A009EB"/>
    <w:rsid w:val="00A02441"/>
    <w:rsid w:val="00A02E37"/>
    <w:rsid w:val="00A03248"/>
    <w:rsid w:val="00A03425"/>
    <w:rsid w:val="00A03E4B"/>
    <w:rsid w:val="00A04179"/>
    <w:rsid w:val="00A041C2"/>
    <w:rsid w:val="00A04646"/>
    <w:rsid w:val="00A04981"/>
    <w:rsid w:val="00A052C5"/>
    <w:rsid w:val="00A054C7"/>
    <w:rsid w:val="00A05C50"/>
    <w:rsid w:val="00A05E7F"/>
    <w:rsid w:val="00A0727C"/>
    <w:rsid w:val="00A0732E"/>
    <w:rsid w:val="00A07679"/>
    <w:rsid w:val="00A079D6"/>
    <w:rsid w:val="00A100CC"/>
    <w:rsid w:val="00A10B00"/>
    <w:rsid w:val="00A11B78"/>
    <w:rsid w:val="00A11D74"/>
    <w:rsid w:val="00A125DA"/>
    <w:rsid w:val="00A127F6"/>
    <w:rsid w:val="00A128B9"/>
    <w:rsid w:val="00A129A9"/>
    <w:rsid w:val="00A12E95"/>
    <w:rsid w:val="00A132C5"/>
    <w:rsid w:val="00A136D2"/>
    <w:rsid w:val="00A13DD7"/>
    <w:rsid w:val="00A13F87"/>
    <w:rsid w:val="00A143CA"/>
    <w:rsid w:val="00A14F2C"/>
    <w:rsid w:val="00A1571F"/>
    <w:rsid w:val="00A15799"/>
    <w:rsid w:val="00A163EB"/>
    <w:rsid w:val="00A165B9"/>
    <w:rsid w:val="00A1745C"/>
    <w:rsid w:val="00A1764B"/>
    <w:rsid w:val="00A2004B"/>
    <w:rsid w:val="00A2184B"/>
    <w:rsid w:val="00A226F8"/>
    <w:rsid w:val="00A229FD"/>
    <w:rsid w:val="00A2329C"/>
    <w:rsid w:val="00A2347E"/>
    <w:rsid w:val="00A23918"/>
    <w:rsid w:val="00A241A1"/>
    <w:rsid w:val="00A24278"/>
    <w:rsid w:val="00A24378"/>
    <w:rsid w:val="00A2564E"/>
    <w:rsid w:val="00A25C2B"/>
    <w:rsid w:val="00A25D4A"/>
    <w:rsid w:val="00A2613E"/>
    <w:rsid w:val="00A26D46"/>
    <w:rsid w:val="00A276BF"/>
    <w:rsid w:val="00A30C45"/>
    <w:rsid w:val="00A30D52"/>
    <w:rsid w:val="00A31010"/>
    <w:rsid w:val="00A31064"/>
    <w:rsid w:val="00A31A0E"/>
    <w:rsid w:val="00A32C74"/>
    <w:rsid w:val="00A3408D"/>
    <w:rsid w:val="00A35BC8"/>
    <w:rsid w:val="00A37B01"/>
    <w:rsid w:val="00A37DC1"/>
    <w:rsid w:val="00A40215"/>
    <w:rsid w:val="00A416E2"/>
    <w:rsid w:val="00A41864"/>
    <w:rsid w:val="00A41C10"/>
    <w:rsid w:val="00A41E8A"/>
    <w:rsid w:val="00A42AC0"/>
    <w:rsid w:val="00A433A1"/>
    <w:rsid w:val="00A43F75"/>
    <w:rsid w:val="00A44D91"/>
    <w:rsid w:val="00A44FF0"/>
    <w:rsid w:val="00A452E4"/>
    <w:rsid w:val="00A46C61"/>
    <w:rsid w:val="00A47B3A"/>
    <w:rsid w:val="00A47C06"/>
    <w:rsid w:val="00A47D34"/>
    <w:rsid w:val="00A5028C"/>
    <w:rsid w:val="00A5117F"/>
    <w:rsid w:val="00A5187E"/>
    <w:rsid w:val="00A52016"/>
    <w:rsid w:val="00A5422F"/>
    <w:rsid w:val="00A544C4"/>
    <w:rsid w:val="00A5450F"/>
    <w:rsid w:val="00A551D0"/>
    <w:rsid w:val="00A557E2"/>
    <w:rsid w:val="00A55F91"/>
    <w:rsid w:val="00A562E7"/>
    <w:rsid w:val="00A572AB"/>
    <w:rsid w:val="00A575ED"/>
    <w:rsid w:val="00A60376"/>
    <w:rsid w:val="00A60A08"/>
    <w:rsid w:val="00A60B7A"/>
    <w:rsid w:val="00A60D8C"/>
    <w:rsid w:val="00A60EDC"/>
    <w:rsid w:val="00A611CC"/>
    <w:rsid w:val="00A61443"/>
    <w:rsid w:val="00A61577"/>
    <w:rsid w:val="00A61BE6"/>
    <w:rsid w:val="00A6203C"/>
    <w:rsid w:val="00A62620"/>
    <w:rsid w:val="00A62732"/>
    <w:rsid w:val="00A631E2"/>
    <w:rsid w:val="00A63CDF"/>
    <w:rsid w:val="00A6401D"/>
    <w:rsid w:val="00A64211"/>
    <w:rsid w:val="00A6431B"/>
    <w:rsid w:val="00A64480"/>
    <w:rsid w:val="00A652E6"/>
    <w:rsid w:val="00A65921"/>
    <w:rsid w:val="00A6667A"/>
    <w:rsid w:val="00A66829"/>
    <w:rsid w:val="00A66DEB"/>
    <w:rsid w:val="00A67650"/>
    <w:rsid w:val="00A679E9"/>
    <w:rsid w:val="00A70410"/>
    <w:rsid w:val="00A7071D"/>
    <w:rsid w:val="00A70E20"/>
    <w:rsid w:val="00A7284C"/>
    <w:rsid w:val="00A72B5E"/>
    <w:rsid w:val="00A72DA9"/>
    <w:rsid w:val="00A72E25"/>
    <w:rsid w:val="00A73595"/>
    <w:rsid w:val="00A73FA6"/>
    <w:rsid w:val="00A74433"/>
    <w:rsid w:val="00A745F3"/>
    <w:rsid w:val="00A74654"/>
    <w:rsid w:val="00A747B7"/>
    <w:rsid w:val="00A74862"/>
    <w:rsid w:val="00A749D6"/>
    <w:rsid w:val="00A74F48"/>
    <w:rsid w:val="00A750D1"/>
    <w:rsid w:val="00A75532"/>
    <w:rsid w:val="00A756C1"/>
    <w:rsid w:val="00A762E4"/>
    <w:rsid w:val="00A768A0"/>
    <w:rsid w:val="00A76DAF"/>
    <w:rsid w:val="00A7711F"/>
    <w:rsid w:val="00A7738C"/>
    <w:rsid w:val="00A775F9"/>
    <w:rsid w:val="00A80198"/>
    <w:rsid w:val="00A81855"/>
    <w:rsid w:val="00A81DF4"/>
    <w:rsid w:val="00A81F73"/>
    <w:rsid w:val="00A823FC"/>
    <w:rsid w:val="00A82760"/>
    <w:rsid w:val="00A834BD"/>
    <w:rsid w:val="00A83563"/>
    <w:rsid w:val="00A8364A"/>
    <w:rsid w:val="00A8436D"/>
    <w:rsid w:val="00A84453"/>
    <w:rsid w:val="00A84853"/>
    <w:rsid w:val="00A84A89"/>
    <w:rsid w:val="00A84D70"/>
    <w:rsid w:val="00A84DDC"/>
    <w:rsid w:val="00A85303"/>
    <w:rsid w:val="00A857CB"/>
    <w:rsid w:val="00A860BE"/>
    <w:rsid w:val="00A86122"/>
    <w:rsid w:val="00A864BA"/>
    <w:rsid w:val="00A86739"/>
    <w:rsid w:val="00A86F7A"/>
    <w:rsid w:val="00A872DA"/>
    <w:rsid w:val="00A873A8"/>
    <w:rsid w:val="00A878C5"/>
    <w:rsid w:val="00A8795C"/>
    <w:rsid w:val="00A87C6F"/>
    <w:rsid w:val="00A87C89"/>
    <w:rsid w:val="00A9050A"/>
    <w:rsid w:val="00A90687"/>
    <w:rsid w:val="00A906E0"/>
    <w:rsid w:val="00A90C2D"/>
    <w:rsid w:val="00A90DBF"/>
    <w:rsid w:val="00A92322"/>
    <w:rsid w:val="00A923A5"/>
    <w:rsid w:val="00A923DF"/>
    <w:rsid w:val="00A93109"/>
    <w:rsid w:val="00A93BDE"/>
    <w:rsid w:val="00A94598"/>
    <w:rsid w:val="00A95505"/>
    <w:rsid w:val="00A95856"/>
    <w:rsid w:val="00A9631A"/>
    <w:rsid w:val="00A96ECE"/>
    <w:rsid w:val="00A972E5"/>
    <w:rsid w:val="00AA0687"/>
    <w:rsid w:val="00AA0E3E"/>
    <w:rsid w:val="00AA13B2"/>
    <w:rsid w:val="00AA1A5B"/>
    <w:rsid w:val="00AA2B62"/>
    <w:rsid w:val="00AA2B78"/>
    <w:rsid w:val="00AA2C15"/>
    <w:rsid w:val="00AA2DD2"/>
    <w:rsid w:val="00AA2F30"/>
    <w:rsid w:val="00AA34A6"/>
    <w:rsid w:val="00AA3662"/>
    <w:rsid w:val="00AA450A"/>
    <w:rsid w:val="00AA478E"/>
    <w:rsid w:val="00AA4960"/>
    <w:rsid w:val="00AA51E7"/>
    <w:rsid w:val="00AA53E5"/>
    <w:rsid w:val="00AA5804"/>
    <w:rsid w:val="00AA59D1"/>
    <w:rsid w:val="00AA5A1D"/>
    <w:rsid w:val="00AA5A27"/>
    <w:rsid w:val="00AA5E7A"/>
    <w:rsid w:val="00AA6245"/>
    <w:rsid w:val="00AA6870"/>
    <w:rsid w:val="00AA68C9"/>
    <w:rsid w:val="00AA69C5"/>
    <w:rsid w:val="00AA7D59"/>
    <w:rsid w:val="00AA7FBB"/>
    <w:rsid w:val="00AB13AA"/>
    <w:rsid w:val="00AB1600"/>
    <w:rsid w:val="00AB17A2"/>
    <w:rsid w:val="00AB17CB"/>
    <w:rsid w:val="00AB208D"/>
    <w:rsid w:val="00AB2F2C"/>
    <w:rsid w:val="00AB3429"/>
    <w:rsid w:val="00AB3500"/>
    <w:rsid w:val="00AB392C"/>
    <w:rsid w:val="00AB3D07"/>
    <w:rsid w:val="00AB4F19"/>
    <w:rsid w:val="00AB6219"/>
    <w:rsid w:val="00AB62A3"/>
    <w:rsid w:val="00AB6CFA"/>
    <w:rsid w:val="00AB73E3"/>
    <w:rsid w:val="00AC0112"/>
    <w:rsid w:val="00AC0498"/>
    <w:rsid w:val="00AC09F4"/>
    <w:rsid w:val="00AC0F4E"/>
    <w:rsid w:val="00AC10EC"/>
    <w:rsid w:val="00AC17A6"/>
    <w:rsid w:val="00AC189E"/>
    <w:rsid w:val="00AC1DF1"/>
    <w:rsid w:val="00AC1E5C"/>
    <w:rsid w:val="00AC204F"/>
    <w:rsid w:val="00AC28EE"/>
    <w:rsid w:val="00AC2ACD"/>
    <w:rsid w:val="00AC2B85"/>
    <w:rsid w:val="00AC30A4"/>
    <w:rsid w:val="00AC38A9"/>
    <w:rsid w:val="00AC41AE"/>
    <w:rsid w:val="00AC458F"/>
    <w:rsid w:val="00AC4642"/>
    <w:rsid w:val="00AC4794"/>
    <w:rsid w:val="00AC4E7D"/>
    <w:rsid w:val="00AC597B"/>
    <w:rsid w:val="00AC5CCC"/>
    <w:rsid w:val="00AC5DB9"/>
    <w:rsid w:val="00AC66E6"/>
    <w:rsid w:val="00AC6BA3"/>
    <w:rsid w:val="00AC7166"/>
    <w:rsid w:val="00AC7A10"/>
    <w:rsid w:val="00AD03C5"/>
    <w:rsid w:val="00AD107B"/>
    <w:rsid w:val="00AD2882"/>
    <w:rsid w:val="00AD3834"/>
    <w:rsid w:val="00AD3BB4"/>
    <w:rsid w:val="00AD4036"/>
    <w:rsid w:val="00AD41F7"/>
    <w:rsid w:val="00AD47C7"/>
    <w:rsid w:val="00AD4A42"/>
    <w:rsid w:val="00AD5575"/>
    <w:rsid w:val="00AD59C8"/>
    <w:rsid w:val="00AD5E13"/>
    <w:rsid w:val="00AD5EDE"/>
    <w:rsid w:val="00AD60D6"/>
    <w:rsid w:val="00AD625D"/>
    <w:rsid w:val="00AD64B2"/>
    <w:rsid w:val="00AD6C07"/>
    <w:rsid w:val="00AD77EE"/>
    <w:rsid w:val="00AD7F39"/>
    <w:rsid w:val="00AE1CB3"/>
    <w:rsid w:val="00AE271E"/>
    <w:rsid w:val="00AE2B99"/>
    <w:rsid w:val="00AE3EFD"/>
    <w:rsid w:val="00AE4894"/>
    <w:rsid w:val="00AE583F"/>
    <w:rsid w:val="00AE5AA9"/>
    <w:rsid w:val="00AE5B1E"/>
    <w:rsid w:val="00AE5DFA"/>
    <w:rsid w:val="00AE5E30"/>
    <w:rsid w:val="00AE5FD3"/>
    <w:rsid w:val="00AE6573"/>
    <w:rsid w:val="00AE6A4C"/>
    <w:rsid w:val="00AE720D"/>
    <w:rsid w:val="00AF00D0"/>
    <w:rsid w:val="00AF010D"/>
    <w:rsid w:val="00AF07CB"/>
    <w:rsid w:val="00AF0C86"/>
    <w:rsid w:val="00AF0D2C"/>
    <w:rsid w:val="00AF1299"/>
    <w:rsid w:val="00AF13A7"/>
    <w:rsid w:val="00AF1C4F"/>
    <w:rsid w:val="00AF1DFF"/>
    <w:rsid w:val="00AF2251"/>
    <w:rsid w:val="00AF26D5"/>
    <w:rsid w:val="00AF2863"/>
    <w:rsid w:val="00AF28CB"/>
    <w:rsid w:val="00AF2A1C"/>
    <w:rsid w:val="00AF2F93"/>
    <w:rsid w:val="00AF31F6"/>
    <w:rsid w:val="00AF351A"/>
    <w:rsid w:val="00AF42F0"/>
    <w:rsid w:val="00AF4F9C"/>
    <w:rsid w:val="00AF4FC0"/>
    <w:rsid w:val="00AF53DE"/>
    <w:rsid w:val="00AF5833"/>
    <w:rsid w:val="00AF5BA5"/>
    <w:rsid w:val="00AF5C87"/>
    <w:rsid w:val="00AF5CFF"/>
    <w:rsid w:val="00AF5E8A"/>
    <w:rsid w:val="00AF65DF"/>
    <w:rsid w:val="00AF6A9C"/>
    <w:rsid w:val="00AF6BD7"/>
    <w:rsid w:val="00AF721C"/>
    <w:rsid w:val="00B000C7"/>
    <w:rsid w:val="00B005D7"/>
    <w:rsid w:val="00B00816"/>
    <w:rsid w:val="00B01DF2"/>
    <w:rsid w:val="00B02AAB"/>
    <w:rsid w:val="00B02CC1"/>
    <w:rsid w:val="00B03006"/>
    <w:rsid w:val="00B0331D"/>
    <w:rsid w:val="00B03A1F"/>
    <w:rsid w:val="00B03FC8"/>
    <w:rsid w:val="00B04131"/>
    <w:rsid w:val="00B04731"/>
    <w:rsid w:val="00B0473B"/>
    <w:rsid w:val="00B04E2F"/>
    <w:rsid w:val="00B07870"/>
    <w:rsid w:val="00B07884"/>
    <w:rsid w:val="00B078D0"/>
    <w:rsid w:val="00B07DC0"/>
    <w:rsid w:val="00B108BB"/>
    <w:rsid w:val="00B10D48"/>
    <w:rsid w:val="00B10F3B"/>
    <w:rsid w:val="00B121C1"/>
    <w:rsid w:val="00B123D3"/>
    <w:rsid w:val="00B13134"/>
    <w:rsid w:val="00B135AE"/>
    <w:rsid w:val="00B13E91"/>
    <w:rsid w:val="00B1403A"/>
    <w:rsid w:val="00B14713"/>
    <w:rsid w:val="00B153DD"/>
    <w:rsid w:val="00B1542F"/>
    <w:rsid w:val="00B15A88"/>
    <w:rsid w:val="00B16006"/>
    <w:rsid w:val="00B16973"/>
    <w:rsid w:val="00B169C8"/>
    <w:rsid w:val="00B16F2C"/>
    <w:rsid w:val="00B17138"/>
    <w:rsid w:val="00B1759E"/>
    <w:rsid w:val="00B17877"/>
    <w:rsid w:val="00B1797C"/>
    <w:rsid w:val="00B17A76"/>
    <w:rsid w:val="00B17EB1"/>
    <w:rsid w:val="00B17EFD"/>
    <w:rsid w:val="00B203C0"/>
    <w:rsid w:val="00B20D8A"/>
    <w:rsid w:val="00B210F9"/>
    <w:rsid w:val="00B21174"/>
    <w:rsid w:val="00B22022"/>
    <w:rsid w:val="00B22A9F"/>
    <w:rsid w:val="00B22ACE"/>
    <w:rsid w:val="00B22E13"/>
    <w:rsid w:val="00B2341C"/>
    <w:rsid w:val="00B24C4C"/>
    <w:rsid w:val="00B25208"/>
    <w:rsid w:val="00B25574"/>
    <w:rsid w:val="00B25BB9"/>
    <w:rsid w:val="00B2672C"/>
    <w:rsid w:val="00B26887"/>
    <w:rsid w:val="00B26F47"/>
    <w:rsid w:val="00B27759"/>
    <w:rsid w:val="00B2778F"/>
    <w:rsid w:val="00B277C3"/>
    <w:rsid w:val="00B27D94"/>
    <w:rsid w:val="00B304F8"/>
    <w:rsid w:val="00B307FF"/>
    <w:rsid w:val="00B30CC0"/>
    <w:rsid w:val="00B30ECF"/>
    <w:rsid w:val="00B31210"/>
    <w:rsid w:val="00B31405"/>
    <w:rsid w:val="00B31F84"/>
    <w:rsid w:val="00B330E1"/>
    <w:rsid w:val="00B33206"/>
    <w:rsid w:val="00B334EC"/>
    <w:rsid w:val="00B33694"/>
    <w:rsid w:val="00B34053"/>
    <w:rsid w:val="00B34464"/>
    <w:rsid w:val="00B34489"/>
    <w:rsid w:val="00B3484D"/>
    <w:rsid w:val="00B34ACC"/>
    <w:rsid w:val="00B356DF"/>
    <w:rsid w:val="00B35D1F"/>
    <w:rsid w:val="00B36806"/>
    <w:rsid w:val="00B36C7C"/>
    <w:rsid w:val="00B36DFB"/>
    <w:rsid w:val="00B370F5"/>
    <w:rsid w:val="00B3719E"/>
    <w:rsid w:val="00B372CC"/>
    <w:rsid w:val="00B37AA6"/>
    <w:rsid w:val="00B4093C"/>
    <w:rsid w:val="00B40AF0"/>
    <w:rsid w:val="00B40D89"/>
    <w:rsid w:val="00B41146"/>
    <w:rsid w:val="00B415A5"/>
    <w:rsid w:val="00B41AE9"/>
    <w:rsid w:val="00B41C15"/>
    <w:rsid w:val="00B420A9"/>
    <w:rsid w:val="00B42105"/>
    <w:rsid w:val="00B43012"/>
    <w:rsid w:val="00B43D79"/>
    <w:rsid w:val="00B443B4"/>
    <w:rsid w:val="00B44D42"/>
    <w:rsid w:val="00B44EC4"/>
    <w:rsid w:val="00B454B3"/>
    <w:rsid w:val="00B45E6D"/>
    <w:rsid w:val="00B45F16"/>
    <w:rsid w:val="00B46218"/>
    <w:rsid w:val="00B46AFF"/>
    <w:rsid w:val="00B471A8"/>
    <w:rsid w:val="00B47DB5"/>
    <w:rsid w:val="00B47DF3"/>
    <w:rsid w:val="00B5038D"/>
    <w:rsid w:val="00B5048C"/>
    <w:rsid w:val="00B514A5"/>
    <w:rsid w:val="00B53275"/>
    <w:rsid w:val="00B5359D"/>
    <w:rsid w:val="00B53762"/>
    <w:rsid w:val="00B53FE9"/>
    <w:rsid w:val="00B54BD1"/>
    <w:rsid w:val="00B54E69"/>
    <w:rsid w:val="00B54F90"/>
    <w:rsid w:val="00B54FFE"/>
    <w:rsid w:val="00B5607F"/>
    <w:rsid w:val="00B5644E"/>
    <w:rsid w:val="00B56BD1"/>
    <w:rsid w:val="00B5764F"/>
    <w:rsid w:val="00B609CF"/>
    <w:rsid w:val="00B6128B"/>
    <w:rsid w:val="00B61691"/>
    <w:rsid w:val="00B616C8"/>
    <w:rsid w:val="00B618D1"/>
    <w:rsid w:val="00B61D76"/>
    <w:rsid w:val="00B6300F"/>
    <w:rsid w:val="00B6303C"/>
    <w:rsid w:val="00B646F2"/>
    <w:rsid w:val="00B64CBC"/>
    <w:rsid w:val="00B652C8"/>
    <w:rsid w:val="00B655E3"/>
    <w:rsid w:val="00B657C9"/>
    <w:rsid w:val="00B65835"/>
    <w:rsid w:val="00B661E9"/>
    <w:rsid w:val="00B676FD"/>
    <w:rsid w:val="00B67775"/>
    <w:rsid w:val="00B70977"/>
    <w:rsid w:val="00B709D3"/>
    <w:rsid w:val="00B71184"/>
    <w:rsid w:val="00B719A4"/>
    <w:rsid w:val="00B7283B"/>
    <w:rsid w:val="00B72C50"/>
    <w:rsid w:val="00B737BF"/>
    <w:rsid w:val="00B73CF7"/>
    <w:rsid w:val="00B73D42"/>
    <w:rsid w:val="00B74148"/>
    <w:rsid w:val="00B74594"/>
    <w:rsid w:val="00B74BC4"/>
    <w:rsid w:val="00B761A5"/>
    <w:rsid w:val="00B7631A"/>
    <w:rsid w:val="00B768A6"/>
    <w:rsid w:val="00B769F6"/>
    <w:rsid w:val="00B77767"/>
    <w:rsid w:val="00B77DCC"/>
    <w:rsid w:val="00B800F2"/>
    <w:rsid w:val="00B80A3E"/>
    <w:rsid w:val="00B82A69"/>
    <w:rsid w:val="00B82BA2"/>
    <w:rsid w:val="00B82DBA"/>
    <w:rsid w:val="00B83689"/>
    <w:rsid w:val="00B83A64"/>
    <w:rsid w:val="00B8403C"/>
    <w:rsid w:val="00B8428B"/>
    <w:rsid w:val="00B848CE"/>
    <w:rsid w:val="00B85BF7"/>
    <w:rsid w:val="00B85DC7"/>
    <w:rsid w:val="00B85EEC"/>
    <w:rsid w:val="00B90252"/>
    <w:rsid w:val="00B9088C"/>
    <w:rsid w:val="00B909F0"/>
    <w:rsid w:val="00B9116A"/>
    <w:rsid w:val="00B915F4"/>
    <w:rsid w:val="00B923B1"/>
    <w:rsid w:val="00B92A12"/>
    <w:rsid w:val="00B932A4"/>
    <w:rsid w:val="00B93491"/>
    <w:rsid w:val="00B934BF"/>
    <w:rsid w:val="00B9358A"/>
    <w:rsid w:val="00B94631"/>
    <w:rsid w:val="00B949CE"/>
    <w:rsid w:val="00B949D1"/>
    <w:rsid w:val="00B94B8F"/>
    <w:rsid w:val="00B9506B"/>
    <w:rsid w:val="00B95D17"/>
    <w:rsid w:val="00B965FA"/>
    <w:rsid w:val="00B97053"/>
    <w:rsid w:val="00B97057"/>
    <w:rsid w:val="00B97B2A"/>
    <w:rsid w:val="00B97FB0"/>
    <w:rsid w:val="00BA0812"/>
    <w:rsid w:val="00BA081A"/>
    <w:rsid w:val="00BA0B9E"/>
    <w:rsid w:val="00BA0C6A"/>
    <w:rsid w:val="00BA1EA0"/>
    <w:rsid w:val="00BA2212"/>
    <w:rsid w:val="00BA2603"/>
    <w:rsid w:val="00BA2944"/>
    <w:rsid w:val="00BA3D3D"/>
    <w:rsid w:val="00BA424B"/>
    <w:rsid w:val="00BA5559"/>
    <w:rsid w:val="00BA59D7"/>
    <w:rsid w:val="00BA5CE3"/>
    <w:rsid w:val="00BA61D6"/>
    <w:rsid w:val="00BA6942"/>
    <w:rsid w:val="00BA7176"/>
    <w:rsid w:val="00BA71A9"/>
    <w:rsid w:val="00BA7CB0"/>
    <w:rsid w:val="00BA7CF0"/>
    <w:rsid w:val="00BB0C77"/>
    <w:rsid w:val="00BB136B"/>
    <w:rsid w:val="00BB1418"/>
    <w:rsid w:val="00BB1655"/>
    <w:rsid w:val="00BB1DC4"/>
    <w:rsid w:val="00BB1E49"/>
    <w:rsid w:val="00BB28F2"/>
    <w:rsid w:val="00BB3027"/>
    <w:rsid w:val="00BB3135"/>
    <w:rsid w:val="00BB3CB5"/>
    <w:rsid w:val="00BB457F"/>
    <w:rsid w:val="00BB49DD"/>
    <w:rsid w:val="00BB4A2D"/>
    <w:rsid w:val="00BB4D62"/>
    <w:rsid w:val="00BB4D99"/>
    <w:rsid w:val="00BB4FDF"/>
    <w:rsid w:val="00BB58C1"/>
    <w:rsid w:val="00BB5923"/>
    <w:rsid w:val="00BB63DF"/>
    <w:rsid w:val="00BC077C"/>
    <w:rsid w:val="00BC0CFE"/>
    <w:rsid w:val="00BC1CDA"/>
    <w:rsid w:val="00BC212F"/>
    <w:rsid w:val="00BC272B"/>
    <w:rsid w:val="00BC3396"/>
    <w:rsid w:val="00BC3A6F"/>
    <w:rsid w:val="00BC421A"/>
    <w:rsid w:val="00BC4786"/>
    <w:rsid w:val="00BC511B"/>
    <w:rsid w:val="00BC53BB"/>
    <w:rsid w:val="00BC569C"/>
    <w:rsid w:val="00BC588B"/>
    <w:rsid w:val="00BC6AFC"/>
    <w:rsid w:val="00BC7861"/>
    <w:rsid w:val="00BD044D"/>
    <w:rsid w:val="00BD101E"/>
    <w:rsid w:val="00BD1941"/>
    <w:rsid w:val="00BD2F12"/>
    <w:rsid w:val="00BD30FE"/>
    <w:rsid w:val="00BD3284"/>
    <w:rsid w:val="00BD38DA"/>
    <w:rsid w:val="00BD3EC8"/>
    <w:rsid w:val="00BD4012"/>
    <w:rsid w:val="00BD59D5"/>
    <w:rsid w:val="00BD5ADE"/>
    <w:rsid w:val="00BD6825"/>
    <w:rsid w:val="00BD6D4C"/>
    <w:rsid w:val="00BD734B"/>
    <w:rsid w:val="00BD7466"/>
    <w:rsid w:val="00BD79AC"/>
    <w:rsid w:val="00BE06F7"/>
    <w:rsid w:val="00BE07B7"/>
    <w:rsid w:val="00BE0AA5"/>
    <w:rsid w:val="00BE0E2A"/>
    <w:rsid w:val="00BE1874"/>
    <w:rsid w:val="00BE1B34"/>
    <w:rsid w:val="00BE2945"/>
    <w:rsid w:val="00BE37DC"/>
    <w:rsid w:val="00BE3A49"/>
    <w:rsid w:val="00BE4940"/>
    <w:rsid w:val="00BE4D8B"/>
    <w:rsid w:val="00BE4ED0"/>
    <w:rsid w:val="00BE524D"/>
    <w:rsid w:val="00BE6001"/>
    <w:rsid w:val="00BE6021"/>
    <w:rsid w:val="00BE6F8E"/>
    <w:rsid w:val="00BE782E"/>
    <w:rsid w:val="00BE785B"/>
    <w:rsid w:val="00BE7BA5"/>
    <w:rsid w:val="00BF0311"/>
    <w:rsid w:val="00BF036F"/>
    <w:rsid w:val="00BF0865"/>
    <w:rsid w:val="00BF15BD"/>
    <w:rsid w:val="00BF172E"/>
    <w:rsid w:val="00BF1BCD"/>
    <w:rsid w:val="00BF2206"/>
    <w:rsid w:val="00BF24B0"/>
    <w:rsid w:val="00BF28BF"/>
    <w:rsid w:val="00BF38CF"/>
    <w:rsid w:val="00BF39C7"/>
    <w:rsid w:val="00BF3B6D"/>
    <w:rsid w:val="00BF47AF"/>
    <w:rsid w:val="00BF49AE"/>
    <w:rsid w:val="00BF4A69"/>
    <w:rsid w:val="00BF537A"/>
    <w:rsid w:val="00BF53CE"/>
    <w:rsid w:val="00BF6276"/>
    <w:rsid w:val="00BF6313"/>
    <w:rsid w:val="00BF660F"/>
    <w:rsid w:val="00BF6632"/>
    <w:rsid w:val="00C00701"/>
    <w:rsid w:val="00C00ACF"/>
    <w:rsid w:val="00C00B50"/>
    <w:rsid w:val="00C0113B"/>
    <w:rsid w:val="00C01487"/>
    <w:rsid w:val="00C01AEB"/>
    <w:rsid w:val="00C01D00"/>
    <w:rsid w:val="00C0204F"/>
    <w:rsid w:val="00C0238A"/>
    <w:rsid w:val="00C030CD"/>
    <w:rsid w:val="00C043E9"/>
    <w:rsid w:val="00C0446F"/>
    <w:rsid w:val="00C05B9D"/>
    <w:rsid w:val="00C05DFE"/>
    <w:rsid w:val="00C065A8"/>
    <w:rsid w:val="00C067AA"/>
    <w:rsid w:val="00C06A1C"/>
    <w:rsid w:val="00C0727A"/>
    <w:rsid w:val="00C07E95"/>
    <w:rsid w:val="00C07F2B"/>
    <w:rsid w:val="00C101B5"/>
    <w:rsid w:val="00C105F9"/>
    <w:rsid w:val="00C10EB2"/>
    <w:rsid w:val="00C1123C"/>
    <w:rsid w:val="00C113B7"/>
    <w:rsid w:val="00C11753"/>
    <w:rsid w:val="00C11CF0"/>
    <w:rsid w:val="00C12102"/>
    <w:rsid w:val="00C12116"/>
    <w:rsid w:val="00C1235D"/>
    <w:rsid w:val="00C1272A"/>
    <w:rsid w:val="00C12A0C"/>
    <w:rsid w:val="00C12B64"/>
    <w:rsid w:val="00C130EE"/>
    <w:rsid w:val="00C131AA"/>
    <w:rsid w:val="00C13BEF"/>
    <w:rsid w:val="00C1441F"/>
    <w:rsid w:val="00C14DA8"/>
    <w:rsid w:val="00C1500B"/>
    <w:rsid w:val="00C151AA"/>
    <w:rsid w:val="00C1524E"/>
    <w:rsid w:val="00C1598F"/>
    <w:rsid w:val="00C15FA0"/>
    <w:rsid w:val="00C15FF3"/>
    <w:rsid w:val="00C168B1"/>
    <w:rsid w:val="00C16B54"/>
    <w:rsid w:val="00C16B76"/>
    <w:rsid w:val="00C16F85"/>
    <w:rsid w:val="00C16F99"/>
    <w:rsid w:val="00C17088"/>
    <w:rsid w:val="00C174E6"/>
    <w:rsid w:val="00C17957"/>
    <w:rsid w:val="00C17D5E"/>
    <w:rsid w:val="00C208BA"/>
    <w:rsid w:val="00C21C85"/>
    <w:rsid w:val="00C22786"/>
    <w:rsid w:val="00C23020"/>
    <w:rsid w:val="00C23A0F"/>
    <w:rsid w:val="00C24313"/>
    <w:rsid w:val="00C24363"/>
    <w:rsid w:val="00C246F2"/>
    <w:rsid w:val="00C24CBA"/>
    <w:rsid w:val="00C2543F"/>
    <w:rsid w:val="00C263E6"/>
    <w:rsid w:val="00C2641A"/>
    <w:rsid w:val="00C2770C"/>
    <w:rsid w:val="00C27F8A"/>
    <w:rsid w:val="00C305F5"/>
    <w:rsid w:val="00C31CE4"/>
    <w:rsid w:val="00C31EA3"/>
    <w:rsid w:val="00C32053"/>
    <w:rsid w:val="00C32970"/>
    <w:rsid w:val="00C32AA2"/>
    <w:rsid w:val="00C33223"/>
    <w:rsid w:val="00C33247"/>
    <w:rsid w:val="00C339B7"/>
    <w:rsid w:val="00C33C72"/>
    <w:rsid w:val="00C340D3"/>
    <w:rsid w:val="00C345AE"/>
    <w:rsid w:val="00C347F4"/>
    <w:rsid w:val="00C349AC"/>
    <w:rsid w:val="00C34A3C"/>
    <w:rsid w:val="00C34A7C"/>
    <w:rsid w:val="00C34E28"/>
    <w:rsid w:val="00C34F3A"/>
    <w:rsid w:val="00C352AC"/>
    <w:rsid w:val="00C35DAD"/>
    <w:rsid w:val="00C3673F"/>
    <w:rsid w:val="00C368CB"/>
    <w:rsid w:val="00C36B94"/>
    <w:rsid w:val="00C37BB2"/>
    <w:rsid w:val="00C406DE"/>
    <w:rsid w:val="00C40BE9"/>
    <w:rsid w:val="00C418D3"/>
    <w:rsid w:val="00C4203D"/>
    <w:rsid w:val="00C42480"/>
    <w:rsid w:val="00C43753"/>
    <w:rsid w:val="00C4387C"/>
    <w:rsid w:val="00C43907"/>
    <w:rsid w:val="00C43A7F"/>
    <w:rsid w:val="00C43B55"/>
    <w:rsid w:val="00C44B94"/>
    <w:rsid w:val="00C44C53"/>
    <w:rsid w:val="00C454C2"/>
    <w:rsid w:val="00C45A62"/>
    <w:rsid w:val="00C45F9B"/>
    <w:rsid w:val="00C46CD3"/>
    <w:rsid w:val="00C47467"/>
    <w:rsid w:val="00C47F4F"/>
    <w:rsid w:val="00C504BF"/>
    <w:rsid w:val="00C50539"/>
    <w:rsid w:val="00C507F2"/>
    <w:rsid w:val="00C50DBD"/>
    <w:rsid w:val="00C51073"/>
    <w:rsid w:val="00C51DAA"/>
    <w:rsid w:val="00C529C8"/>
    <w:rsid w:val="00C531A4"/>
    <w:rsid w:val="00C53E41"/>
    <w:rsid w:val="00C53EA3"/>
    <w:rsid w:val="00C54417"/>
    <w:rsid w:val="00C54476"/>
    <w:rsid w:val="00C55BFA"/>
    <w:rsid w:val="00C55EF3"/>
    <w:rsid w:val="00C56046"/>
    <w:rsid w:val="00C56717"/>
    <w:rsid w:val="00C56AD1"/>
    <w:rsid w:val="00C5707B"/>
    <w:rsid w:val="00C57427"/>
    <w:rsid w:val="00C57655"/>
    <w:rsid w:val="00C60B05"/>
    <w:rsid w:val="00C61192"/>
    <w:rsid w:val="00C6139E"/>
    <w:rsid w:val="00C640D2"/>
    <w:rsid w:val="00C64805"/>
    <w:rsid w:val="00C66032"/>
    <w:rsid w:val="00C6647B"/>
    <w:rsid w:val="00C670F5"/>
    <w:rsid w:val="00C67298"/>
    <w:rsid w:val="00C6772F"/>
    <w:rsid w:val="00C71A42"/>
    <w:rsid w:val="00C722BE"/>
    <w:rsid w:val="00C729C2"/>
    <w:rsid w:val="00C72C18"/>
    <w:rsid w:val="00C73588"/>
    <w:rsid w:val="00C736E4"/>
    <w:rsid w:val="00C73AFF"/>
    <w:rsid w:val="00C73D16"/>
    <w:rsid w:val="00C73E65"/>
    <w:rsid w:val="00C75246"/>
    <w:rsid w:val="00C75794"/>
    <w:rsid w:val="00C758A2"/>
    <w:rsid w:val="00C759CD"/>
    <w:rsid w:val="00C75AD6"/>
    <w:rsid w:val="00C75E7B"/>
    <w:rsid w:val="00C76110"/>
    <w:rsid w:val="00C76C41"/>
    <w:rsid w:val="00C77B12"/>
    <w:rsid w:val="00C77D51"/>
    <w:rsid w:val="00C77EDF"/>
    <w:rsid w:val="00C80379"/>
    <w:rsid w:val="00C80B13"/>
    <w:rsid w:val="00C80E6D"/>
    <w:rsid w:val="00C812A4"/>
    <w:rsid w:val="00C81BEC"/>
    <w:rsid w:val="00C82881"/>
    <w:rsid w:val="00C82D6F"/>
    <w:rsid w:val="00C83144"/>
    <w:rsid w:val="00C84A1A"/>
    <w:rsid w:val="00C854C6"/>
    <w:rsid w:val="00C859F0"/>
    <w:rsid w:val="00C85FCD"/>
    <w:rsid w:val="00C87093"/>
    <w:rsid w:val="00C873CE"/>
    <w:rsid w:val="00C87841"/>
    <w:rsid w:val="00C87C69"/>
    <w:rsid w:val="00C87E87"/>
    <w:rsid w:val="00C91407"/>
    <w:rsid w:val="00C9145D"/>
    <w:rsid w:val="00C9242B"/>
    <w:rsid w:val="00C92B95"/>
    <w:rsid w:val="00C933C2"/>
    <w:rsid w:val="00C93564"/>
    <w:rsid w:val="00C93DF2"/>
    <w:rsid w:val="00C93E0E"/>
    <w:rsid w:val="00C967E7"/>
    <w:rsid w:val="00C96AAF"/>
    <w:rsid w:val="00C96DC0"/>
    <w:rsid w:val="00C96E20"/>
    <w:rsid w:val="00C96E41"/>
    <w:rsid w:val="00C97D0B"/>
    <w:rsid w:val="00C97D9D"/>
    <w:rsid w:val="00C97DCF"/>
    <w:rsid w:val="00C97EE1"/>
    <w:rsid w:val="00CA0566"/>
    <w:rsid w:val="00CA1242"/>
    <w:rsid w:val="00CA13CF"/>
    <w:rsid w:val="00CA156E"/>
    <w:rsid w:val="00CA18BE"/>
    <w:rsid w:val="00CA209C"/>
    <w:rsid w:val="00CA21C1"/>
    <w:rsid w:val="00CA2A8B"/>
    <w:rsid w:val="00CA2AE5"/>
    <w:rsid w:val="00CA3179"/>
    <w:rsid w:val="00CA3892"/>
    <w:rsid w:val="00CA47BA"/>
    <w:rsid w:val="00CA4A3D"/>
    <w:rsid w:val="00CA4C76"/>
    <w:rsid w:val="00CA4E14"/>
    <w:rsid w:val="00CA4FA4"/>
    <w:rsid w:val="00CA50FB"/>
    <w:rsid w:val="00CA660F"/>
    <w:rsid w:val="00CA6AA3"/>
    <w:rsid w:val="00CA74C6"/>
    <w:rsid w:val="00CA7844"/>
    <w:rsid w:val="00CA7A74"/>
    <w:rsid w:val="00CB0CBF"/>
    <w:rsid w:val="00CB1957"/>
    <w:rsid w:val="00CB30FA"/>
    <w:rsid w:val="00CB35AA"/>
    <w:rsid w:val="00CB44B1"/>
    <w:rsid w:val="00CB4595"/>
    <w:rsid w:val="00CB4B7D"/>
    <w:rsid w:val="00CB5087"/>
    <w:rsid w:val="00CB54D0"/>
    <w:rsid w:val="00CB5F1E"/>
    <w:rsid w:val="00CB60C6"/>
    <w:rsid w:val="00CB76D3"/>
    <w:rsid w:val="00CB77CB"/>
    <w:rsid w:val="00CB7BAD"/>
    <w:rsid w:val="00CC0C0A"/>
    <w:rsid w:val="00CC0D94"/>
    <w:rsid w:val="00CC0EEB"/>
    <w:rsid w:val="00CC124A"/>
    <w:rsid w:val="00CC1559"/>
    <w:rsid w:val="00CC15F9"/>
    <w:rsid w:val="00CC2555"/>
    <w:rsid w:val="00CC2EB4"/>
    <w:rsid w:val="00CC3D54"/>
    <w:rsid w:val="00CC4DAA"/>
    <w:rsid w:val="00CC6B12"/>
    <w:rsid w:val="00CC6DE6"/>
    <w:rsid w:val="00CC73B3"/>
    <w:rsid w:val="00CC7FB7"/>
    <w:rsid w:val="00CD066C"/>
    <w:rsid w:val="00CD0726"/>
    <w:rsid w:val="00CD0D64"/>
    <w:rsid w:val="00CD13D4"/>
    <w:rsid w:val="00CD145D"/>
    <w:rsid w:val="00CD1629"/>
    <w:rsid w:val="00CD2B80"/>
    <w:rsid w:val="00CD3B3C"/>
    <w:rsid w:val="00CD3F9D"/>
    <w:rsid w:val="00CD4D53"/>
    <w:rsid w:val="00CD4EF6"/>
    <w:rsid w:val="00CD5921"/>
    <w:rsid w:val="00CD5CAD"/>
    <w:rsid w:val="00CD5FA9"/>
    <w:rsid w:val="00CD60AE"/>
    <w:rsid w:val="00CD60C0"/>
    <w:rsid w:val="00CD6B77"/>
    <w:rsid w:val="00CD6D2F"/>
    <w:rsid w:val="00CD7625"/>
    <w:rsid w:val="00CD77E9"/>
    <w:rsid w:val="00CD7F44"/>
    <w:rsid w:val="00CE03E2"/>
    <w:rsid w:val="00CE0A10"/>
    <w:rsid w:val="00CE0CA8"/>
    <w:rsid w:val="00CE0D55"/>
    <w:rsid w:val="00CE1DFE"/>
    <w:rsid w:val="00CE20E4"/>
    <w:rsid w:val="00CE217E"/>
    <w:rsid w:val="00CE303D"/>
    <w:rsid w:val="00CE377D"/>
    <w:rsid w:val="00CE3F8C"/>
    <w:rsid w:val="00CE44D2"/>
    <w:rsid w:val="00CE4607"/>
    <w:rsid w:val="00CE4F3D"/>
    <w:rsid w:val="00CE5254"/>
    <w:rsid w:val="00CE54C7"/>
    <w:rsid w:val="00CE6646"/>
    <w:rsid w:val="00CE6D60"/>
    <w:rsid w:val="00CE6FFB"/>
    <w:rsid w:val="00CE772A"/>
    <w:rsid w:val="00CE7D32"/>
    <w:rsid w:val="00CE7F14"/>
    <w:rsid w:val="00CF0068"/>
    <w:rsid w:val="00CF09E5"/>
    <w:rsid w:val="00CF0A97"/>
    <w:rsid w:val="00CF1E7F"/>
    <w:rsid w:val="00CF2E64"/>
    <w:rsid w:val="00CF2FEC"/>
    <w:rsid w:val="00CF4097"/>
    <w:rsid w:val="00CF4851"/>
    <w:rsid w:val="00CF4DBC"/>
    <w:rsid w:val="00CF4DD1"/>
    <w:rsid w:val="00CF4F9F"/>
    <w:rsid w:val="00CF6804"/>
    <w:rsid w:val="00CF69C3"/>
    <w:rsid w:val="00CF6F01"/>
    <w:rsid w:val="00CF7274"/>
    <w:rsid w:val="00D0001F"/>
    <w:rsid w:val="00D001DA"/>
    <w:rsid w:val="00D004E6"/>
    <w:rsid w:val="00D005D4"/>
    <w:rsid w:val="00D008DB"/>
    <w:rsid w:val="00D00BBA"/>
    <w:rsid w:val="00D01992"/>
    <w:rsid w:val="00D01A6A"/>
    <w:rsid w:val="00D01F1F"/>
    <w:rsid w:val="00D02202"/>
    <w:rsid w:val="00D03C87"/>
    <w:rsid w:val="00D0450C"/>
    <w:rsid w:val="00D0455D"/>
    <w:rsid w:val="00D059E4"/>
    <w:rsid w:val="00D05ADF"/>
    <w:rsid w:val="00D05D90"/>
    <w:rsid w:val="00D06105"/>
    <w:rsid w:val="00D0646D"/>
    <w:rsid w:val="00D0682C"/>
    <w:rsid w:val="00D06BE4"/>
    <w:rsid w:val="00D06C76"/>
    <w:rsid w:val="00D06CF1"/>
    <w:rsid w:val="00D074FD"/>
    <w:rsid w:val="00D07743"/>
    <w:rsid w:val="00D10031"/>
    <w:rsid w:val="00D100B5"/>
    <w:rsid w:val="00D104D6"/>
    <w:rsid w:val="00D106CB"/>
    <w:rsid w:val="00D10F25"/>
    <w:rsid w:val="00D114A4"/>
    <w:rsid w:val="00D11764"/>
    <w:rsid w:val="00D121A4"/>
    <w:rsid w:val="00D12742"/>
    <w:rsid w:val="00D1446F"/>
    <w:rsid w:val="00D14A5E"/>
    <w:rsid w:val="00D14D89"/>
    <w:rsid w:val="00D14FB3"/>
    <w:rsid w:val="00D1507C"/>
    <w:rsid w:val="00D1523F"/>
    <w:rsid w:val="00D15373"/>
    <w:rsid w:val="00D15443"/>
    <w:rsid w:val="00D15EBC"/>
    <w:rsid w:val="00D16073"/>
    <w:rsid w:val="00D16212"/>
    <w:rsid w:val="00D16255"/>
    <w:rsid w:val="00D167AD"/>
    <w:rsid w:val="00D168DE"/>
    <w:rsid w:val="00D16DC8"/>
    <w:rsid w:val="00D17013"/>
    <w:rsid w:val="00D171E8"/>
    <w:rsid w:val="00D17418"/>
    <w:rsid w:val="00D17FCA"/>
    <w:rsid w:val="00D2024F"/>
    <w:rsid w:val="00D2241B"/>
    <w:rsid w:val="00D24711"/>
    <w:rsid w:val="00D24D03"/>
    <w:rsid w:val="00D24E31"/>
    <w:rsid w:val="00D256C8"/>
    <w:rsid w:val="00D25C99"/>
    <w:rsid w:val="00D26418"/>
    <w:rsid w:val="00D26C09"/>
    <w:rsid w:val="00D26CA5"/>
    <w:rsid w:val="00D2707E"/>
    <w:rsid w:val="00D27457"/>
    <w:rsid w:val="00D3079F"/>
    <w:rsid w:val="00D30829"/>
    <w:rsid w:val="00D3098D"/>
    <w:rsid w:val="00D30E85"/>
    <w:rsid w:val="00D311E1"/>
    <w:rsid w:val="00D31210"/>
    <w:rsid w:val="00D31B17"/>
    <w:rsid w:val="00D32120"/>
    <w:rsid w:val="00D3224C"/>
    <w:rsid w:val="00D325AE"/>
    <w:rsid w:val="00D3266B"/>
    <w:rsid w:val="00D32744"/>
    <w:rsid w:val="00D329CB"/>
    <w:rsid w:val="00D32FDC"/>
    <w:rsid w:val="00D33CF7"/>
    <w:rsid w:val="00D33EA7"/>
    <w:rsid w:val="00D34207"/>
    <w:rsid w:val="00D345DB"/>
    <w:rsid w:val="00D34E74"/>
    <w:rsid w:val="00D35260"/>
    <w:rsid w:val="00D35314"/>
    <w:rsid w:val="00D3597D"/>
    <w:rsid w:val="00D361D5"/>
    <w:rsid w:val="00D36AB8"/>
    <w:rsid w:val="00D37058"/>
    <w:rsid w:val="00D372F7"/>
    <w:rsid w:val="00D37997"/>
    <w:rsid w:val="00D37C7F"/>
    <w:rsid w:val="00D37DD4"/>
    <w:rsid w:val="00D405B4"/>
    <w:rsid w:val="00D40959"/>
    <w:rsid w:val="00D41370"/>
    <w:rsid w:val="00D413AF"/>
    <w:rsid w:val="00D4187A"/>
    <w:rsid w:val="00D41C51"/>
    <w:rsid w:val="00D42027"/>
    <w:rsid w:val="00D420DC"/>
    <w:rsid w:val="00D431AE"/>
    <w:rsid w:val="00D435C0"/>
    <w:rsid w:val="00D435D0"/>
    <w:rsid w:val="00D43C61"/>
    <w:rsid w:val="00D44628"/>
    <w:rsid w:val="00D45125"/>
    <w:rsid w:val="00D4530F"/>
    <w:rsid w:val="00D455FD"/>
    <w:rsid w:val="00D459D9"/>
    <w:rsid w:val="00D45AC2"/>
    <w:rsid w:val="00D45EBC"/>
    <w:rsid w:val="00D46510"/>
    <w:rsid w:val="00D46E08"/>
    <w:rsid w:val="00D475D7"/>
    <w:rsid w:val="00D4787E"/>
    <w:rsid w:val="00D47926"/>
    <w:rsid w:val="00D47AA2"/>
    <w:rsid w:val="00D47AC9"/>
    <w:rsid w:val="00D509AF"/>
    <w:rsid w:val="00D51028"/>
    <w:rsid w:val="00D512F7"/>
    <w:rsid w:val="00D51390"/>
    <w:rsid w:val="00D526E5"/>
    <w:rsid w:val="00D530F6"/>
    <w:rsid w:val="00D537A9"/>
    <w:rsid w:val="00D54972"/>
    <w:rsid w:val="00D55720"/>
    <w:rsid w:val="00D55A54"/>
    <w:rsid w:val="00D5671B"/>
    <w:rsid w:val="00D567D8"/>
    <w:rsid w:val="00D56A25"/>
    <w:rsid w:val="00D57033"/>
    <w:rsid w:val="00D600E4"/>
    <w:rsid w:val="00D6038D"/>
    <w:rsid w:val="00D609C9"/>
    <w:rsid w:val="00D60F74"/>
    <w:rsid w:val="00D61AAF"/>
    <w:rsid w:val="00D61D74"/>
    <w:rsid w:val="00D61EF2"/>
    <w:rsid w:val="00D6205B"/>
    <w:rsid w:val="00D624AA"/>
    <w:rsid w:val="00D628B6"/>
    <w:rsid w:val="00D629C9"/>
    <w:rsid w:val="00D64041"/>
    <w:rsid w:val="00D6422A"/>
    <w:rsid w:val="00D64297"/>
    <w:rsid w:val="00D64563"/>
    <w:rsid w:val="00D645B8"/>
    <w:rsid w:val="00D645E5"/>
    <w:rsid w:val="00D64855"/>
    <w:rsid w:val="00D652C4"/>
    <w:rsid w:val="00D654B3"/>
    <w:rsid w:val="00D6599A"/>
    <w:rsid w:val="00D66130"/>
    <w:rsid w:val="00D66194"/>
    <w:rsid w:val="00D66E2C"/>
    <w:rsid w:val="00D66FC0"/>
    <w:rsid w:val="00D67805"/>
    <w:rsid w:val="00D70374"/>
    <w:rsid w:val="00D7104B"/>
    <w:rsid w:val="00D7184A"/>
    <w:rsid w:val="00D71B3B"/>
    <w:rsid w:val="00D72D38"/>
    <w:rsid w:val="00D72DE1"/>
    <w:rsid w:val="00D7369C"/>
    <w:rsid w:val="00D737F2"/>
    <w:rsid w:val="00D7445F"/>
    <w:rsid w:val="00D74F2D"/>
    <w:rsid w:val="00D75572"/>
    <w:rsid w:val="00D75D4F"/>
    <w:rsid w:val="00D76B10"/>
    <w:rsid w:val="00D800C7"/>
    <w:rsid w:val="00D80723"/>
    <w:rsid w:val="00D80855"/>
    <w:rsid w:val="00D808E0"/>
    <w:rsid w:val="00D80937"/>
    <w:rsid w:val="00D81512"/>
    <w:rsid w:val="00D81F84"/>
    <w:rsid w:val="00D8204E"/>
    <w:rsid w:val="00D8325C"/>
    <w:rsid w:val="00D832B9"/>
    <w:rsid w:val="00D8388E"/>
    <w:rsid w:val="00D8406C"/>
    <w:rsid w:val="00D8467E"/>
    <w:rsid w:val="00D849FE"/>
    <w:rsid w:val="00D856B9"/>
    <w:rsid w:val="00D859F3"/>
    <w:rsid w:val="00D85A8B"/>
    <w:rsid w:val="00D85BEB"/>
    <w:rsid w:val="00D86201"/>
    <w:rsid w:val="00D86EDC"/>
    <w:rsid w:val="00D87005"/>
    <w:rsid w:val="00D873D7"/>
    <w:rsid w:val="00D87A1E"/>
    <w:rsid w:val="00D87BF9"/>
    <w:rsid w:val="00D87E99"/>
    <w:rsid w:val="00D90427"/>
    <w:rsid w:val="00D906CB"/>
    <w:rsid w:val="00D90787"/>
    <w:rsid w:val="00D907A2"/>
    <w:rsid w:val="00D913EC"/>
    <w:rsid w:val="00D929AB"/>
    <w:rsid w:val="00D92AB9"/>
    <w:rsid w:val="00D9305D"/>
    <w:rsid w:val="00D9383C"/>
    <w:rsid w:val="00D940B1"/>
    <w:rsid w:val="00D94366"/>
    <w:rsid w:val="00D9492D"/>
    <w:rsid w:val="00D95397"/>
    <w:rsid w:val="00D9542F"/>
    <w:rsid w:val="00D95FF5"/>
    <w:rsid w:val="00D96541"/>
    <w:rsid w:val="00D967A9"/>
    <w:rsid w:val="00D97E51"/>
    <w:rsid w:val="00DA015C"/>
    <w:rsid w:val="00DA0971"/>
    <w:rsid w:val="00DA17D4"/>
    <w:rsid w:val="00DA1D37"/>
    <w:rsid w:val="00DA1F5C"/>
    <w:rsid w:val="00DA2042"/>
    <w:rsid w:val="00DA2317"/>
    <w:rsid w:val="00DA2489"/>
    <w:rsid w:val="00DA24B3"/>
    <w:rsid w:val="00DA27AB"/>
    <w:rsid w:val="00DA2AFD"/>
    <w:rsid w:val="00DA2BD3"/>
    <w:rsid w:val="00DA3242"/>
    <w:rsid w:val="00DA3614"/>
    <w:rsid w:val="00DA4942"/>
    <w:rsid w:val="00DA4FA2"/>
    <w:rsid w:val="00DA5359"/>
    <w:rsid w:val="00DA5A61"/>
    <w:rsid w:val="00DA5DA7"/>
    <w:rsid w:val="00DA6DF7"/>
    <w:rsid w:val="00DA6ED3"/>
    <w:rsid w:val="00DA718A"/>
    <w:rsid w:val="00DA7FF5"/>
    <w:rsid w:val="00DB00D5"/>
    <w:rsid w:val="00DB0C35"/>
    <w:rsid w:val="00DB178C"/>
    <w:rsid w:val="00DB290F"/>
    <w:rsid w:val="00DB2A2E"/>
    <w:rsid w:val="00DB2E5B"/>
    <w:rsid w:val="00DB2EFF"/>
    <w:rsid w:val="00DB4303"/>
    <w:rsid w:val="00DB4F22"/>
    <w:rsid w:val="00DB579B"/>
    <w:rsid w:val="00DB630C"/>
    <w:rsid w:val="00DB66A4"/>
    <w:rsid w:val="00DB6E19"/>
    <w:rsid w:val="00DB727A"/>
    <w:rsid w:val="00DB74AD"/>
    <w:rsid w:val="00DB7AB7"/>
    <w:rsid w:val="00DB7D4A"/>
    <w:rsid w:val="00DC15B5"/>
    <w:rsid w:val="00DC1698"/>
    <w:rsid w:val="00DC16CA"/>
    <w:rsid w:val="00DC1860"/>
    <w:rsid w:val="00DC1C37"/>
    <w:rsid w:val="00DC1E87"/>
    <w:rsid w:val="00DC1FEB"/>
    <w:rsid w:val="00DC2ADB"/>
    <w:rsid w:val="00DC2F69"/>
    <w:rsid w:val="00DC3824"/>
    <w:rsid w:val="00DC3B59"/>
    <w:rsid w:val="00DC40A4"/>
    <w:rsid w:val="00DC4174"/>
    <w:rsid w:val="00DC5687"/>
    <w:rsid w:val="00DC6F6D"/>
    <w:rsid w:val="00DC7422"/>
    <w:rsid w:val="00DC77E6"/>
    <w:rsid w:val="00DD0376"/>
    <w:rsid w:val="00DD06FE"/>
    <w:rsid w:val="00DD0CF4"/>
    <w:rsid w:val="00DD13D6"/>
    <w:rsid w:val="00DD1DB0"/>
    <w:rsid w:val="00DD2118"/>
    <w:rsid w:val="00DD23C1"/>
    <w:rsid w:val="00DD299E"/>
    <w:rsid w:val="00DD3513"/>
    <w:rsid w:val="00DD3D2D"/>
    <w:rsid w:val="00DD3DD6"/>
    <w:rsid w:val="00DD43EA"/>
    <w:rsid w:val="00DD49F7"/>
    <w:rsid w:val="00DD5961"/>
    <w:rsid w:val="00DD5C27"/>
    <w:rsid w:val="00DD5D15"/>
    <w:rsid w:val="00DD6401"/>
    <w:rsid w:val="00DD6CF8"/>
    <w:rsid w:val="00DD6DB3"/>
    <w:rsid w:val="00DD7F78"/>
    <w:rsid w:val="00DE0075"/>
    <w:rsid w:val="00DE0106"/>
    <w:rsid w:val="00DE0EF4"/>
    <w:rsid w:val="00DE1358"/>
    <w:rsid w:val="00DE1BD4"/>
    <w:rsid w:val="00DE29BC"/>
    <w:rsid w:val="00DE2B26"/>
    <w:rsid w:val="00DE319C"/>
    <w:rsid w:val="00DE31C2"/>
    <w:rsid w:val="00DE3852"/>
    <w:rsid w:val="00DE39BC"/>
    <w:rsid w:val="00DE3EDC"/>
    <w:rsid w:val="00DE46CC"/>
    <w:rsid w:val="00DE48E7"/>
    <w:rsid w:val="00DE4DF0"/>
    <w:rsid w:val="00DE505A"/>
    <w:rsid w:val="00DE5129"/>
    <w:rsid w:val="00DE519B"/>
    <w:rsid w:val="00DE554B"/>
    <w:rsid w:val="00DE5D68"/>
    <w:rsid w:val="00DE6045"/>
    <w:rsid w:val="00DE77FC"/>
    <w:rsid w:val="00DF01BE"/>
    <w:rsid w:val="00DF1191"/>
    <w:rsid w:val="00DF161D"/>
    <w:rsid w:val="00DF1812"/>
    <w:rsid w:val="00DF1FC8"/>
    <w:rsid w:val="00DF200C"/>
    <w:rsid w:val="00DF2184"/>
    <w:rsid w:val="00DF25F9"/>
    <w:rsid w:val="00DF36A8"/>
    <w:rsid w:val="00DF41D5"/>
    <w:rsid w:val="00DF4518"/>
    <w:rsid w:val="00DF499E"/>
    <w:rsid w:val="00DF7337"/>
    <w:rsid w:val="00DF75B3"/>
    <w:rsid w:val="00DF7FF1"/>
    <w:rsid w:val="00E00163"/>
    <w:rsid w:val="00E005CB"/>
    <w:rsid w:val="00E00AB2"/>
    <w:rsid w:val="00E00BFB"/>
    <w:rsid w:val="00E01078"/>
    <w:rsid w:val="00E016AC"/>
    <w:rsid w:val="00E01B6B"/>
    <w:rsid w:val="00E023B3"/>
    <w:rsid w:val="00E02E30"/>
    <w:rsid w:val="00E03AC9"/>
    <w:rsid w:val="00E042AF"/>
    <w:rsid w:val="00E04830"/>
    <w:rsid w:val="00E04DB3"/>
    <w:rsid w:val="00E0509E"/>
    <w:rsid w:val="00E05D2B"/>
    <w:rsid w:val="00E0692E"/>
    <w:rsid w:val="00E07749"/>
    <w:rsid w:val="00E07CB1"/>
    <w:rsid w:val="00E07CDB"/>
    <w:rsid w:val="00E104BB"/>
    <w:rsid w:val="00E106F2"/>
    <w:rsid w:val="00E112A2"/>
    <w:rsid w:val="00E11469"/>
    <w:rsid w:val="00E11AA6"/>
    <w:rsid w:val="00E11D26"/>
    <w:rsid w:val="00E125EA"/>
    <w:rsid w:val="00E14195"/>
    <w:rsid w:val="00E14500"/>
    <w:rsid w:val="00E14819"/>
    <w:rsid w:val="00E14C27"/>
    <w:rsid w:val="00E14FAA"/>
    <w:rsid w:val="00E15361"/>
    <w:rsid w:val="00E15694"/>
    <w:rsid w:val="00E157B6"/>
    <w:rsid w:val="00E15E8A"/>
    <w:rsid w:val="00E15F1C"/>
    <w:rsid w:val="00E16327"/>
    <w:rsid w:val="00E16486"/>
    <w:rsid w:val="00E1658F"/>
    <w:rsid w:val="00E1664F"/>
    <w:rsid w:val="00E16952"/>
    <w:rsid w:val="00E16B7D"/>
    <w:rsid w:val="00E17825"/>
    <w:rsid w:val="00E17956"/>
    <w:rsid w:val="00E2037B"/>
    <w:rsid w:val="00E20A72"/>
    <w:rsid w:val="00E20A8D"/>
    <w:rsid w:val="00E20E99"/>
    <w:rsid w:val="00E21995"/>
    <w:rsid w:val="00E220D6"/>
    <w:rsid w:val="00E22F4F"/>
    <w:rsid w:val="00E23315"/>
    <w:rsid w:val="00E23842"/>
    <w:rsid w:val="00E2490F"/>
    <w:rsid w:val="00E24BA0"/>
    <w:rsid w:val="00E252EA"/>
    <w:rsid w:val="00E25A3E"/>
    <w:rsid w:val="00E269B7"/>
    <w:rsid w:val="00E27C7F"/>
    <w:rsid w:val="00E30123"/>
    <w:rsid w:val="00E304B1"/>
    <w:rsid w:val="00E312D1"/>
    <w:rsid w:val="00E3136F"/>
    <w:rsid w:val="00E31631"/>
    <w:rsid w:val="00E3176D"/>
    <w:rsid w:val="00E33109"/>
    <w:rsid w:val="00E33A12"/>
    <w:rsid w:val="00E34112"/>
    <w:rsid w:val="00E3415C"/>
    <w:rsid w:val="00E34186"/>
    <w:rsid w:val="00E34188"/>
    <w:rsid w:val="00E347B4"/>
    <w:rsid w:val="00E34CF2"/>
    <w:rsid w:val="00E353C2"/>
    <w:rsid w:val="00E35F55"/>
    <w:rsid w:val="00E36803"/>
    <w:rsid w:val="00E3743D"/>
    <w:rsid w:val="00E37828"/>
    <w:rsid w:val="00E37DAA"/>
    <w:rsid w:val="00E4011C"/>
    <w:rsid w:val="00E4028C"/>
    <w:rsid w:val="00E40B4E"/>
    <w:rsid w:val="00E40FAD"/>
    <w:rsid w:val="00E4137A"/>
    <w:rsid w:val="00E419F4"/>
    <w:rsid w:val="00E41A41"/>
    <w:rsid w:val="00E4247B"/>
    <w:rsid w:val="00E426EF"/>
    <w:rsid w:val="00E43507"/>
    <w:rsid w:val="00E43A66"/>
    <w:rsid w:val="00E43FA9"/>
    <w:rsid w:val="00E44F9E"/>
    <w:rsid w:val="00E4545C"/>
    <w:rsid w:val="00E45623"/>
    <w:rsid w:val="00E46860"/>
    <w:rsid w:val="00E46BC3"/>
    <w:rsid w:val="00E46C73"/>
    <w:rsid w:val="00E46D15"/>
    <w:rsid w:val="00E47343"/>
    <w:rsid w:val="00E477F2"/>
    <w:rsid w:val="00E50D0A"/>
    <w:rsid w:val="00E51A7D"/>
    <w:rsid w:val="00E51EF1"/>
    <w:rsid w:val="00E5228C"/>
    <w:rsid w:val="00E53A7B"/>
    <w:rsid w:val="00E5450B"/>
    <w:rsid w:val="00E55678"/>
    <w:rsid w:val="00E556E4"/>
    <w:rsid w:val="00E559FE"/>
    <w:rsid w:val="00E560AC"/>
    <w:rsid w:val="00E566AC"/>
    <w:rsid w:val="00E56A08"/>
    <w:rsid w:val="00E56BF4"/>
    <w:rsid w:val="00E56C30"/>
    <w:rsid w:val="00E56F8D"/>
    <w:rsid w:val="00E576D9"/>
    <w:rsid w:val="00E577D5"/>
    <w:rsid w:val="00E60090"/>
    <w:rsid w:val="00E608B2"/>
    <w:rsid w:val="00E60A92"/>
    <w:rsid w:val="00E6128B"/>
    <w:rsid w:val="00E61C12"/>
    <w:rsid w:val="00E61CF0"/>
    <w:rsid w:val="00E61FF4"/>
    <w:rsid w:val="00E6260F"/>
    <w:rsid w:val="00E62B41"/>
    <w:rsid w:val="00E633DB"/>
    <w:rsid w:val="00E63D8A"/>
    <w:rsid w:val="00E64597"/>
    <w:rsid w:val="00E64CD3"/>
    <w:rsid w:val="00E64D7B"/>
    <w:rsid w:val="00E65CA6"/>
    <w:rsid w:val="00E65D56"/>
    <w:rsid w:val="00E65D6B"/>
    <w:rsid w:val="00E65FAC"/>
    <w:rsid w:val="00E65FC2"/>
    <w:rsid w:val="00E662C2"/>
    <w:rsid w:val="00E6734A"/>
    <w:rsid w:val="00E675E2"/>
    <w:rsid w:val="00E7106A"/>
    <w:rsid w:val="00E71153"/>
    <w:rsid w:val="00E71310"/>
    <w:rsid w:val="00E7147D"/>
    <w:rsid w:val="00E71977"/>
    <w:rsid w:val="00E71B0F"/>
    <w:rsid w:val="00E7206B"/>
    <w:rsid w:val="00E720A7"/>
    <w:rsid w:val="00E72410"/>
    <w:rsid w:val="00E72954"/>
    <w:rsid w:val="00E72FE6"/>
    <w:rsid w:val="00E73A2C"/>
    <w:rsid w:val="00E73FF9"/>
    <w:rsid w:val="00E75324"/>
    <w:rsid w:val="00E75546"/>
    <w:rsid w:val="00E75B10"/>
    <w:rsid w:val="00E75CC8"/>
    <w:rsid w:val="00E7632D"/>
    <w:rsid w:val="00E76422"/>
    <w:rsid w:val="00E775F6"/>
    <w:rsid w:val="00E777D1"/>
    <w:rsid w:val="00E77FE1"/>
    <w:rsid w:val="00E80230"/>
    <w:rsid w:val="00E80A7F"/>
    <w:rsid w:val="00E80A8E"/>
    <w:rsid w:val="00E811E1"/>
    <w:rsid w:val="00E81397"/>
    <w:rsid w:val="00E81AAC"/>
    <w:rsid w:val="00E81B9C"/>
    <w:rsid w:val="00E81EB3"/>
    <w:rsid w:val="00E829CD"/>
    <w:rsid w:val="00E82C9D"/>
    <w:rsid w:val="00E8311F"/>
    <w:rsid w:val="00E832E5"/>
    <w:rsid w:val="00E8338C"/>
    <w:rsid w:val="00E8434A"/>
    <w:rsid w:val="00E84686"/>
    <w:rsid w:val="00E84988"/>
    <w:rsid w:val="00E85B4E"/>
    <w:rsid w:val="00E866FF"/>
    <w:rsid w:val="00E86852"/>
    <w:rsid w:val="00E87BD0"/>
    <w:rsid w:val="00E87E95"/>
    <w:rsid w:val="00E900DF"/>
    <w:rsid w:val="00E913C5"/>
    <w:rsid w:val="00E915F3"/>
    <w:rsid w:val="00E92664"/>
    <w:rsid w:val="00E927BA"/>
    <w:rsid w:val="00E92D3C"/>
    <w:rsid w:val="00E94340"/>
    <w:rsid w:val="00E94421"/>
    <w:rsid w:val="00E94992"/>
    <w:rsid w:val="00E94A97"/>
    <w:rsid w:val="00E94C9F"/>
    <w:rsid w:val="00E94D9E"/>
    <w:rsid w:val="00E94EB7"/>
    <w:rsid w:val="00E95C35"/>
    <w:rsid w:val="00E96F27"/>
    <w:rsid w:val="00E970BE"/>
    <w:rsid w:val="00E97544"/>
    <w:rsid w:val="00E97720"/>
    <w:rsid w:val="00E9774F"/>
    <w:rsid w:val="00E97903"/>
    <w:rsid w:val="00EA00CF"/>
    <w:rsid w:val="00EA01EE"/>
    <w:rsid w:val="00EA0355"/>
    <w:rsid w:val="00EA05A7"/>
    <w:rsid w:val="00EA05D5"/>
    <w:rsid w:val="00EA06C0"/>
    <w:rsid w:val="00EA074D"/>
    <w:rsid w:val="00EA0EBC"/>
    <w:rsid w:val="00EA1749"/>
    <w:rsid w:val="00EA1BBD"/>
    <w:rsid w:val="00EA203F"/>
    <w:rsid w:val="00EA212D"/>
    <w:rsid w:val="00EA21FB"/>
    <w:rsid w:val="00EA2981"/>
    <w:rsid w:val="00EA29AA"/>
    <w:rsid w:val="00EA2E9A"/>
    <w:rsid w:val="00EA31FD"/>
    <w:rsid w:val="00EA348C"/>
    <w:rsid w:val="00EA352E"/>
    <w:rsid w:val="00EA3E0F"/>
    <w:rsid w:val="00EA3ED4"/>
    <w:rsid w:val="00EA402C"/>
    <w:rsid w:val="00EA4755"/>
    <w:rsid w:val="00EA4775"/>
    <w:rsid w:val="00EA51F2"/>
    <w:rsid w:val="00EA55CA"/>
    <w:rsid w:val="00EA5C6B"/>
    <w:rsid w:val="00EA7822"/>
    <w:rsid w:val="00EA7D32"/>
    <w:rsid w:val="00EB0667"/>
    <w:rsid w:val="00EB0E9A"/>
    <w:rsid w:val="00EB1874"/>
    <w:rsid w:val="00EB1980"/>
    <w:rsid w:val="00EB1C04"/>
    <w:rsid w:val="00EB2366"/>
    <w:rsid w:val="00EB24B2"/>
    <w:rsid w:val="00EB24BA"/>
    <w:rsid w:val="00EB2528"/>
    <w:rsid w:val="00EB25A4"/>
    <w:rsid w:val="00EB29AB"/>
    <w:rsid w:val="00EB338C"/>
    <w:rsid w:val="00EB3985"/>
    <w:rsid w:val="00EB44A4"/>
    <w:rsid w:val="00EB4BC3"/>
    <w:rsid w:val="00EB4F21"/>
    <w:rsid w:val="00EB60FC"/>
    <w:rsid w:val="00EB6669"/>
    <w:rsid w:val="00EB6807"/>
    <w:rsid w:val="00EB6904"/>
    <w:rsid w:val="00EB6FA7"/>
    <w:rsid w:val="00EB79B4"/>
    <w:rsid w:val="00EB7C34"/>
    <w:rsid w:val="00EC0931"/>
    <w:rsid w:val="00EC09A9"/>
    <w:rsid w:val="00EC17DE"/>
    <w:rsid w:val="00EC2462"/>
    <w:rsid w:val="00EC2852"/>
    <w:rsid w:val="00EC3A08"/>
    <w:rsid w:val="00EC3A99"/>
    <w:rsid w:val="00EC3AE0"/>
    <w:rsid w:val="00EC3B20"/>
    <w:rsid w:val="00EC3D52"/>
    <w:rsid w:val="00EC4111"/>
    <w:rsid w:val="00EC4A19"/>
    <w:rsid w:val="00EC4E62"/>
    <w:rsid w:val="00EC4F75"/>
    <w:rsid w:val="00EC4FFB"/>
    <w:rsid w:val="00EC5506"/>
    <w:rsid w:val="00EC60A8"/>
    <w:rsid w:val="00EC63B2"/>
    <w:rsid w:val="00EC6BFD"/>
    <w:rsid w:val="00EC6DBF"/>
    <w:rsid w:val="00EC7EAE"/>
    <w:rsid w:val="00EC7F47"/>
    <w:rsid w:val="00ED017A"/>
    <w:rsid w:val="00ED0B35"/>
    <w:rsid w:val="00ED0DE0"/>
    <w:rsid w:val="00ED0E62"/>
    <w:rsid w:val="00ED1019"/>
    <w:rsid w:val="00ED1325"/>
    <w:rsid w:val="00ED1843"/>
    <w:rsid w:val="00ED24EE"/>
    <w:rsid w:val="00ED3215"/>
    <w:rsid w:val="00ED3C4C"/>
    <w:rsid w:val="00ED4154"/>
    <w:rsid w:val="00ED423F"/>
    <w:rsid w:val="00ED43AA"/>
    <w:rsid w:val="00ED58C2"/>
    <w:rsid w:val="00ED63F1"/>
    <w:rsid w:val="00ED66FC"/>
    <w:rsid w:val="00ED71E5"/>
    <w:rsid w:val="00ED72F9"/>
    <w:rsid w:val="00ED7675"/>
    <w:rsid w:val="00ED769C"/>
    <w:rsid w:val="00ED78FA"/>
    <w:rsid w:val="00EE075A"/>
    <w:rsid w:val="00EE1CD3"/>
    <w:rsid w:val="00EE2251"/>
    <w:rsid w:val="00EE234F"/>
    <w:rsid w:val="00EE25D7"/>
    <w:rsid w:val="00EE2777"/>
    <w:rsid w:val="00EE288C"/>
    <w:rsid w:val="00EE3051"/>
    <w:rsid w:val="00EE30AC"/>
    <w:rsid w:val="00EE48E3"/>
    <w:rsid w:val="00EE4F3E"/>
    <w:rsid w:val="00EE5AF2"/>
    <w:rsid w:val="00EE5B02"/>
    <w:rsid w:val="00EE661A"/>
    <w:rsid w:val="00EE6A72"/>
    <w:rsid w:val="00EE6D6A"/>
    <w:rsid w:val="00EE789A"/>
    <w:rsid w:val="00EE7C56"/>
    <w:rsid w:val="00EF00AA"/>
    <w:rsid w:val="00EF07FC"/>
    <w:rsid w:val="00EF0DC5"/>
    <w:rsid w:val="00EF2FD7"/>
    <w:rsid w:val="00EF38F8"/>
    <w:rsid w:val="00EF58D4"/>
    <w:rsid w:val="00EF5CA6"/>
    <w:rsid w:val="00EF6888"/>
    <w:rsid w:val="00EF6B63"/>
    <w:rsid w:val="00EF7F52"/>
    <w:rsid w:val="00F0107B"/>
    <w:rsid w:val="00F01B1B"/>
    <w:rsid w:val="00F01DB5"/>
    <w:rsid w:val="00F01FD0"/>
    <w:rsid w:val="00F02A30"/>
    <w:rsid w:val="00F02CE7"/>
    <w:rsid w:val="00F03AD5"/>
    <w:rsid w:val="00F03BDC"/>
    <w:rsid w:val="00F03CB1"/>
    <w:rsid w:val="00F03E75"/>
    <w:rsid w:val="00F0426D"/>
    <w:rsid w:val="00F0515A"/>
    <w:rsid w:val="00F058A8"/>
    <w:rsid w:val="00F05D8C"/>
    <w:rsid w:val="00F0675D"/>
    <w:rsid w:val="00F06A7E"/>
    <w:rsid w:val="00F06CAC"/>
    <w:rsid w:val="00F06FF1"/>
    <w:rsid w:val="00F075B0"/>
    <w:rsid w:val="00F100CC"/>
    <w:rsid w:val="00F105BC"/>
    <w:rsid w:val="00F10C7A"/>
    <w:rsid w:val="00F11CAA"/>
    <w:rsid w:val="00F12A3A"/>
    <w:rsid w:val="00F13ED6"/>
    <w:rsid w:val="00F148D5"/>
    <w:rsid w:val="00F14AE6"/>
    <w:rsid w:val="00F15336"/>
    <w:rsid w:val="00F15D3D"/>
    <w:rsid w:val="00F1637A"/>
    <w:rsid w:val="00F1649D"/>
    <w:rsid w:val="00F170B5"/>
    <w:rsid w:val="00F17A87"/>
    <w:rsid w:val="00F2012B"/>
    <w:rsid w:val="00F20135"/>
    <w:rsid w:val="00F20A57"/>
    <w:rsid w:val="00F20F66"/>
    <w:rsid w:val="00F21385"/>
    <w:rsid w:val="00F218B2"/>
    <w:rsid w:val="00F21DDC"/>
    <w:rsid w:val="00F21E07"/>
    <w:rsid w:val="00F22DC3"/>
    <w:rsid w:val="00F22E2E"/>
    <w:rsid w:val="00F23375"/>
    <w:rsid w:val="00F24CDA"/>
    <w:rsid w:val="00F24F5C"/>
    <w:rsid w:val="00F25032"/>
    <w:rsid w:val="00F2650C"/>
    <w:rsid w:val="00F277D5"/>
    <w:rsid w:val="00F316E5"/>
    <w:rsid w:val="00F3187B"/>
    <w:rsid w:val="00F320AE"/>
    <w:rsid w:val="00F32498"/>
    <w:rsid w:val="00F33B17"/>
    <w:rsid w:val="00F347DF"/>
    <w:rsid w:val="00F34A36"/>
    <w:rsid w:val="00F34BF4"/>
    <w:rsid w:val="00F34D82"/>
    <w:rsid w:val="00F34FC9"/>
    <w:rsid w:val="00F357CC"/>
    <w:rsid w:val="00F360B9"/>
    <w:rsid w:val="00F36530"/>
    <w:rsid w:val="00F40558"/>
    <w:rsid w:val="00F40791"/>
    <w:rsid w:val="00F408EB"/>
    <w:rsid w:val="00F41287"/>
    <w:rsid w:val="00F414D8"/>
    <w:rsid w:val="00F41AEA"/>
    <w:rsid w:val="00F41D3E"/>
    <w:rsid w:val="00F41F88"/>
    <w:rsid w:val="00F4226E"/>
    <w:rsid w:val="00F424FC"/>
    <w:rsid w:val="00F42722"/>
    <w:rsid w:val="00F427FC"/>
    <w:rsid w:val="00F42905"/>
    <w:rsid w:val="00F42AF9"/>
    <w:rsid w:val="00F42E84"/>
    <w:rsid w:val="00F4442E"/>
    <w:rsid w:val="00F445B6"/>
    <w:rsid w:val="00F44E63"/>
    <w:rsid w:val="00F452EB"/>
    <w:rsid w:val="00F45F2A"/>
    <w:rsid w:val="00F46220"/>
    <w:rsid w:val="00F46769"/>
    <w:rsid w:val="00F478F0"/>
    <w:rsid w:val="00F47A24"/>
    <w:rsid w:val="00F47A5F"/>
    <w:rsid w:val="00F47C43"/>
    <w:rsid w:val="00F505D1"/>
    <w:rsid w:val="00F51062"/>
    <w:rsid w:val="00F5153A"/>
    <w:rsid w:val="00F516B3"/>
    <w:rsid w:val="00F51EF7"/>
    <w:rsid w:val="00F524EF"/>
    <w:rsid w:val="00F52A37"/>
    <w:rsid w:val="00F54254"/>
    <w:rsid w:val="00F542A7"/>
    <w:rsid w:val="00F545C4"/>
    <w:rsid w:val="00F54796"/>
    <w:rsid w:val="00F54F19"/>
    <w:rsid w:val="00F54F5E"/>
    <w:rsid w:val="00F55217"/>
    <w:rsid w:val="00F55A77"/>
    <w:rsid w:val="00F55ED2"/>
    <w:rsid w:val="00F577E7"/>
    <w:rsid w:val="00F6051C"/>
    <w:rsid w:val="00F605FB"/>
    <w:rsid w:val="00F60A17"/>
    <w:rsid w:val="00F60FC6"/>
    <w:rsid w:val="00F618CF"/>
    <w:rsid w:val="00F61FA2"/>
    <w:rsid w:val="00F627BB"/>
    <w:rsid w:val="00F62DB3"/>
    <w:rsid w:val="00F63257"/>
    <w:rsid w:val="00F63559"/>
    <w:rsid w:val="00F63605"/>
    <w:rsid w:val="00F63751"/>
    <w:rsid w:val="00F63847"/>
    <w:rsid w:val="00F63976"/>
    <w:rsid w:val="00F63F9D"/>
    <w:rsid w:val="00F648BC"/>
    <w:rsid w:val="00F64B64"/>
    <w:rsid w:val="00F64C36"/>
    <w:rsid w:val="00F65E2E"/>
    <w:rsid w:val="00F66078"/>
    <w:rsid w:val="00F663D6"/>
    <w:rsid w:val="00F66612"/>
    <w:rsid w:val="00F6665C"/>
    <w:rsid w:val="00F66971"/>
    <w:rsid w:val="00F67291"/>
    <w:rsid w:val="00F674B9"/>
    <w:rsid w:val="00F67CC1"/>
    <w:rsid w:val="00F67CDF"/>
    <w:rsid w:val="00F67FBD"/>
    <w:rsid w:val="00F714C3"/>
    <w:rsid w:val="00F71A56"/>
    <w:rsid w:val="00F71DFE"/>
    <w:rsid w:val="00F73A48"/>
    <w:rsid w:val="00F73AF3"/>
    <w:rsid w:val="00F73D3D"/>
    <w:rsid w:val="00F73EB9"/>
    <w:rsid w:val="00F7472E"/>
    <w:rsid w:val="00F749B1"/>
    <w:rsid w:val="00F74A7A"/>
    <w:rsid w:val="00F74F46"/>
    <w:rsid w:val="00F75103"/>
    <w:rsid w:val="00F7525E"/>
    <w:rsid w:val="00F755C9"/>
    <w:rsid w:val="00F75B29"/>
    <w:rsid w:val="00F764E9"/>
    <w:rsid w:val="00F76605"/>
    <w:rsid w:val="00F766FB"/>
    <w:rsid w:val="00F803D2"/>
    <w:rsid w:val="00F8074C"/>
    <w:rsid w:val="00F80BDC"/>
    <w:rsid w:val="00F82490"/>
    <w:rsid w:val="00F8272D"/>
    <w:rsid w:val="00F82964"/>
    <w:rsid w:val="00F82B0B"/>
    <w:rsid w:val="00F82D82"/>
    <w:rsid w:val="00F82F63"/>
    <w:rsid w:val="00F83280"/>
    <w:rsid w:val="00F83FC2"/>
    <w:rsid w:val="00F8405D"/>
    <w:rsid w:val="00F84229"/>
    <w:rsid w:val="00F86CBF"/>
    <w:rsid w:val="00F87AAC"/>
    <w:rsid w:val="00F9086A"/>
    <w:rsid w:val="00F91036"/>
    <w:rsid w:val="00F910C3"/>
    <w:rsid w:val="00F91449"/>
    <w:rsid w:val="00F916CF"/>
    <w:rsid w:val="00F91A19"/>
    <w:rsid w:val="00F91B1B"/>
    <w:rsid w:val="00F91BB3"/>
    <w:rsid w:val="00F91F0C"/>
    <w:rsid w:val="00F9258E"/>
    <w:rsid w:val="00F92659"/>
    <w:rsid w:val="00F92794"/>
    <w:rsid w:val="00F927C1"/>
    <w:rsid w:val="00F92A58"/>
    <w:rsid w:val="00F93154"/>
    <w:rsid w:val="00F93187"/>
    <w:rsid w:val="00F9365F"/>
    <w:rsid w:val="00F93962"/>
    <w:rsid w:val="00F94D5B"/>
    <w:rsid w:val="00F95AAF"/>
    <w:rsid w:val="00F95D8E"/>
    <w:rsid w:val="00F96318"/>
    <w:rsid w:val="00F964D6"/>
    <w:rsid w:val="00F96979"/>
    <w:rsid w:val="00F96B8C"/>
    <w:rsid w:val="00F97644"/>
    <w:rsid w:val="00F97725"/>
    <w:rsid w:val="00FA04ED"/>
    <w:rsid w:val="00FA0680"/>
    <w:rsid w:val="00FA0DAF"/>
    <w:rsid w:val="00FA0F5B"/>
    <w:rsid w:val="00FA1196"/>
    <w:rsid w:val="00FA191A"/>
    <w:rsid w:val="00FA2536"/>
    <w:rsid w:val="00FA35DD"/>
    <w:rsid w:val="00FA3903"/>
    <w:rsid w:val="00FA4459"/>
    <w:rsid w:val="00FA4786"/>
    <w:rsid w:val="00FA4B01"/>
    <w:rsid w:val="00FA4F4F"/>
    <w:rsid w:val="00FA618F"/>
    <w:rsid w:val="00FA6590"/>
    <w:rsid w:val="00FA67B4"/>
    <w:rsid w:val="00FA6814"/>
    <w:rsid w:val="00FA68CD"/>
    <w:rsid w:val="00FA6AE9"/>
    <w:rsid w:val="00FA6B74"/>
    <w:rsid w:val="00FA6BB9"/>
    <w:rsid w:val="00FA71AB"/>
    <w:rsid w:val="00FA7BBF"/>
    <w:rsid w:val="00FB0D9C"/>
    <w:rsid w:val="00FB13AB"/>
    <w:rsid w:val="00FB1DBA"/>
    <w:rsid w:val="00FB216B"/>
    <w:rsid w:val="00FB21C6"/>
    <w:rsid w:val="00FB233D"/>
    <w:rsid w:val="00FB27B9"/>
    <w:rsid w:val="00FB2973"/>
    <w:rsid w:val="00FB2B1C"/>
    <w:rsid w:val="00FB334F"/>
    <w:rsid w:val="00FB3532"/>
    <w:rsid w:val="00FB35EF"/>
    <w:rsid w:val="00FB3BB7"/>
    <w:rsid w:val="00FB3E92"/>
    <w:rsid w:val="00FB4B0E"/>
    <w:rsid w:val="00FB4EC1"/>
    <w:rsid w:val="00FB55CC"/>
    <w:rsid w:val="00FB5625"/>
    <w:rsid w:val="00FB681A"/>
    <w:rsid w:val="00FB6E93"/>
    <w:rsid w:val="00FB7425"/>
    <w:rsid w:val="00FC194D"/>
    <w:rsid w:val="00FC19C4"/>
    <w:rsid w:val="00FC1B75"/>
    <w:rsid w:val="00FC1F5A"/>
    <w:rsid w:val="00FC213B"/>
    <w:rsid w:val="00FC235E"/>
    <w:rsid w:val="00FC240A"/>
    <w:rsid w:val="00FC25FD"/>
    <w:rsid w:val="00FC27FF"/>
    <w:rsid w:val="00FC2984"/>
    <w:rsid w:val="00FC29F0"/>
    <w:rsid w:val="00FC2B48"/>
    <w:rsid w:val="00FC2BEE"/>
    <w:rsid w:val="00FC3523"/>
    <w:rsid w:val="00FC389D"/>
    <w:rsid w:val="00FC3C15"/>
    <w:rsid w:val="00FC4537"/>
    <w:rsid w:val="00FC5190"/>
    <w:rsid w:val="00FC5647"/>
    <w:rsid w:val="00FC573F"/>
    <w:rsid w:val="00FD06C7"/>
    <w:rsid w:val="00FD0706"/>
    <w:rsid w:val="00FD0BFF"/>
    <w:rsid w:val="00FD1565"/>
    <w:rsid w:val="00FD238B"/>
    <w:rsid w:val="00FD23A5"/>
    <w:rsid w:val="00FD2B12"/>
    <w:rsid w:val="00FD2BDC"/>
    <w:rsid w:val="00FD2E13"/>
    <w:rsid w:val="00FD303C"/>
    <w:rsid w:val="00FD37F7"/>
    <w:rsid w:val="00FD39F1"/>
    <w:rsid w:val="00FD3B56"/>
    <w:rsid w:val="00FD3D2D"/>
    <w:rsid w:val="00FD5DD8"/>
    <w:rsid w:val="00FD67D3"/>
    <w:rsid w:val="00FD6E60"/>
    <w:rsid w:val="00FD7065"/>
    <w:rsid w:val="00FD7859"/>
    <w:rsid w:val="00FD7F51"/>
    <w:rsid w:val="00FE0572"/>
    <w:rsid w:val="00FE0C59"/>
    <w:rsid w:val="00FE0D00"/>
    <w:rsid w:val="00FE0E04"/>
    <w:rsid w:val="00FE0FE5"/>
    <w:rsid w:val="00FE125F"/>
    <w:rsid w:val="00FE168F"/>
    <w:rsid w:val="00FE16AD"/>
    <w:rsid w:val="00FE1B5E"/>
    <w:rsid w:val="00FE1C02"/>
    <w:rsid w:val="00FE2099"/>
    <w:rsid w:val="00FE25B9"/>
    <w:rsid w:val="00FE26A7"/>
    <w:rsid w:val="00FE3293"/>
    <w:rsid w:val="00FE346B"/>
    <w:rsid w:val="00FE41CA"/>
    <w:rsid w:val="00FE579A"/>
    <w:rsid w:val="00FE5FD1"/>
    <w:rsid w:val="00FE61E7"/>
    <w:rsid w:val="00FE67EC"/>
    <w:rsid w:val="00FE6918"/>
    <w:rsid w:val="00FE6FC6"/>
    <w:rsid w:val="00FE7BCF"/>
    <w:rsid w:val="00FF042C"/>
    <w:rsid w:val="00FF1596"/>
    <w:rsid w:val="00FF176B"/>
    <w:rsid w:val="00FF1828"/>
    <w:rsid w:val="00FF1A72"/>
    <w:rsid w:val="00FF1AE7"/>
    <w:rsid w:val="00FF266E"/>
    <w:rsid w:val="00FF4674"/>
    <w:rsid w:val="00FF4CA6"/>
    <w:rsid w:val="00FF56D7"/>
    <w:rsid w:val="00FF63AF"/>
    <w:rsid w:val="00FF63B5"/>
    <w:rsid w:val="00FF6613"/>
    <w:rsid w:val="00FF6C4C"/>
    <w:rsid w:val="00FF7970"/>
    <w:rsid w:val="00FF7A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E48DB8C"/>
  <w15:docId w15:val="{02615F4D-B9DE-4A76-A2F5-01DA703E4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Arial"/>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1" w:semiHidden="1" w:uiPriority="99" w:unhideWhenUsed="1"/>
    <w:lsdException w:name="annotation text" w:semiHidden="1" w:unhideWhenUsed="1"/>
    <w:lsdException w:name="header" w:locked="1" w:semiHidden="1" w:unhideWhenUsed="1"/>
    <w:lsdException w:name="footer" w:locked="1"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4AA9"/>
    <w:pPr>
      <w:widowControl w:val="0"/>
      <w:bidi/>
      <w:spacing w:line="216" w:lineRule="auto"/>
      <w:ind w:firstLine="288"/>
      <w:jc w:val="both"/>
    </w:pPr>
    <w:rPr>
      <w:rFonts w:ascii="Times" w:hAnsi="Times" w:cs="Mosawi"/>
      <w:sz w:val="28"/>
      <w:szCs w:val="28"/>
    </w:rPr>
  </w:style>
  <w:style w:type="paragraph" w:styleId="Heading1">
    <w:name w:val="heading 1"/>
    <w:aliases w:val="Char,1-المباحث"/>
    <w:basedOn w:val="Normal"/>
    <w:next w:val="Normal"/>
    <w:link w:val="Heading1Char"/>
    <w:qFormat/>
    <w:rsid w:val="00901E5B"/>
    <w:pPr>
      <w:keepNext/>
      <w:keepLines/>
      <w:spacing w:line="240" w:lineRule="auto"/>
      <w:ind w:firstLine="0"/>
      <w:jc w:val="center"/>
      <w:outlineLvl w:val="0"/>
    </w:pPr>
    <w:rPr>
      <w:rFonts w:cs="AL-Mateen"/>
      <w:b/>
      <w:sz w:val="32"/>
      <w:szCs w:val="70"/>
    </w:rPr>
  </w:style>
  <w:style w:type="paragraph" w:styleId="Heading2">
    <w:name w:val="heading 2"/>
    <w:aliases w:val="2-المبحث"/>
    <w:basedOn w:val="Normal"/>
    <w:next w:val="Normal"/>
    <w:link w:val="Heading2Char"/>
    <w:qFormat/>
    <w:rsid w:val="00BF0865"/>
    <w:pPr>
      <w:spacing w:before="280" w:line="240" w:lineRule="auto"/>
      <w:ind w:firstLine="0"/>
      <w:outlineLvl w:val="1"/>
    </w:pPr>
    <w:rPr>
      <w:rFonts w:cs="AL-Mateen"/>
      <w:color w:val="000000"/>
      <w:szCs w:val="34"/>
    </w:rPr>
  </w:style>
  <w:style w:type="paragraph" w:styleId="Heading3">
    <w:name w:val="heading 3"/>
    <w:aliases w:val="3-البحث"/>
    <w:basedOn w:val="Normal"/>
    <w:next w:val="Normal"/>
    <w:link w:val="Heading3Char"/>
    <w:qFormat/>
    <w:rsid w:val="00BF0865"/>
    <w:pPr>
      <w:spacing w:before="280" w:line="240" w:lineRule="auto"/>
      <w:ind w:firstLine="0"/>
      <w:outlineLvl w:val="2"/>
    </w:pPr>
    <w:rPr>
      <w:rFonts w:cs="AL-Mateen"/>
      <w:color w:val="000000"/>
      <w:szCs w:val="34"/>
    </w:rPr>
  </w:style>
  <w:style w:type="paragraph" w:styleId="Heading4">
    <w:name w:val="heading 4"/>
    <w:aliases w:val="سلطان بولد15.5,4-عام"/>
    <w:basedOn w:val="Normal"/>
    <w:next w:val="Normal"/>
    <w:link w:val="Heading4Char"/>
    <w:qFormat/>
    <w:rsid w:val="00BF0865"/>
    <w:pPr>
      <w:keepNext/>
      <w:spacing w:before="280" w:line="240" w:lineRule="auto"/>
      <w:ind w:firstLine="0"/>
      <w:outlineLvl w:val="3"/>
    </w:pPr>
    <w:rPr>
      <w:rFonts w:ascii="Calibri" w:eastAsia="Batang" w:hAnsi="Calibri" w:cs="AL-Mateen"/>
      <w:b/>
      <w:szCs w:val="34"/>
    </w:rPr>
  </w:style>
  <w:style w:type="paragraph" w:styleId="Heading5">
    <w:name w:val="heading 5"/>
    <w:aliases w:val="عنوان 99,99-موسع"/>
    <w:basedOn w:val="Heading4"/>
    <w:next w:val="Normal"/>
    <w:link w:val="Heading5Char"/>
    <w:qFormat/>
    <w:rsid w:val="00BF0865"/>
    <w:pPr>
      <w:ind w:left="288"/>
      <w:jc w:val="lowKashida"/>
      <w:outlineLvl w:val="4"/>
    </w:pPr>
    <w:rPr>
      <w:rFonts w:ascii="Times New Roman" w:hAnsi="Times New Roman"/>
      <w:szCs w:val="30"/>
    </w:rPr>
  </w:style>
  <w:style w:type="paragraph" w:styleId="Heading6">
    <w:name w:val="heading 6"/>
    <w:aliases w:val="5_موسع"/>
    <w:basedOn w:val="Normal"/>
    <w:next w:val="Normal"/>
    <w:link w:val="Heading6Char"/>
    <w:qFormat/>
    <w:rsid w:val="007A2759"/>
    <w:pPr>
      <w:keepNext/>
      <w:spacing w:line="240" w:lineRule="auto"/>
      <w:ind w:left="1152" w:hanging="432"/>
      <w:jc w:val="center"/>
      <w:outlineLvl w:val="5"/>
    </w:pPr>
    <w:rPr>
      <w:rFonts w:ascii="Times New Roman" w:eastAsia="Batang" w:hAnsi="Times New Roman" w:cs="AL-Mohanad"/>
      <w:b/>
      <w:bCs/>
      <w:color w:val="000000"/>
      <w:szCs w:val="40"/>
    </w:rPr>
  </w:style>
  <w:style w:type="paragraph" w:styleId="Heading7">
    <w:name w:val="heading 7"/>
    <w:basedOn w:val="Normal"/>
    <w:next w:val="Normal"/>
    <w:link w:val="Heading7Char"/>
    <w:qFormat/>
    <w:rsid w:val="007A2759"/>
    <w:pPr>
      <w:keepNext/>
      <w:keepLines/>
      <w:spacing w:before="200"/>
      <w:ind w:left="1296" w:hanging="288"/>
      <w:outlineLvl w:val="6"/>
    </w:pPr>
    <w:rPr>
      <w:rFonts w:ascii="Cambria" w:hAnsi="Cambria" w:cs="Times New Roman"/>
      <w:i/>
      <w:iCs/>
      <w:color w:val="404040"/>
      <w:sz w:val="24"/>
    </w:rPr>
  </w:style>
  <w:style w:type="paragraph" w:styleId="Heading8">
    <w:name w:val="heading 8"/>
    <w:basedOn w:val="Normal"/>
    <w:next w:val="Normal"/>
    <w:link w:val="Heading8Char"/>
    <w:qFormat/>
    <w:rsid w:val="007A2759"/>
    <w:pPr>
      <w:keepNext/>
      <w:spacing w:line="240" w:lineRule="auto"/>
      <w:ind w:left="1440" w:hanging="432"/>
      <w:jc w:val="lowKashida"/>
      <w:outlineLvl w:val="7"/>
    </w:pPr>
    <w:rPr>
      <w:rFonts w:ascii="Times New Roman" w:eastAsia="Batang" w:hAnsi="Times New Roman" w:cs="Simplified Arabic"/>
      <w:b/>
      <w:bCs/>
    </w:rPr>
  </w:style>
  <w:style w:type="paragraph" w:styleId="Heading9">
    <w:name w:val="heading 9"/>
    <w:basedOn w:val="Normal"/>
    <w:next w:val="Normal"/>
    <w:link w:val="Heading9Char"/>
    <w:qFormat/>
    <w:rsid w:val="007A2759"/>
    <w:pPr>
      <w:keepNext/>
      <w:spacing w:line="240" w:lineRule="auto"/>
      <w:ind w:left="1584" w:hanging="144"/>
      <w:jc w:val="lowKashida"/>
      <w:outlineLvl w:val="8"/>
    </w:pPr>
    <w:rPr>
      <w:rFonts w:ascii="Times New Roman" w:eastAsia="Batang" w:hAnsi="Times New Roman" w:cs="Simplified Arabic"/>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1-المباحث Char"/>
    <w:link w:val="Heading1"/>
    <w:locked/>
    <w:rsid w:val="00901E5B"/>
    <w:rPr>
      <w:rFonts w:ascii="Times" w:hAnsi="Times" w:cs="AL-Mateen"/>
      <w:b/>
      <w:sz w:val="70"/>
      <w:szCs w:val="70"/>
      <w:lang w:bidi="ar-SA"/>
    </w:rPr>
  </w:style>
  <w:style w:type="character" w:customStyle="1" w:styleId="Heading2Char">
    <w:name w:val="Heading 2 Char"/>
    <w:aliases w:val="2-المبحث Char"/>
    <w:link w:val="Heading2"/>
    <w:locked/>
    <w:rsid w:val="00BF0865"/>
    <w:rPr>
      <w:rFonts w:ascii="Times" w:hAnsi="Times" w:cs="AL-Mateen"/>
      <w:color w:val="000000"/>
      <w:sz w:val="28"/>
      <w:szCs w:val="34"/>
    </w:rPr>
  </w:style>
  <w:style w:type="character" w:customStyle="1" w:styleId="Heading3Char">
    <w:name w:val="Heading 3 Char"/>
    <w:aliases w:val="3-البحث Char"/>
    <w:link w:val="Heading3"/>
    <w:locked/>
    <w:rsid w:val="00BF0865"/>
    <w:rPr>
      <w:rFonts w:ascii="Times" w:hAnsi="Times" w:cs="AL-Mateen"/>
      <w:color w:val="000000"/>
      <w:sz w:val="28"/>
      <w:szCs w:val="34"/>
    </w:rPr>
  </w:style>
  <w:style w:type="paragraph" w:customStyle="1" w:styleId="Author">
    <w:name w:val="Author"/>
    <w:basedOn w:val="Normal"/>
    <w:qFormat/>
    <w:rsid w:val="000A7133"/>
    <w:pPr>
      <w:spacing w:line="192" w:lineRule="auto"/>
      <w:ind w:firstLine="0"/>
      <w:jc w:val="right"/>
    </w:pPr>
    <w:rPr>
      <w:rFonts w:cs="Ya-Ali"/>
      <w:bCs/>
    </w:rPr>
  </w:style>
  <w:style w:type="character" w:styleId="Strong">
    <w:name w:val="Strong"/>
    <w:aliases w:val="عنوان فرعي1"/>
    <w:qFormat/>
    <w:rsid w:val="00FB55CC"/>
    <w:rPr>
      <w:rFonts w:ascii="Times" w:hAnsi="Times" w:cs="Mosawi"/>
      <w:b/>
      <w:bCs/>
      <w:sz w:val="29"/>
      <w:szCs w:val="29"/>
    </w:rPr>
  </w:style>
  <w:style w:type="paragraph" w:styleId="Header">
    <w:name w:val="header"/>
    <w:basedOn w:val="Normal"/>
    <w:link w:val="HeaderChar"/>
    <w:rsid w:val="00E63D8A"/>
    <w:pPr>
      <w:tabs>
        <w:tab w:val="center" w:pos="4680"/>
        <w:tab w:val="right" w:pos="9360"/>
      </w:tabs>
      <w:spacing w:line="240" w:lineRule="auto"/>
    </w:pPr>
  </w:style>
  <w:style w:type="character" w:customStyle="1" w:styleId="HeaderChar">
    <w:name w:val="Header Char"/>
    <w:link w:val="Header"/>
    <w:locked/>
    <w:rsid w:val="00E63D8A"/>
    <w:rPr>
      <w:rFonts w:ascii="Times" w:hAnsi="Times" w:cs="Mosawi"/>
      <w:sz w:val="30"/>
      <w:szCs w:val="30"/>
    </w:rPr>
  </w:style>
  <w:style w:type="paragraph" w:styleId="Footer">
    <w:name w:val="footer"/>
    <w:basedOn w:val="Normal"/>
    <w:link w:val="FooterChar"/>
    <w:uiPriority w:val="99"/>
    <w:rsid w:val="00E63D8A"/>
    <w:pPr>
      <w:tabs>
        <w:tab w:val="center" w:pos="4680"/>
        <w:tab w:val="right" w:pos="9360"/>
      </w:tabs>
      <w:spacing w:line="240" w:lineRule="auto"/>
    </w:pPr>
  </w:style>
  <w:style w:type="character" w:customStyle="1" w:styleId="FooterChar">
    <w:name w:val="Footer Char"/>
    <w:link w:val="Footer"/>
    <w:uiPriority w:val="99"/>
    <w:locked/>
    <w:rsid w:val="00E63D8A"/>
    <w:rPr>
      <w:rFonts w:ascii="Times" w:hAnsi="Times" w:cs="Mosawi"/>
      <w:sz w:val="30"/>
      <w:szCs w:val="30"/>
    </w:rPr>
  </w:style>
  <w:style w:type="paragraph" w:customStyle="1" w:styleId="Footnote">
    <w:name w:val="Footnote"/>
    <w:basedOn w:val="FootnoteText"/>
    <w:link w:val="FootnoteChar"/>
    <w:rsid w:val="0016440C"/>
    <w:pPr>
      <w:spacing w:line="192" w:lineRule="auto"/>
      <w:ind w:left="170" w:hanging="170"/>
    </w:pPr>
    <w:rPr>
      <w:rFonts w:ascii="Times New Roman" w:hAnsi="Times New Roman" w:cs="Times New Roman"/>
      <w:position w:val="4"/>
      <w:sz w:val="24"/>
      <w:szCs w:val="26"/>
      <w:lang w:eastAsia="ar-SA"/>
    </w:rPr>
  </w:style>
  <w:style w:type="character" w:customStyle="1" w:styleId="FootnoteChar">
    <w:name w:val="Footnote Char"/>
    <w:link w:val="Footnote"/>
    <w:locked/>
    <w:rsid w:val="0016440C"/>
    <w:rPr>
      <w:rFonts w:ascii="Times New Roman" w:hAnsi="Times New Roman"/>
      <w:position w:val="4"/>
      <w:sz w:val="26"/>
      <w:lang w:val="x-none" w:eastAsia="ar-SA" w:bidi="ar-SA"/>
    </w:rPr>
  </w:style>
  <w:style w:type="paragraph" w:styleId="EndnoteText">
    <w:name w:val="endnote text"/>
    <w:basedOn w:val="Normal"/>
    <w:link w:val="EndnoteTextChar"/>
    <w:rsid w:val="0016440C"/>
    <w:pPr>
      <w:spacing w:line="240" w:lineRule="auto"/>
    </w:pPr>
    <w:rPr>
      <w:sz w:val="20"/>
      <w:szCs w:val="20"/>
    </w:rPr>
  </w:style>
  <w:style w:type="character" w:customStyle="1" w:styleId="EndnoteTextChar">
    <w:name w:val="Endnote Text Char"/>
    <w:link w:val="EndnoteText"/>
    <w:locked/>
    <w:rsid w:val="0016440C"/>
    <w:rPr>
      <w:rFonts w:ascii="Times" w:hAnsi="Times" w:cs="Mosawi"/>
      <w:sz w:val="20"/>
      <w:szCs w:val="20"/>
    </w:rPr>
  </w:style>
  <w:style w:type="paragraph" w:styleId="FootnoteText">
    <w:name w:val="footnote text"/>
    <w:aliases w:val="پا ورقي,هامش,نص حاشية سفلية Char Char Char,نص حاشية سفلية1 Char,نص حاشية سفلية1 Char Char,نص حاشية سفلية1 Char Char Char,هامش سفلي,Char1,Char Char Char,Char Char Char1,Char Char Char Char Char Char Char Char,نص حاشية سفلية1 Char Cha"/>
    <w:basedOn w:val="Normal"/>
    <w:link w:val="FootnoteTextChar"/>
    <w:uiPriority w:val="99"/>
    <w:rsid w:val="0016440C"/>
    <w:pPr>
      <w:spacing w:line="240" w:lineRule="auto"/>
    </w:pPr>
    <w:rPr>
      <w:sz w:val="20"/>
      <w:szCs w:val="20"/>
    </w:rPr>
  </w:style>
  <w:style w:type="character" w:customStyle="1" w:styleId="FootnoteTextChar">
    <w:name w:val="Footnote Text Char"/>
    <w:aliases w:val="پا ورقي Char,هامش Char,نص حاشية سفلية Char Char Char Char,نص حاشية سفلية1 Char Char1,نص حاشية سفلية1 Char Char Char1,نص حاشية سفلية1 Char Char Char Char,هامش سفلي Char,Char1 Char,Char Char Char Char,Char Char Char1 Char"/>
    <w:link w:val="FootnoteText"/>
    <w:uiPriority w:val="99"/>
    <w:locked/>
    <w:rsid w:val="0016440C"/>
    <w:rPr>
      <w:rFonts w:ascii="Times" w:hAnsi="Times" w:cs="Mosawi"/>
      <w:sz w:val="20"/>
      <w:szCs w:val="20"/>
    </w:rPr>
  </w:style>
  <w:style w:type="character" w:styleId="FootnoteReference">
    <w:name w:val="footnote reference"/>
    <w:aliases w:val="حاشية سفلية"/>
    <w:rsid w:val="0016440C"/>
    <w:rPr>
      <w:rFonts w:cs="Times New Roman"/>
      <w:vertAlign w:val="superscript"/>
    </w:rPr>
  </w:style>
  <w:style w:type="character" w:styleId="EndnoteReference">
    <w:name w:val="endnote reference"/>
    <w:rsid w:val="0016440C"/>
    <w:rPr>
      <w:rFonts w:cs="Times New Roman"/>
      <w:vertAlign w:val="superscript"/>
    </w:rPr>
  </w:style>
  <w:style w:type="table" w:styleId="TableGrid">
    <w:name w:val="Table Grid"/>
    <w:basedOn w:val="TableNormal"/>
    <w:rsid w:val="00AF0C86"/>
    <w:pPr>
      <w:spacing w:line="211" w:lineRule="auto"/>
      <w:jc w:val="lowKashida"/>
    </w:pPr>
    <w:rPr>
      <w:rFonts w:ascii="Times" w:hAnsi="Times" w:cs="Mosawi"/>
      <w:bCs/>
      <w:sz w:val="28"/>
      <w:szCs w:val="28"/>
    </w:rPr>
    <w:tblPr/>
  </w:style>
  <w:style w:type="table" w:customStyle="1" w:styleId="Table">
    <w:name w:val="Table"/>
    <w:rsid w:val="00521635"/>
    <w:pPr>
      <w:spacing w:line="211" w:lineRule="auto"/>
      <w:jc w:val="lowKashida"/>
    </w:pPr>
    <w:tblPr>
      <w:jc w:val="center"/>
      <w:tblCellMar>
        <w:top w:w="0" w:type="dxa"/>
        <w:left w:w="108" w:type="dxa"/>
        <w:bottom w:w="0" w:type="dxa"/>
        <w:right w:w="108" w:type="dxa"/>
      </w:tblCellMar>
    </w:tblPr>
    <w:trPr>
      <w:jc w:val="center"/>
    </w:trPr>
  </w:style>
  <w:style w:type="paragraph" w:customStyle="1" w:styleId="NoSpace">
    <w:name w:val="No Space"/>
    <w:basedOn w:val="Normal"/>
    <w:qFormat/>
    <w:rsid w:val="00CF2FEC"/>
    <w:pPr>
      <w:spacing w:line="192" w:lineRule="auto"/>
    </w:pPr>
    <w:rPr>
      <w:sz w:val="26"/>
      <w:szCs w:val="26"/>
    </w:rPr>
  </w:style>
  <w:style w:type="paragraph" w:customStyle="1" w:styleId="Style1">
    <w:name w:val="Style1"/>
    <w:basedOn w:val="Heading3"/>
    <w:link w:val="Style1Char"/>
    <w:qFormat/>
    <w:rsid w:val="00BB1418"/>
    <w:pPr>
      <w:widowControl/>
      <w:bidi w:val="0"/>
      <w:spacing w:after="200" w:line="276" w:lineRule="auto"/>
      <w:jc w:val="right"/>
      <w:outlineLvl w:val="9"/>
    </w:pPr>
  </w:style>
  <w:style w:type="character" w:customStyle="1" w:styleId="Style1Char">
    <w:name w:val="Style1 Char"/>
    <w:basedOn w:val="Heading3Char"/>
    <w:link w:val="Style1"/>
    <w:locked/>
    <w:rsid w:val="00BB1418"/>
    <w:rPr>
      <w:rFonts w:ascii="Times" w:hAnsi="Times" w:cs="AL-Mateen"/>
      <w:color w:val="000000"/>
      <w:sz w:val="32"/>
      <w:szCs w:val="32"/>
      <w:lang w:bidi="ar-SA"/>
    </w:rPr>
  </w:style>
  <w:style w:type="character" w:customStyle="1" w:styleId="Heading4Char">
    <w:name w:val="Heading 4 Char"/>
    <w:aliases w:val="سلطان بولد15.5 Char,4-عام Char"/>
    <w:link w:val="Heading4"/>
    <w:locked/>
    <w:rsid w:val="00BF0865"/>
    <w:rPr>
      <w:rFonts w:eastAsia="Batang" w:cs="AL-Mateen"/>
      <w:b/>
      <w:sz w:val="28"/>
      <w:szCs w:val="34"/>
    </w:rPr>
  </w:style>
  <w:style w:type="character" w:customStyle="1" w:styleId="Heading5Char">
    <w:name w:val="Heading 5 Char"/>
    <w:aliases w:val="عنوان 99 Char,99-موسع Char"/>
    <w:link w:val="Heading5"/>
    <w:locked/>
    <w:rsid w:val="00BF0865"/>
    <w:rPr>
      <w:rFonts w:ascii="Times New Roman" w:eastAsia="Batang" w:hAnsi="Times New Roman" w:cs="AL-Mateen"/>
      <w:b/>
      <w:sz w:val="28"/>
      <w:szCs w:val="30"/>
    </w:rPr>
  </w:style>
  <w:style w:type="character" w:customStyle="1" w:styleId="Heading6Char">
    <w:name w:val="Heading 6 Char"/>
    <w:aliases w:val="5_موسع Char"/>
    <w:link w:val="Heading6"/>
    <w:locked/>
    <w:rsid w:val="007A2759"/>
    <w:rPr>
      <w:rFonts w:ascii="Times New Roman" w:eastAsia="Batang" w:hAnsi="Times New Roman" w:cs="AL-Mohanad"/>
      <w:b/>
      <w:bCs/>
      <w:color w:val="000000"/>
      <w:sz w:val="40"/>
      <w:szCs w:val="40"/>
      <w:lang w:bidi="ar-SA"/>
    </w:rPr>
  </w:style>
  <w:style w:type="character" w:customStyle="1" w:styleId="Heading7Char">
    <w:name w:val="Heading 7 Char"/>
    <w:link w:val="Heading7"/>
    <w:locked/>
    <w:rsid w:val="007A2759"/>
    <w:rPr>
      <w:rFonts w:ascii="Cambria" w:hAnsi="Cambria" w:cs="Times New Roman"/>
      <w:i/>
      <w:iCs/>
      <w:color w:val="404040"/>
      <w:sz w:val="28"/>
      <w:szCs w:val="28"/>
    </w:rPr>
  </w:style>
  <w:style w:type="character" w:customStyle="1" w:styleId="Heading8Char">
    <w:name w:val="Heading 8 Char"/>
    <w:link w:val="Heading8"/>
    <w:locked/>
    <w:rsid w:val="007A2759"/>
    <w:rPr>
      <w:rFonts w:ascii="Times New Roman" w:eastAsia="Batang" w:hAnsi="Times New Roman" w:cs="Simplified Arabic"/>
      <w:b/>
      <w:bCs/>
      <w:sz w:val="28"/>
      <w:szCs w:val="28"/>
      <w:lang w:bidi="ar-SA"/>
    </w:rPr>
  </w:style>
  <w:style w:type="character" w:customStyle="1" w:styleId="Heading9Char">
    <w:name w:val="Heading 9 Char"/>
    <w:link w:val="Heading9"/>
    <w:locked/>
    <w:rsid w:val="007A2759"/>
    <w:rPr>
      <w:rFonts w:ascii="Times New Roman" w:eastAsia="Batang" w:hAnsi="Times New Roman" w:cs="Simplified Arabic"/>
      <w:b/>
      <w:bCs/>
      <w:sz w:val="28"/>
      <w:szCs w:val="28"/>
      <w:lang w:bidi="ar-SA"/>
    </w:rPr>
  </w:style>
  <w:style w:type="paragraph" w:customStyle="1" w:styleId="ac">
    <w:name w:val="المتن (كتب)"/>
    <w:basedOn w:val="Normal"/>
    <w:link w:val="Char"/>
    <w:qFormat/>
    <w:rsid w:val="007A2759"/>
    <w:rPr>
      <w:rFonts w:ascii="Arno Pro Display" w:eastAsia="Batang" w:hAnsi="Arno Pro Display"/>
    </w:rPr>
  </w:style>
  <w:style w:type="paragraph" w:customStyle="1" w:styleId="ad">
    <w:name w:val="تكملة لعنوان البحث"/>
    <w:basedOn w:val="Normal"/>
    <w:link w:val="Char0"/>
    <w:rsid w:val="007A2759"/>
    <w:pPr>
      <w:spacing w:line="418" w:lineRule="exact"/>
      <w:ind w:firstLine="0"/>
      <w:jc w:val="left"/>
    </w:pPr>
    <w:rPr>
      <w:rFonts w:ascii="Times New Roman" w:eastAsia="Batang" w:hAnsi="Times New Roman" w:cs="HeshamNormal"/>
      <w:sz w:val="6"/>
      <w:lang w:eastAsia="ar-SA"/>
    </w:rPr>
  </w:style>
  <w:style w:type="paragraph" w:customStyle="1" w:styleId="ae">
    <w:name w:val="خط الفهرس"/>
    <w:basedOn w:val="Normal"/>
    <w:rsid w:val="007A2759"/>
    <w:pPr>
      <w:pBdr>
        <w:bottom w:val="double" w:sz="6" w:space="1" w:color="auto"/>
      </w:pBdr>
      <w:ind w:firstLine="0"/>
    </w:pPr>
    <w:rPr>
      <w:rFonts w:ascii="Times New Roman" w:eastAsia="Batang" w:hAnsi="Times New Roman"/>
      <w:sz w:val="24"/>
    </w:rPr>
  </w:style>
  <w:style w:type="paragraph" w:customStyle="1" w:styleId="1">
    <w:name w:val="عنوان(1) ـ المتن"/>
    <w:basedOn w:val="Heading1"/>
    <w:qFormat/>
    <w:rsid w:val="007A2759"/>
    <w:pPr>
      <w:keepLines w:val="0"/>
    </w:pPr>
    <w:rPr>
      <w:rFonts w:ascii="Times New Roman" w:eastAsia="Batang" w:hAnsi="Times New Roman" w:cs="Abz-3 (Yagut)"/>
      <w:bCs/>
      <w:kern w:val="32"/>
      <w:sz w:val="28"/>
      <w:szCs w:val="36"/>
    </w:rPr>
  </w:style>
  <w:style w:type="paragraph" w:customStyle="1" w:styleId="2">
    <w:name w:val="عنوان(2) ـ المتن"/>
    <w:basedOn w:val="Heading2"/>
    <w:rsid w:val="007A2759"/>
    <w:pPr>
      <w:keepNext/>
      <w:spacing w:before="240" w:after="60" w:line="216" w:lineRule="auto"/>
    </w:pPr>
    <w:rPr>
      <w:rFonts w:ascii="Cambria" w:eastAsia="Batang" w:hAnsi="Cambria" w:cs="Times New Roman"/>
      <w:b/>
      <w:bCs/>
      <w:i/>
      <w:iCs/>
      <w:color w:val="auto"/>
      <w:szCs w:val="28"/>
    </w:rPr>
  </w:style>
  <w:style w:type="paragraph" w:customStyle="1" w:styleId="3">
    <w:name w:val="عنوان(3) ـ المتن"/>
    <w:basedOn w:val="Heading3"/>
    <w:rsid w:val="007A2759"/>
    <w:pPr>
      <w:keepNext/>
      <w:spacing w:before="240" w:after="60" w:line="216" w:lineRule="auto"/>
      <w:ind w:left="720" w:hanging="432"/>
    </w:pPr>
    <w:rPr>
      <w:rFonts w:ascii="Cambria" w:eastAsia="Batang" w:hAnsi="Cambria" w:cs="Times New Roman"/>
      <w:b/>
      <w:bCs/>
      <w:color w:val="auto"/>
      <w:sz w:val="26"/>
      <w:szCs w:val="26"/>
    </w:rPr>
  </w:style>
  <w:style w:type="paragraph" w:customStyle="1" w:styleId="4">
    <w:name w:val="عنوان(4) ـ المتن"/>
    <w:basedOn w:val="Heading4"/>
    <w:rsid w:val="007A2759"/>
  </w:style>
  <w:style w:type="character" w:customStyle="1" w:styleId="5">
    <w:name w:val="عنوان(5) ـ المتن"/>
    <w:rsid w:val="007A2759"/>
    <w:rPr>
      <w:rFonts w:ascii="Times New Roman" w:hAnsi="Times New Roman" w:cs="Mosawi"/>
      <w:b/>
      <w:bCs/>
      <w:sz w:val="28"/>
      <w:szCs w:val="28"/>
    </w:rPr>
  </w:style>
  <w:style w:type="character" w:customStyle="1" w:styleId="Char0">
    <w:name w:val="تكملة لعنوان البحث Char"/>
    <w:link w:val="ad"/>
    <w:locked/>
    <w:rsid w:val="007A2759"/>
    <w:rPr>
      <w:rFonts w:ascii="Times New Roman" w:eastAsia="Batang" w:hAnsi="Times New Roman" w:cs="HeshamNormal"/>
      <w:sz w:val="30"/>
      <w:szCs w:val="30"/>
      <w:lang w:val="x-none" w:eastAsia="ar-SA" w:bidi="ar-SA"/>
    </w:rPr>
  </w:style>
  <w:style w:type="paragraph" w:customStyle="1" w:styleId="af">
    <w:name w:val="متن"/>
    <w:basedOn w:val="Normal"/>
    <w:link w:val="Char1"/>
    <w:rsid w:val="007A2759"/>
    <w:pPr>
      <w:autoSpaceDE w:val="0"/>
      <w:autoSpaceDN w:val="0"/>
      <w:adjustRightInd w:val="0"/>
      <w:spacing w:line="390" w:lineRule="exact"/>
      <w:ind w:firstLine="567"/>
    </w:pPr>
    <w:rPr>
      <w:rFonts w:ascii="Times New Roman" w:eastAsia="Batang" w:hAnsi="Times New Roman" w:cs="AL-Mohanad"/>
      <w:sz w:val="26"/>
      <w:szCs w:val="27"/>
      <w:lang w:eastAsia="ar-SA"/>
    </w:rPr>
  </w:style>
  <w:style w:type="paragraph" w:customStyle="1" w:styleId="af0">
    <w:name w:val="حاشية ختامية"/>
    <w:basedOn w:val="EndnoteText"/>
    <w:link w:val="Char2"/>
    <w:rsid w:val="007A2759"/>
    <w:pPr>
      <w:outlineLvl w:val="0"/>
    </w:pPr>
    <w:rPr>
      <w:rFonts w:ascii="Times New Roman" w:eastAsia="Batang" w:hAnsi="Times New Roman"/>
    </w:rPr>
  </w:style>
  <w:style w:type="character" w:customStyle="1" w:styleId="Char2">
    <w:name w:val="حاشية ختامية Char"/>
    <w:link w:val="af0"/>
    <w:locked/>
    <w:rsid w:val="007A2759"/>
    <w:rPr>
      <w:rFonts w:ascii="Times New Roman" w:eastAsia="Batang" w:hAnsi="Times New Roman" w:cs="Mosawi"/>
      <w:sz w:val="20"/>
      <w:szCs w:val="20"/>
    </w:rPr>
  </w:style>
  <w:style w:type="paragraph" w:customStyle="1" w:styleId="af1">
    <w:name w:val="الآية"/>
    <w:basedOn w:val="Normal"/>
    <w:link w:val="Char3"/>
    <w:rsid w:val="007A2759"/>
    <w:pPr>
      <w:autoSpaceDE w:val="0"/>
      <w:autoSpaceDN w:val="0"/>
      <w:adjustRightInd w:val="0"/>
      <w:spacing w:line="418" w:lineRule="exact"/>
      <w:ind w:firstLine="0"/>
      <w:jc w:val="lowKashida"/>
    </w:pPr>
    <w:rPr>
      <w:rFonts w:ascii="Times New Roman" w:eastAsia="Batang" w:hAnsi="Times New Roman" w:cs="Traditional Arabic"/>
      <w:bCs/>
      <w:color w:val="000000"/>
      <w:sz w:val="36"/>
      <w:lang w:eastAsia="ar-SA"/>
    </w:rPr>
  </w:style>
  <w:style w:type="paragraph" w:customStyle="1" w:styleId="af2">
    <w:name w:val="عنوان داخل المتن"/>
    <w:basedOn w:val="Normal"/>
    <w:link w:val="Char4"/>
    <w:rsid w:val="007A2759"/>
    <w:pPr>
      <w:widowControl/>
      <w:autoSpaceDE w:val="0"/>
      <w:autoSpaceDN w:val="0"/>
      <w:spacing w:line="418" w:lineRule="exact"/>
      <w:ind w:firstLine="0"/>
      <w:jc w:val="right"/>
    </w:pPr>
    <w:rPr>
      <w:rFonts w:ascii="Times New Roman" w:eastAsia="Batang" w:hAnsi="Times New Roman" w:cs="HeshamNormal"/>
      <w:sz w:val="24"/>
      <w:lang w:eastAsia="ar-SA"/>
    </w:rPr>
  </w:style>
  <w:style w:type="paragraph" w:customStyle="1" w:styleId="af3">
    <w:name w:val="متن الهامش"/>
    <w:basedOn w:val="Normal"/>
    <w:link w:val="Char5"/>
    <w:rsid w:val="007A2759"/>
    <w:pPr>
      <w:spacing w:line="180" w:lineRule="auto"/>
      <w:ind w:left="170" w:hanging="170"/>
    </w:pPr>
    <w:rPr>
      <w:rFonts w:ascii="Times New Roman" w:eastAsia="Batang" w:hAnsi="Times New Roman"/>
      <w:sz w:val="20"/>
      <w:szCs w:val="26"/>
    </w:rPr>
  </w:style>
  <w:style w:type="paragraph" w:customStyle="1" w:styleId="af4">
    <w:name w:val="متن أسود"/>
    <w:basedOn w:val="Normal"/>
    <w:link w:val="Char6"/>
    <w:rsid w:val="007A2759"/>
    <w:pPr>
      <w:autoSpaceDE w:val="0"/>
      <w:autoSpaceDN w:val="0"/>
      <w:adjustRightInd w:val="0"/>
      <w:spacing w:line="400" w:lineRule="exact"/>
      <w:ind w:firstLine="567"/>
    </w:pPr>
    <w:rPr>
      <w:rFonts w:ascii="Times New Roman" w:eastAsia="Batang" w:hAnsi="Times New Roman" w:cs="AL-Mohanad"/>
      <w:bCs/>
      <w:sz w:val="26"/>
      <w:szCs w:val="27"/>
      <w:lang w:eastAsia="ar-SA"/>
    </w:rPr>
  </w:style>
  <w:style w:type="character" w:customStyle="1" w:styleId="Char1">
    <w:name w:val="متن Char"/>
    <w:link w:val="af"/>
    <w:locked/>
    <w:rsid w:val="007A2759"/>
    <w:rPr>
      <w:rFonts w:ascii="Times New Roman" w:eastAsia="Batang" w:hAnsi="Times New Roman" w:cs="AL-Mohanad"/>
      <w:sz w:val="27"/>
      <w:szCs w:val="27"/>
      <w:lang w:val="x-none" w:eastAsia="ar-SA" w:bidi="ar-SA"/>
    </w:rPr>
  </w:style>
  <w:style w:type="character" w:customStyle="1" w:styleId="Char3">
    <w:name w:val="الآية Char"/>
    <w:link w:val="af1"/>
    <w:locked/>
    <w:rsid w:val="007A2759"/>
    <w:rPr>
      <w:rFonts w:ascii="Times New Roman" w:eastAsia="Batang" w:hAnsi="Times New Roman" w:cs="Traditional Arabic"/>
      <w:bCs/>
      <w:color w:val="000000"/>
      <w:sz w:val="28"/>
      <w:szCs w:val="28"/>
      <w:lang w:val="x-none" w:eastAsia="ar-SA" w:bidi="ar-SA"/>
    </w:rPr>
  </w:style>
  <w:style w:type="character" w:customStyle="1" w:styleId="Char6">
    <w:name w:val="متن أسود Char"/>
    <w:link w:val="af4"/>
    <w:locked/>
    <w:rsid w:val="007A2759"/>
    <w:rPr>
      <w:rFonts w:ascii="Times New Roman" w:eastAsia="Batang" w:hAnsi="Times New Roman" w:cs="AL-Mohanad"/>
      <w:bCs/>
      <w:sz w:val="27"/>
      <w:szCs w:val="27"/>
      <w:lang w:val="x-none" w:eastAsia="ar-SA" w:bidi="ar-SA"/>
    </w:rPr>
  </w:style>
  <w:style w:type="paragraph" w:customStyle="1" w:styleId="af5">
    <w:name w:val="الهوامش"/>
    <w:basedOn w:val="af"/>
    <w:rsid w:val="007A2759"/>
  </w:style>
  <w:style w:type="character" w:customStyle="1" w:styleId="Char4">
    <w:name w:val="عنوان داخل المتن Char"/>
    <w:link w:val="af2"/>
    <w:locked/>
    <w:rsid w:val="007A2759"/>
    <w:rPr>
      <w:rFonts w:ascii="Times New Roman" w:eastAsia="Batang" w:hAnsi="Times New Roman" w:cs="HeshamNormal"/>
      <w:sz w:val="28"/>
      <w:szCs w:val="28"/>
      <w:lang w:val="x-none" w:eastAsia="ar-SA" w:bidi="ar-SA"/>
    </w:rPr>
  </w:style>
  <w:style w:type="paragraph" w:customStyle="1" w:styleId="10">
    <w:name w:val="رأس الصفحة1"/>
    <w:basedOn w:val="Normal"/>
    <w:rsid w:val="007A2759"/>
    <w:pPr>
      <w:tabs>
        <w:tab w:val="right" w:leader="dot" w:pos="8313"/>
      </w:tabs>
      <w:ind w:firstLine="0"/>
    </w:pPr>
    <w:rPr>
      <w:rFonts w:ascii="Times New Roman" w:eastAsia="Batang" w:hAnsi="Times New Roman"/>
      <w:sz w:val="24"/>
    </w:rPr>
  </w:style>
  <w:style w:type="paragraph" w:customStyle="1" w:styleId="KSina13">
    <w:name w:val="نمط بقلم وترجمة + (العربية وغيرها) K Sina (لاتيني) ‏13 نقطة دون..."/>
    <w:basedOn w:val="Normal"/>
    <w:link w:val="KSina13Char"/>
    <w:rsid w:val="007A2759"/>
    <w:pPr>
      <w:widowControl/>
      <w:spacing w:line="450" w:lineRule="exact"/>
      <w:ind w:left="4870" w:firstLine="0"/>
      <w:jc w:val="center"/>
    </w:pPr>
    <w:rPr>
      <w:rFonts w:ascii="Times New Roman" w:eastAsia="Batang" w:hAnsi="Times New Roman" w:cs="K Sina"/>
      <w:sz w:val="26"/>
      <w:szCs w:val="20"/>
      <w:lang w:eastAsia="ar-SA"/>
    </w:rPr>
  </w:style>
  <w:style w:type="character" w:customStyle="1" w:styleId="KSina13Char">
    <w:name w:val="نمط بقلم وترجمة + (العربية وغيرها) K Sina (لاتيني) ‏13 نقطة دون... Char"/>
    <w:link w:val="KSina13"/>
    <w:locked/>
    <w:rsid w:val="007A2759"/>
    <w:rPr>
      <w:rFonts w:ascii="Times New Roman" w:eastAsia="Batang" w:hAnsi="Times New Roman" w:cs="K Sina"/>
      <w:sz w:val="20"/>
      <w:szCs w:val="20"/>
      <w:lang w:val="x-none" w:eastAsia="ar-SA" w:bidi="ar-SA"/>
    </w:rPr>
  </w:style>
  <w:style w:type="paragraph" w:customStyle="1" w:styleId="123">
    <w:name w:val="نمط عنوان 1 + تباعد الأسطر:  تام 23 نقطة"/>
    <w:basedOn w:val="Heading1"/>
    <w:rsid w:val="007A2759"/>
    <w:pPr>
      <w:keepLines w:val="0"/>
    </w:pPr>
    <w:rPr>
      <w:rFonts w:ascii="Times New Roman" w:eastAsia="Batang" w:hAnsi="Times New Roman" w:cs="Abz-3 (Yagut)"/>
      <w:bCs/>
      <w:kern w:val="32"/>
      <w:sz w:val="28"/>
      <w:szCs w:val="36"/>
    </w:rPr>
  </w:style>
  <w:style w:type="character" w:customStyle="1" w:styleId="254225CharCharChar">
    <w:name w:val="نمط عنوان المقال + بعد:  2.54 سم تباعد الأسطر:  تام 22.5 نقطة Char Char Char"/>
    <w:rsid w:val="007A2759"/>
    <w:rPr>
      <w:rFonts w:cs="HeshamNormal"/>
      <w:sz w:val="50"/>
      <w:szCs w:val="50"/>
      <w:lang w:val="en-US" w:eastAsia="ar-SA" w:bidi="ar-SA"/>
    </w:rPr>
  </w:style>
  <w:style w:type="paragraph" w:customStyle="1" w:styleId="af6">
    <w:name w:val="اسم الكاتب"/>
    <w:basedOn w:val="Normal"/>
    <w:link w:val="Char7"/>
    <w:rsid w:val="007A2759"/>
    <w:pPr>
      <w:spacing w:before="360" w:line="240" w:lineRule="auto"/>
      <w:ind w:firstLine="0"/>
      <w:jc w:val="right"/>
    </w:pPr>
    <w:rPr>
      <w:rFonts w:ascii="Times New Roman" w:eastAsia="Batang" w:hAnsi="Times New Roman" w:cs="AF_Najed"/>
      <w:sz w:val="26"/>
      <w:lang w:eastAsia="ar-SA"/>
    </w:rPr>
  </w:style>
  <w:style w:type="character" w:customStyle="1" w:styleId="Char">
    <w:name w:val="المتن (كتب) Char"/>
    <w:link w:val="ac"/>
    <w:locked/>
    <w:rsid w:val="007A2759"/>
    <w:rPr>
      <w:rFonts w:ascii="Arno Pro Display" w:eastAsia="Batang" w:hAnsi="Arno Pro Display" w:cs="Mosawi"/>
      <w:sz w:val="30"/>
      <w:szCs w:val="30"/>
    </w:rPr>
  </w:style>
  <w:style w:type="paragraph" w:customStyle="1" w:styleId="af7">
    <w:name w:val="عنوان البحث"/>
    <w:basedOn w:val="Normal"/>
    <w:link w:val="Char8"/>
    <w:rsid w:val="007A2759"/>
    <w:pPr>
      <w:spacing w:line="418" w:lineRule="exact"/>
      <w:ind w:right="539" w:firstLine="0"/>
      <w:jc w:val="left"/>
    </w:pPr>
    <w:rPr>
      <w:rFonts w:ascii="Times New Roman" w:eastAsia="Batang" w:hAnsi="Times New Roman" w:cs="HeshamNormal"/>
      <w:sz w:val="26"/>
      <w:szCs w:val="50"/>
      <w:lang w:eastAsia="ar-SA"/>
    </w:rPr>
  </w:style>
  <w:style w:type="character" w:customStyle="1" w:styleId="Char8">
    <w:name w:val="عنوان البحث Char"/>
    <w:link w:val="af7"/>
    <w:locked/>
    <w:rsid w:val="007A2759"/>
    <w:rPr>
      <w:rFonts w:ascii="Times New Roman" w:eastAsia="Batang" w:hAnsi="Times New Roman" w:cs="HeshamNormal"/>
      <w:sz w:val="50"/>
      <w:szCs w:val="50"/>
      <w:lang w:val="x-none" w:eastAsia="ar-SA" w:bidi="ar-SA"/>
    </w:rPr>
  </w:style>
  <w:style w:type="paragraph" w:styleId="Title">
    <w:name w:val="Title"/>
    <w:aliases w:val="Author Name,سلطان بولد14"/>
    <w:basedOn w:val="Normal"/>
    <w:link w:val="TitleChar"/>
    <w:qFormat/>
    <w:rsid w:val="007A2759"/>
    <w:pPr>
      <w:widowControl/>
      <w:spacing w:line="240" w:lineRule="auto"/>
      <w:ind w:firstLine="0"/>
      <w:jc w:val="center"/>
    </w:pPr>
    <w:rPr>
      <w:rFonts w:ascii="Times New Roman" w:eastAsia="Batang" w:hAnsi="Times New Roman" w:cs="PT Bold Broken"/>
      <w:b/>
      <w:bCs/>
      <w:sz w:val="40"/>
      <w:szCs w:val="40"/>
      <w:lang w:eastAsia="ar-SA"/>
    </w:rPr>
  </w:style>
  <w:style w:type="character" w:customStyle="1" w:styleId="TitleChar">
    <w:name w:val="Title Char"/>
    <w:aliases w:val="Author Name Char,سلطان بولد14 Char"/>
    <w:link w:val="Title"/>
    <w:locked/>
    <w:rsid w:val="007A2759"/>
    <w:rPr>
      <w:rFonts w:ascii="Times New Roman" w:eastAsia="Batang" w:hAnsi="Times New Roman" w:cs="PT Bold Broken"/>
      <w:b/>
      <w:bCs/>
      <w:sz w:val="40"/>
      <w:szCs w:val="40"/>
      <w:lang w:val="x-none" w:eastAsia="ar-SA" w:bidi="ar-SA"/>
    </w:rPr>
  </w:style>
  <w:style w:type="paragraph" w:customStyle="1" w:styleId="af8">
    <w:name w:val="اصلى"/>
    <w:link w:val="Char9"/>
    <w:rsid w:val="007A2759"/>
    <w:pPr>
      <w:autoSpaceDE w:val="0"/>
      <w:autoSpaceDN w:val="0"/>
      <w:bidi/>
      <w:spacing w:line="399" w:lineRule="atLeast"/>
      <w:jc w:val="both"/>
    </w:pPr>
    <w:rPr>
      <w:rFonts w:ascii="Times New Roman" w:eastAsia="Batang" w:hAnsi="Times New Roman" w:cs="Times New Roman"/>
      <w:bCs/>
      <w:sz w:val="24"/>
      <w:szCs w:val="28"/>
      <w:lang w:eastAsia="ar-SA"/>
    </w:rPr>
  </w:style>
  <w:style w:type="character" w:customStyle="1" w:styleId="Char9">
    <w:name w:val="اصلى Char"/>
    <w:link w:val="af8"/>
    <w:locked/>
    <w:rsid w:val="007A2759"/>
    <w:rPr>
      <w:rFonts w:ascii="Times New Roman" w:eastAsia="Batang" w:hAnsi="Times New Roman" w:cs="Times New Roman"/>
      <w:bCs/>
      <w:sz w:val="28"/>
      <w:szCs w:val="28"/>
      <w:lang w:val="en-US" w:eastAsia="ar-SA" w:bidi="ar-SA"/>
    </w:rPr>
  </w:style>
  <w:style w:type="paragraph" w:customStyle="1" w:styleId="11">
    <w:name w:val="العنوان الجانبي1"/>
    <w:basedOn w:val="Normal"/>
    <w:link w:val="1Char"/>
    <w:rsid w:val="007A2759"/>
    <w:pPr>
      <w:widowControl/>
      <w:spacing w:line="240" w:lineRule="auto"/>
      <w:ind w:firstLine="0"/>
      <w:jc w:val="right"/>
    </w:pPr>
    <w:rPr>
      <w:rFonts w:ascii="Times New Roman" w:eastAsia="Batang" w:hAnsi="Times New Roman" w:cs="HeshamNormal"/>
      <w:color w:val="808080"/>
      <w:sz w:val="30"/>
      <w:lang w:eastAsia="ar-SA"/>
    </w:rPr>
  </w:style>
  <w:style w:type="character" w:customStyle="1" w:styleId="1Char">
    <w:name w:val="العنوان الجانبي1 Char"/>
    <w:link w:val="11"/>
    <w:locked/>
    <w:rsid w:val="007A2759"/>
    <w:rPr>
      <w:rFonts w:ascii="Times New Roman" w:eastAsia="Batang" w:hAnsi="Times New Roman" w:cs="HeshamNormal"/>
      <w:color w:val="808080"/>
      <w:sz w:val="30"/>
      <w:szCs w:val="30"/>
      <w:lang w:val="x-none" w:eastAsia="ar-SA" w:bidi="ar-SA"/>
    </w:rPr>
  </w:style>
  <w:style w:type="paragraph" w:customStyle="1" w:styleId="af9">
    <w:name w:val="العنوان الجانبي اساس"/>
    <w:basedOn w:val="11"/>
    <w:link w:val="Chara"/>
    <w:rsid w:val="007A2759"/>
    <w:pPr>
      <w:spacing w:before="60"/>
    </w:pPr>
  </w:style>
  <w:style w:type="character" w:customStyle="1" w:styleId="Chara">
    <w:name w:val="العنوان الجانبي اساس Char"/>
    <w:basedOn w:val="1Char"/>
    <w:link w:val="af9"/>
    <w:locked/>
    <w:rsid w:val="007A2759"/>
    <w:rPr>
      <w:rFonts w:ascii="Times New Roman" w:eastAsia="Batang" w:hAnsi="Times New Roman" w:cs="HeshamNormal"/>
      <w:color w:val="808080"/>
      <w:sz w:val="30"/>
      <w:szCs w:val="30"/>
      <w:lang w:val="x-none" w:eastAsia="ar-SA" w:bidi="ar-SA"/>
    </w:rPr>
  </w:style>
  <w:style w:type="paragraph" w:customStyle="1" w:styleId="CharChar">
    <w:name w:val="العنوان المتواصل Char Char"/>
    <w:basedOn w:val="Title"/>
    <w:link w:val="CharCharChar"/>
    <w:rsid w:val="007A2759"/>
    <w:pPr>
      <w:spacing w:before="60" w:after="120" w:line="460" w:lineRule="exact"/>
      <w:ind w:firstLine="476"/>
      <w:jc w:val="left"/>
    </w:pPr>
    <w:rPr>
      <w:rFonts w:cs="HeshamNormal"/>
      <w:b w:val="0"/>
      <w:bCs w:val="0"/>
      <w:sz w:val="30"/>
      <w:szCs w:val="30"/>
    </w:rPr>
  </w:style>
  <w:style w:type="character" w:customStyle="1" w:styleId="CharCharChar">
    <w:name w:val="العنوان المتواصل Char Char Char"/>
    <w:link w:val="CharChar"/>
    <w:locked/>
    <w:rsid w:val="007A2759"/>
    <w:rPr>
      <w:rFonts w:ascii="Times New Roman" w:eastAsia="Batang" w:hAnsi="Times New Roman" w:cs="HeshamNormal"/>
      <w:b/>
      <w:bCs/>
      <w:sz w:val="30"/>
      <w:szCs w:val="30"/>
      <w:lang w:val="x-none" w:eastAsia="ar-SA" w:bidi="ar-SA"/>
    </w:rPr>
  </w:style>
  <w:style w:type="paragraph" w:customStyle="1" w:styleId="afa">
    <w:name w:val="بقلم وترجمة"/>
    <w:basedOn w:val="Normal"/>
    <w:link w:val="Charb"/>
    <w:rsid w:val="007A2759"/>
    <w:pPr>
      <w:widowControl/>
      <w:spacing w:line="420" w:lineRule="exact"/>
      <w:ind w:firstLine="476"/>
      <w:jc w:val="center"/>
    </w:pPr>
    <w:rPr>
      <w:rFonts w:ascii="Times New Roman" w:eastAsia="Batang" w:hAnsi="Times New Roman" w:cs="Malik Lt BT"/>
      <w:b/>
      <w:bCs/>
      <w:sz w:val="20"/>
      <w:szCs w:val="20"/>
      <w:lang w:eastAsia="ar-SA"/>
    </w:rPr>
  </w:style>
  <w:style w:type="character" w:customStyle="1" w:styleId="Charb">
    <w:name w:val="بقلم وترجمة Char"/>
    <w:link w:val="afa"/>
    <w:locked/>
    <w:rsid w:val="007A2759"/>
    <w:rPr>
      <w:rFonts w:ascii="Times New Roman" w:eastAsia="Batang" w:hAnsi="Times New Roman" w:cs="Malik Lt BT"/>
      <w:b/>
      <w:bCs/>
      <w:sz w:val="20"/>
      <w:szCs w:val="20"/>
      <w:lang w:val="x-none" w:eastAsia="ar-SA" w:bidi="ar-SA"/>
    </w:rPr>
  </w:style>
  <w:style w:type="paragraph" w:customStyle="1" w:styleId="afb">
    <w:name w:val="العنوان الجانبي الأساس"/>
    <w:basedOn w:val="af9"/>
    <w:link w:val="Charc"/>
    <w:rsid w:val="007A2759"/>
    <w:pPr>
      <w:spacing w:before="120"/>
    </w:pPr>
  </w:style>
  <w:style w:type="character" w:customStyle="1" w:styleId="Charc">
    <w:name w:val="العنوان الجانبي الأساس Char"/>
    <w:basedOn w:val="Chara"/>
    <w:link w:val="afb"/>
    <w:locked/>
    <w:rsid w:val="007A2759"/>
    <w:rPr>
      <w:rFonts w:ascii="Times New Roman" w:eastAsia="Batang" w:hAnsi="Times New Roman" w:cs="HeshamNormal"/>
      <w:color w:val="808080"/>
      <w:sz w:val="30"/>
      <w:szCs w:val="30"/>
      <w:lang w:val="x-none" w:eastAsia="ar-SA" w:bidi="ar-SA"/>
    </w:rPr>
  </w:style>
  <w:style w:type="paragraph" w:customStyle="1" w:styleId="Chard">
    <w:name w:val="عنوان المقال Char"/>
    <w:basedOn w:val="Title"/>
    <w:link w:val="CharChar0"/>
    <w:rsid w:val="007A2759"/>
    <w:pPr>
      <w:widowControl w:val="0"/>
      <w:spacing w:line="480" w:lineRule="exact"/>
      <w:jc w:val="left"/>
    </w:pPr>
    <w:rPr>
      <w:rFonts w:cs="HeshamNormal"/>
      <w:b w:val="0"/>
      <w:bCs w:val="0"/>
      <w:sz w:val="26"/>
      <w:szCs w:val="50"/>
    </w:rPr>
  </w:style>
  <w:style w:type="character" w:customStyle="1" w:styleId="CharChar0">
    <w:name w:val="عنوان المقال Char Char"/>
    <w:link w:val="Chard"/>
    <w:locked/>
    <w:rsid w:val="007A2759"/>
    <w:rPr>
      <w:rFonts w:ascii="Times New Roman" w:eastAsia="Batang" w:hAnsi="Times New Roman" w:cs="HeshamNormal"/>
      <w:b/>
      <w:bCs/>
      <w:sz w:val="50"/>
      <w:szCs w:val="50"/>
      <w:lang w:val="x-none" w:eastAsia="ar-SA" w:bidi="ar-SA"/>
    </w:rPr>
  </w:style>
  <w:style w:type="paragraph" w:customStyle="1" w:styleId="HEADING1Char0">
    <w:name w:val="HEADING 1 Char"/>
    <w:basedOn w:val="Normal"/>
    <w:link w:val="HEADING1CharChar"/>
    <w:rsid w:val="007A2759"/>
    <w:pPr>
      <w:widowControl/>
      <w:spacing w:before="120" w:line="460" w:lineRule="exact"/>
      <w:ind w:firstLine="0"/>
    </w:pPr>
    <w:rPr>
      <w:rFonts w:ascii="Times New Roman" w:eastAsia="Batang" w:hAnsi="Times New Roman" w:cs="Simplified Arabic"/>
      <w:bCs/>
      <w:color w:val="FFFFFF"/>
      <w:sz w:val="24"/>
      <w:szCs w:val="24"/>
      <w:lang w:eastAsia="ar-SA"/>
    </w:rPr>
  </w:style>
  <w:style w:type="character" w:customStyle="1" w:styleId="HEADING1CharChar">
    <w:name w:val="HEADING 1 Char Char"/>
    <w:link w:val="HEADING1Char0"/>
    <w:locked/>
    <w:rsid w:val="007A2759"/>
    <w:rPr>
      <w:rFonts w:ascii="Times New Roman" w:eastAsia="Batang" w:hAnsi="Times New Roman" w:cs="Simplified Arabic"/>
      <w:bCs/>
      <w:color w:val="FFFFFF"/>
      <w:sz w:val="24"/>
      <w:szCs w:val="24"/>
      <w:lang w:val="x-none" w:eastAsia="ar-SA" w:bidi="ar-SA"/>
    </w:rPr>
  </w:style>
  <w:style w:type="paragraph" w:customStyle="1" w:styleId="13">
    <w:name w:val="نمط العنوان الجانبي الأساس + (لاتيني) ‏13 نقطة مضبوطة"/>
    <w:basedOn w:val="afb"/>
    <w:link w:val="13Char"/>
    <w:rsid w:val="007A2759"/>
    <w:rPr>
      <w:sz w:val="26"/>
    </w:rPr>
  </w:style>
  <w:style w:type="character" w:customStyle="1" w:styleId="13Char">
    <w:name w:val="نمط العنوان الجانبي الأساس + (لاتيني) ‏13 نقطة مضبوطة Char"/>
    <w:basedOn w:val="Charc"/>
    <w:link w:val="13"/>
    <w:locked/>
    <w:rsid w:val="007A2759"/>
    <w:rPr>
      <w:rFonts w:ascii="Times New Roman" w:eastAsia="Batang" w:hAnsi="Times New Roman" w:cs="HeshamNormal"/>
      <w:color w:val="808080"/>
      <w:sz w:val="30"/>
      <w:szCs w:val="30"/>
      <w:lang w:val="x-none" w:eastAsia="ar-SA" w:bidi="ar-SA"/>
    </w:rPr>
  </w:style>
  <w:style w:type="paragraph" w:customStyle="1" w:styleId="130">
    <w:name w:val="نمط العنوان الجانبي اساس + ‏13 نقطة"/>
    <w:basedOn w:val="af9"/>
    <w:link w:val="13Char0"/>
    <w:autoRedefine/>
    <w:rsid w:val="007A2759"/>
    <w:rPr>
      <w:sz w:val="26"/>
      <w:szCs w:val="26"/>
    </w:rPr>
  </w:style>
  <w:style w:type="character" w:customStyle="1" w:styleId="13Char0">
    <w:name w:val="نمط العنوان الجانبي اساس + ‏13 نقطة Char"/>
    <w:link w:val="130"/>
    <w:locked/>
    <w:rsid w:val="007A2759"/>
    <w:rPr>
      <w:rFonts w:ascii="Times New Roman" w:eastAsia="Batang" w:hAnsi="Times New Roman" w:cs="HeshamNormal"/>
      <w:color w:val="808080"/>
      <w:sz w:val="26"/>
      <w:szCs w:val="26"/>
      <w:lang w:val="x-none" w:eastAsia="ar-SA" w:bidi="ar-SA"/>
    </w:rPr>
  </w:style>
  <w:style w:type="paragraph" w:customStyle="1" w:styleId="131">
    <w:name w:val="نمط نمط العنوان الجانبي الأساس + (لاتيني) ‏13 نقطة مضبوطة + (العر..."/>
    <w:basedOn w:val="13"/>
    <w:link w:val="13Char1"/>
    <w:autoRedefine/>
    <w:rsid w:val="007A2759"/>
    <w:rPr>
      <w:szCs w:val="24"/>
    </w:rPr>
  </w:style>
  <w:style w:type="character" w:customStyle="1" w:styleId="13Char1">
    <w:name w:val="نمط نمط العنوان الجانبي الأساس + (لاتيني) ‏13 نقطة مضبوطة + (العر... Char"/>
    <w:link w:val="131"/>
    <w:locked/>
    <w:rsid w:val="007A2759"/>
    <w:rPr>
      <w:rFonts w:ascii="Times New Roman" w:eastAsia="Batang" w:hAnsi="Times New Roman" w:cs="HeshamNormal"/>
      <w:color w:val="808080"/>
      <w:sz w:val="24"/>
      <w:szCs w:val="24"/>
      <w:lang w:val="x-none" w:eastAsia="ar-SA" w:bidi="ar-SA"/>
    </w:rPr>
  </w:style>
  <w:style w:type="paragraph" w:customStyle="1" w:styleId="132">
    <w:name w:val="نمط بقلم وترجمة + (لاتيني) ‏13 نقطة أسود"/>
    <w:basedOn w:val="afa"/>
    <w:link w:val="13Char2"/>
    <w:autoRedefine/>
    <w:rsid w:val="007A2759"/>
    <w:pPr>
      <w:jc w:val="right"/>
    </w:pPr>
    <w:rPr>
      <w:color w:val="000000"/>
      <w:sz w:val="26"/>
    </w:rPr>
  </w:style>
  <w:style w:type="character" w:customStyle="1" w:styleId="13Char2">
    <w:name w:val="نمط بقلم وترجمة + (لاتيني) ‏13 نقطة أسود Char"/>
    <w:link w:val="132"/>
    <w:locked/>
    <w:rsid w:val="007A2759"/>
    <w:rPr>
      <w:rFonts w:ascii="Times New Roman" w:eastAsia="Batang" w:hAnsi="Times New Roman" w:cs="Malik Lt BT"/>
      <w:b/>
      <w:bCs/>
      <w:color w:val="000000"/>
      <w:sz w:val="20"/>
      <w:szCs w:val="20"/>
      <w:lang w:val="x-none" w:eastAsia="ar-SA" w:bidi="ar-SA"/>
    </w:rPr>
  </w:style>
  <w:style w:type="paragraph" w:customStyle="1" w:styleId="1300">
    <w:name w:val="نمط العنوان الجانبي اساس + (لاتيني) ‏13 نقطة قبل:  0 نقطة تباعد..."/>
    <w:basedOn w:val="af9"/>
    <w:link w:val="130Char"/>
    <w:rsid w:val="007A2759"/>
    <w:pPr>
      <w:spacing w:before="0" w:line="450" w:lineRule="exact"/>
    </w:pPr>
    <w:rPr>
      <w:color w:val="000000"/>
      <w:sz w:val="26"/>
    </w:rPr>
  </w:style>
  <w:style w:type="character" w:customStyle="1" w:styleId="130Char">
    <w:name w:val="نمط العنوان الجانبي اساس + (لاتيني) ‏13 نقطة قبل:  0 نقطة تباعد... Char"/>
    <w:link w:val="1300"/>
    <w:locked/>
    <w:rsid w:val="007A2759"/>
    <w:rPr>
      <w:rFonts w:ascii="Times New Roman" w:eastAsia="Batang" w:hAnsi="Times New Roman" w:cs="HeshamNormal"/>
      <w:color w:val="000000"/>
      <w:sz w:val="30"/>
      <w:szCs w:val="30"/>
      <w:lang w:val="x-none" w:eastAsia="ar-SA" w:bidi="ar-SA"/>
    </w:rPr>
  </w:style>
  <w:style w:type="paragraph" w:customStyle="1" w:styleId="254225CharCharCharCharChar">
    <w:name w:val="نمط عنوان المقال + بعد:  2.54 سم تباعد الأسطر:  تام 22.5 نقطة Char Char Char Char Char"/>
    <w:basedOn w:val="Chard"/>
    <w:link w:val="254225CharCharCharCharCharChar"/>
    <w:rsid w:val="007A2759"/>
    <w:pPr>
      <w:spacing w:line="450" w:lineRule="exact"/>
      <w:ind w:right="1440"/>
    </w:pPr>
  </w:style>
  <w:style w:type="character" w:customStyle="1" w:styleId="254225CharCharCharCharCharChar">
    <w:name w:val="نمط عنوان المقال + بعد:  2.54 سم تباعد الأسطر:  تام 22.5 نقطة Char Char Char Char Char Char"/>
    <w:link w:val="254225CharCharCharCharChar"/>
    <w:locked/>
    <w:rsid w:val="007A2759"/>
    <w:rPr>
      <w:rFonts w:ascii="Times New Roman" w:eastAsia="Batang" w:hAnsi="Times New Roman" w:cs="HeshamNormal"/>
      <w:sz w:val="50"/>
      <w:szCs w:val="50"/>
      <w:lang w:val="x-none" w:eastAsia="ar-SA" w:bidi="ar-SA"/>
    </w:rPr>
  </w:style>
  <w:style w:type="paragraph" w:styleId="BodyText2">
    <w:name w:val="Body Text 2"/>
    <w:basedOn w:val="Normal"/>
    <w:link w:val="BodyText2Char"/>
    <w:rsid w:val="007A2759"/>
    <w:pPr>
      <w:spacing w:line="240" w:lineRule="auto"/>
      <w:ind w:firstLine="0"/>
      <w:jc w:val="lowKashida"/>
    </w:pPr>
    <w:rPr>
      <w:rFonts w:ascii="Times New Roman" w:eastAsia="Batang" w:hAnsi="Times New Roman" w:cs="Simplified Arabic"/>
      <w:color w:val="800000"/>
    </w:rPr>
  </w:style>
  <w:style w:type="character" w:customStyle="1" w:styleId="BodyText2Char">
    <w:name w:val="Body Text 2 Char"/>
    <w:link w:val="BodyText2"/>
    <w:locked/>
    <w:rsid w:val="007A2759"/>
    <w:rPr>
      <w:rFonts w:ascii="Times New Roman" w:eastAsia="Batang" w:hAnsi="Times New Roman" w:cs="Simplified Arabic"/>
      <w:color w:val="800000"/>
      <w:sz w:val="28"/>
      <w:szCs w:val="28"/>
      <w:lang w:bidi="ar-SA"/>
    </w:rPr>
  </w:style>
  <w:style w:type="paragraph" w:customStyle="1" w:styleId="Heading11">
    <w:name w:val="Heading 11"/>
    <w:basedOn w:val="Normal"/>
    <w:link w:val="HEADING1Char1"/>
    <w:rsid w:val="007A2759"/>
    <w:pPr>
      <w:widowControl/>
      <w:spacing w:before="120" w:line="460" w:lineRule="exact"/>
      <w:ind w:firstLine="0"/>
    </w:pPr>
    <w:rPr>
      <w:rFonts w:ascii="Times New Roman" w:eastAsia="Batang" w:hAnsi="Times New Roman" w:cs="Simplified Arabic"/>
      <w:bCs/>
      <w:color w:val="FFFFFF"/>
      <w:sz w:val="24"/>
      <w:szCs w:val="24"/>
      <w:lang w:eastAsia="ar-SA"/>
    </w:rPr>
  </w:style>
  <w:style w:type="character" w:customStyle="1" w:styleId="HEADING1Char1">
    <w:name w:val="HEADING 1 Char1"/>
    <w:link w:val="Heading11"/>
    <w:locked/>
    <w:rsid w:val="007A2759"/>
    <w:rPr>
      <w:rFonts w:ascii="Times New Roman" w:eastAsia="Batang" w:hAnsi="Times New Roman" w:cs="Simplified Arabic"/>
      <w:bCs/>
      <w:color w:val="FFFFFF"/>
      <w:sz w:val="24"/>
      <w:szCs w:val="24"/>
      <w:lang w:val="x-none" w:eastAsia="ar-SA" w:bidi="ar-SA"/>
    </w:rPr>
  </w:style>
  <w:style w:type="paragraph" w:customStyle="1" w:styleId="HEADING1TraditionalArabic13">
    <w:name w:val="نمط HEADING 1 + (العربية وغيرها) Traditional Arabic (لاتيني) ‏13..."/>
    <w:basedOn w:val="Heading11"/>
    <w:link w:val="HEADING1TraditionalArabic13Char"/>
    <w:rsid w:val="007A2759"/>
    <w:rPr>
      <w:rFonts w:cs="Traditional Arabic"/>
      <w:sz w:val="26"/>
    </w:rPr>
  </w:style>
  <w:style w:type="character" w:customStyle="1" w:styleId="HEADING1TraditionalArabic13Char">
    <w:name w:val="نمط HEADING 1 + (العربية وغيرها) Traditional Arabic (لاتيني) ‏13... Char"/>
    <w:link w:val="HEADING1TraditionalArabic13"/>
    <w:locked/>
    <w:rsid w:val="007A2759"/>
    <w:rPr>
      <w:rFonts w:ascii="Times New Roman" w:eastAsia="Batang" w:hAnsi="Times New Roman" w:cs="Traditional Arabic"/>
      <w:bCs/>
      <w:color w:val="FFFFFF"/>
      <w:sz w:val="24"/>
      <w:szCs w:val="24"/>
      <w:lang w:val="x-none" w:eastAsia="ar-SA" w:bidi="ar-SA"/>
    </w:rPr>
  </w:style>
  <w:style w:type="paragraph" w:customStyle="1" w:styleId="KSina130">
    <w:name w:val="نمط نمط بقلم وترجمة + (العربية وغيرها) K Sina (لاتيني) ‏13 نقطة د..."/>
    <w:basedOn w:val="KSina13"/>
    <w:rsid w:val="007A2759"/>
    <w:pPr>
      <w:ind w:left="4510"/>
    </w:pPr>
  </w:style>
  <w:style w:type="paragraph" w:customStyle="1" w:styleId="KSina131">
    <w:name w:val="نمط نمط بقلم وترجمة + (العربية وغيرها) K Sina (لاتيني) ‏13 نقطة د...1"/>
    <w:basedOn w:val="KSina13"/>
    <w:link w:val="KSina131Char"/>
    <w:rsid w:val="007A2759"/>
    <w:pPr>
      <w:ind w:left="4150"/>
    </w:pPr>
  </w:style>
  <w:style w:type="character" w:customStyle="1" w:styleId="KSina131Char">
    <w:name w:val="نمط نمط بقلم وترجمة + (العربية وغيرها) K Sina (لاتيني) ‏13 نقطة د...1 Char"/>
    <w:basedOn w:val="KSina13Char"/>
    <w:link w:val="KSina131"/>
    <w:locked/>
    <w:rsid w:val="007A2759"/>
    <w:rPr>
      <w:rFonts w:ascii="Times New Roman" w:eastAsia="Batang" w:hAnsi="Times New Roman" w:cs="K Sina"/>
      <w:sz w:val="20"/>
      <w:szCs w:val="20"/>
      <w:lang w:val="x-none" w:eastAsia="ar-SA" w:bidi="ar-SA"/>
    </w:rPr>
  </w:style>
  <w:style w:type="paragraph" w:customStyle="1" w:styleId="254225CharCharCharCharCharCharCharCharChar">
    <w:name w:val="نمط عنوان المقال + بعد:  2.54 سم تباعد الأسطر:  تام 22.5 نقطة Char Char Char Char Char Char Char Char Char"/>
    <w:basedOn w:val="Chard"/>
    <w:link w:val="254225CharCharCharCharCharCharCharCharCharChar"/>
    <w:rsid w:val="007A2759"/>
    <w:pPr>
      <w:spacing w:line="450" w:lineRule="exact"/>
      <w:ind w:right="1440"/>
    </w:pPr>
  </w:style>
  <w:style w:type="character" w:customStyle="1" w:styleId="254225CharCharCharCharCharCharCharCharCharChar">
    <w:name w:val="نمط عنوان المقال + بعد:  2.54 سم تباعد الأسطر:  تام 22.5 نقطة Char Char Char Char Char Char Char Char Char Char"/>
    <w:link w:val="254225CharCharCharCharCharCharCharCharChar"/>
    <w:locked/>
    <w:rsid w:val="007A2759"/>
    <w:rPr>
      <w:rFonts w:ascii="Times New Roman" w:eastAsia="Batang" w:hAnsi="Times New Roman" w:cs="HeshamNormal"/>
      <w:sz w:val="50"/>
      <w:szCs w:val="50"/>
      <w:lang w:val="x-none" w:eastAsia="ar-SA" w:bidi="ar-SA"/>
    </w:rPr>
  </w:style>
  <w:style w:type="paragraph" w:customStyle="1" w:styleId="HeshamNormal13">
    <w:name w:val="نمط اصلى + (العربية وغيرها) HeshamNormal (لاتيني) ‏13 نقطة (الع..."/>
    <w:basedOn w:val="af8"/>
    <w:link w:val="HeshamNormal13Char"/>
    <w:rsid w:val="007A2759"/>
    <w:rPr>
      <w:rFonts w:cs="HeshamNormal"/>
      <w:bCs w:val="0"/>
      <w:sz w:val="26"/>
      <w:szCs w:val="30"/>
    </w:rPr>
  </w:style>
  <w:style w:type="paragraph" w:customStyle="1" w:styleId="HeshamNormal130">
    <w:name w:val="نمط نمط اصلى + (العربية وغيرها) HeshamNormal (لاتيني) ‏13 نقطة (ا..."/>
    <w:basedOn w:val="HeshamNormal13"/>
    <w:link w:val="HeshamNormal13Char0"/>
    <w:rsid w:val="007A2759"/>
    <w:pPr>
      <w:spacing w:line="418" w:lineRule="exact"/>
      <w:jc w:val="right"/>
    </w:pPr>
  </w:style>
  <w:style w:type="paragraph" w:customStyle="1" w:styleId="afc">
    <w:name w:val="تعداد فرعي"/>
    <w:basedOn w:val="af8"/>
    <w:rsid w:val="007A2759"/>
    <w:pPr>
      <w:widowControl w:val="0"/>
      <w:adjustRightInd w:val="0"/>
      <w:spacing w:line="418" w:lineRule="exact"/>
    </w:pPr>
    <w:rPr>
      <w:rFonts w:cs="AL-Mohanad"/>
      <w:sz w:val="26"/>
      <w:szCs w:val="27"/>
    </w:rPr>
  </w:style>
  <w:style w:type="paragraph" w:customStyle="1" w:styleId="afd">
    <w:name w:val="هوامش"/>
    <w:basedOn w:val="Normal"/>
    <w:rsid w:val="007A2759"/>
    <w:pPr>
      <w:spacing w:line="418" w:lineRule="exact"/>
      <w:ind w:firstLine="0"/>
      <w:jc w:val="left"/>
    </w:pPr>
    <w:rPr>
      <w:rFonts w:ascii="Times New Roman" w:eastAsia="Batang" w:hAnsi="Times New Roman" w:cs="K Sina"/>
      <w:spacing w:val="-4"/>
      <w:sz w:val="24"/>
      <w:szCs w:val="24"/>
      <w:lang w:eastAsia="ar-SA"/>
    </w:rPr>
  </w:style>
  <w:style w:type="paragraph" w:customStyle="1" w:styleId="61195">
    <w:name w:val="نمط عنوان 6 + السطر الأول:  1 سم تباعد الأسطر:  تام 19.5 نقطة"/>
    <w:basedOn w:val="Heading6"/>
    <w:link w:val="61195Char"/>
    <w:rsid w:val="007A2759"/>
  </w:style>
  <w:style w:type="character" w:customStyle="1" w:styleId="61195Char">
    <w:name w:val="نمط عنوان 6 + السطر الأول:  1 سم تباعد الأسطر:  تام 19.5 نقطة Char"/>
    <w:link w:val="61195"/>
    <w:locked/>
    <w:rsid w:val="007A2759"/>
    <w:rPr>
      <w:rFonts w:ascii="Times New Roman" w:eastAsia="Batang" w:hAnsi="Times New Roman" w:cs="AL-Mohanad"/>
      <w:b/>
      <w:bCs/>
      <w:color w:val="000000"/>
      <w:sz w:val="40"/>
      <w:szCs w:val="40"/>
      <w:lang w:bidi="ar-SA"/>
    </w:rPr>
  </w:style>
  <w:style w:type="paragraph" w:customStyle="1" w:styleId="20">
    <w:name w:val="نمط2"/>
    <w:basedOn w:val="Normal"/>
    <w:link w:val="2Char"/>
    <w:rsid w:val="007A2759"/>
    <w:pPr>
      <w:spacing w:line="240" w:lineRule="auto"/>
      <w:ind w:firstLine="0"/>
      <w:jc w:val="right"/>
    </w:pPr>
    <w:rPr>
      <w:rFonts w:ascii="DanaFajr" w:eastAsia="Batang" w:hAnsi="DanaFajr" w:cs="Simplified Arabic"/>
      <w:b/>
      <w:szCs w:val="16"/>
      <w:lang w:eastAsia="ar-SA"/>
    </w:rPr>
  </w:style>
  <w:style w:type="character" w:customStyle="1" w:styleId="2Char">
    <w:name w:val="نمط2 Char"/>
    <w:link w:val="20"/>
    <w:locked/>
    <w:rsid w:val="007A2759"/>
    <w:rPr>
      <w:rFonts w:ascii="DanaFajr" w:eastAsia="Batang" w:hAnsi="DanaFajr" w:cs="Simplified Arabic"/>
      <w:b/>
      <w:sz w:val="16"/>
      <w:szCs w:val="16"/>
      <w:lang w:val="x-none" w:eastAsia="ar-SA" w:bidi="ar-SA"/>
    </w:rPr>
  </w:style>
  <w:style w:type="paragraph" w:customStyle="1" w:styleId="Arial180">
    <w:name w:val="عادي + (لاتيني) Arial، (لاتيني) ‏18 نقطة، (لاتيني) غامق، أسود، قبل:  0 نقطة، ..."/>
    <w:basedOn w:val="Normal"/>
    <w:link w:val="Arial180Char"/>
    <w:semiHidden/>
    <w:rsid w:val="007A2759"/>
    <w:pPr>
      <w:widowControl/>
      <w:spacing w:line="405" w:lineRule="exact"/>
      <w:ind w:firstLine="0"/>
      <w:jc w:val="left"/>
    </w:pPr>
    <w:rPr>
      <w:rFonts w:ascii="Arial" w:eastAsia="Batang" w:hAnsi="Arial" w:cs="md_ameli"/>
      <w:b/>
      <w:color w:val="000000"/>
      <w:lang w:eastAsia="ar-SA"/>
    </w:rPr>
  </w:style>
  <w:style w:type="character" w:customStyle="1" w:styleId="Arial180Char">
    <w:name w:val="عادي + (لاتيني) Arial، (لاتيني) ‏18 نقطة، (لاتيني) غامق، أسود، قبل:  0 نقطة، ... Char"/>
    <w:link w:val="Arial180"/>
    <w:semiHidden/>
    <w:locked/>
    <w:rsid w:val="007A2759"/>
    <w:rPr>
      <w:rFonts w:ascii="Arial" w:eastAsia="Batang" w:hAnsi="Arial" w:cs="md_ameli"/>
      <w:b/>
      <w:color w:val="000000"/>
      <w:sz w:val="28"/>
      <w:szCs w:val="28"/>
      <w:lang w:val="x-none" w:eastAsia="ar-SA" w:bidi="ar-SA"/>
    </w:rPr>
  </w:style>
  <w:style w:type="paragraph" w:customStyle="1" w:styleId="151202">
    <w:name w:val="اصلى + ‏15 نقطة، السطر الأول:  1 سم، تباعد الأسطر:  تام 20.2 نقطة"/>
    <w:basedOn w:val="af8"/>
    <w:link w:val="151202Char"/>
    <w:semiHidden/>
    <w:rsid w:val="007A2759"/>
    <w:pPr>
      <w:widowControl w:val="0"/>
      <w:adjustRightInd w:val="0"/>
      <w:spacing w:line="404" w:lineRule="exact"/>
      <w:ind w:firstLine="567"/>
    </w:pPr>
    <w:rPr>
      <w:sz w:val="30"/>
      <w:szCs w:val="30"/>
    </w:rPr>
  </w:style>
  <w:style w:type="character" w:customStyle="1" w:styleId="151202Char">
    <w:name w:val="اصلى + ‏15 نقطة، السطر الأول:  1 سم، تباعد الأسطر:  تام 20.2 نقطة Char"/>
    <w:link w:val="151202"/>
    <w:semiHidden/>
    <w:locked/>
    <w:rsid w:val="007A2759"/>
    <w:rPr>
      <w:rFonts w:ascii="Times New Roman" w:eastAsia="Batang" w:hAnsi="Times New Roman" w:cs="Times New Roman"/>
      <w:bCs/>
      <w:sz w:val="30"/>
      <w:szCs w:val="30"/>
      <w:lang w:val="en-US" w:eastAsia="ar-SA" w:bidi="ar-SA"/>
    </w:rPr>
  </w:style>
  <w:style w:type="paragraph" w:customStyle="1" w:styleId="afe">
    <w:name w:val="حاشية"/>
    <w:basedOn w:val="Normal"/>
    <w:link w:val="Chare"/>
    <w:rsid w:val="007A2759"/>
    <w:pPr>
      <w:widowControl/>
      <w:spacing w:after="200" w:line="340" w:lineRule="exact"/>
      <w:ind w:firstLine="0"/>
      <w:jc w:val="left"/>
    </w:pPr>
    <w:rPr>
      <w:rFonts w:ascii="Calibri" w:hAnsi="Calibri" w:cs="md_ameli"/>
      <w:sz w:val="24"/>
      <w:szCs w:val="22"/>
    </w:rPr>
  </w:style>
  <w:style w:type="character" w:customStyle="1" w:styleId="Chare">
    <w:name w:val="حاشية Char"/>
    <w:link w:val="afe"/>
    <w:locked/>
    <w:rsid w:val="007A2759"/>
    <w:rPr>
      <w:rFonts w:ascii="Calibri" w:eastAsia="Times New Roman" w:hAnsi="Calibri" w:cs="md_ameli"/>
      <w:sz w:val="24"/>
      <w:lang w:bidi="ar-SA"/>
    </w:rPr>
  </w:style>
  <w:style w:type="paragraph" w:customStyle="1" w:styleId="aff">
    <w:name w:val="خط الحاشية"/>
    <w:basedOn w:val="FootnoteText"/>
    <w:link w:val="Charf"/>
    <w:semiHidden/>
    <w:rsid w:val="007A2759"/>
    <w:pPr>
      <w:ind w:left="284" w:hanging="284"/>
      <w:jc w:val="lowKashida"/>
    </w:pPr>
    <w:rPr>
      <w:rFonts w:ascii="Times New Roman" w:eastAsia="Batang" w:hAnsi="Times New Roman" w:cs="Taher"/>
      <w:sz w:val="24"/>
      <w:szCs w:val="24"/>
    </w:rPr>
  </w:style>
  <w:style w:type="character" w:customStyle="1" w:styleId="Charf">
    <w:name w:val="خط الحاشية Char"/>
    <w:link w:val="aff"/>
    <w:semiHidden/>
    <w:locked/>
    <w:rsid w:val="007A2759"/>
    <w:rPr>
      <w:rFonts w:ascii="Times New Roman" w:eastAsia="Batang" w:hAnsi="Times New Roman" w:cs="Taher"/>
      <w:sz w:val="24"/>
      <w:szCs w:val="24"/>
      <w:lang w:bidi="ar-SA"/>
    </w:rPr>
  </w:style>
  <w:style w:type="paragraph" w:customStyle="1" w:styleId="12">
    <w:name w:val="پاورقى1"/>
    <w:link w:val="1Char0"/>
    <w:rsid w:val="007A2759"/>
    <w:pPr>
      <w:autoSpaceDE w:val="0"/>
      <w:autoSpaceDN w:val="0"/>
      <w:bidi/>
      <w:spacing w:line="342" w:lineRule="atLeast"/>
      <w:ind w:right="284" w:hanging="284"/>
      <w:jc w:val="both"/>
    </w:pPr>
    <w:rPr>
      <w:rFonts w:ascii="Times New Roman" w:eastAsia="Batang" w:hAnsi="Times New Roman" w:cs="Times New Roman"/>
      <w:sz w:val="24"/>
      <w:szCs w:val="28"/>
      <w:lang w:eastAsia="ar-SA"/>
    </w:rPr>
  </w:style>
  <w:style w:type="character" w:customStyle="1" w:styleId="1Char0">
    <w:name w:val="پاورقى1 Char"/>
    <w:link w:val="12"/>
    <w:locked/>
    <w:rsid w:val="007A2759"/>
    <w:rPr>
      <w:rFonts w:ascii="Times New Roman" w:eastAsia="Batang" w:hAnsi="Times New Roman" w:cs="Times New Roman"/>
      <w:sz w:val="28"/>
      <w:szCs w:val="28"/>
      <w:lang w:val="en-US" w:eastAsia="ar-SA" w:bidi="ar-SA"/>
    </w:rPr>
  </w:style>
  <w:style w:type="character" w:styleId="PageNumber">
    <w:name w:val="page number"/>
    <w:rsid w:val="007A2759"/>
    <w:rPr>
      <w:rFonts w:cs="Times New Roman"/>
    </w:rPr>
  </w:style>
  <w:style w:type="paragraph" w:customStyle="1" w:styleId="aff0">
    <w:name w:val="تحت العنوان"/>
    <w:basedOn w:val="Normal"/>
    <w:link w:val="Charf0"/>
    <w:rsid w:val="007A2759"/>
    <w:pPr>
      <w:spacing w:line="600" w:lineRule="exact"/>
      <w:ind w:firstLine="0"/>
      <w:jc w:val="center"/>
      <w:outlineLvl w:val="3"/>
    </w:pPr>
    <w:rPr>
      <w:rFonts w:ascii="Times New Roman" w:eastAsia="Batang" w:hAnsi="Times New Roman" w:cs="SKR HEAD1"/>
      <w:color w:val="000000"/>
      <w:sz w:val="36"/>
      <w:szCs w:val="36"/>
    </w:rPr>
  </w:style>
  <w:style w:type="character" w:customStyle="1" w:styleId="Charf0">
    <w:name w:val="تحت العنوان Char"/>
    <w:link w:val="aff0"/>
    <w:locked/>
    <w:rsid w:val="007A2759"/>
    <w:rPr>
      <w:rFonts w:ascii="Times New Roman" w:eastAsia="Batang" w:hAnsi="Times New Roman" w:cs="SKR HEAD1"/>
      <w:color w:val="000000"/>
      <w:sz w:val="36"/>
      <w:szCs w:val="36"/>
      <w:lang w:bidi="ar-SA"/>
    </w:rPr>
  </w:style>
  <w:style w:type="paragraph" w:customStyle="1" w:styleId="aff1">
    <w:name w:val="العنوان الأساسي"/>
    <w:basedOn w:val="Normal"/>
    <w:rsid w:val="007A2759"/>
    <w:pPr>
      <w:spacing w:line="240" w:lineRule="auto"/>
      <w:ind w:firstLine="0"/>
      <w:jc w:val="center"/>
    </w:pPr>
    <w:rPr>
      <w:rFonts w:ascii="SKR HEAD1" w:eastAsia="Batang" w:hAnsi="SKR HEAD1" w:cs="SKR HEAD1"/>
      <w:sz w:val="32"/>
      <w:szCs w:val="50"/>
    </w:rPr>
  </w:style>
  <w:style w:type="paragraph" w:styleId="PlainText">
    <w:name w:val="Plain Text"/>
    <w:basedOn w:val="Normal"/>
    <w:link w:val="PlainTextChar"/>
    <w:rsid w:val="007A2759"/>
    <w:pPr>
      <w:widowControl/>
      <w:spacing w:line="240" w:lineRule="auto"/>
      <w:ind w:firstLine="0"/>
      <w:jc w:val="left"/>
    </w:pPr>
    <w:rPr>
      <w:rFonts w:ascii="Courier New" w:eastAsia="Batang" w:hAnsi="Courier New" w:cs="Courier New"/>
      <w:sz w:val="20"/>
      <w:szCs w:val="20"/>
    </w:rPr>
  </w:style>
  <w:style w:type="character" w:customStyle="1" w:styleId="PlainTextChar">
    <w:name w:val="Plain Text Char"/>
    <w:link w:val="PlainText"/>
    <w:locked/>
    <w:rsid w:val="007A2759"/>
    <w:rPr>
      <w:rFonts w:ascii="Courier New" w:eastAsia="Batang" w:hAnsi="Courier New" w:cs="Courier New"/>
      <w:sz w:val="20"/>
      <w:szCs w:val="20"/>
    </w:rPr>
  </w:style>
  <w:style w:type="character" w:customStyle="1" w:styleId="HeshamNormal13Char">
    <w:name w:val="نمط اصلى + (العربية وغيرها) HeshamNormal (لاتيني) ‏13 نقطة (الع... Char"/>
    <w:link w:val="HeshamNormal13"/>
    <w:locked/>
    <w:rsid w:val="007A2759"/>
    <w:rPr>
      <w:rFonts w:ascii="Times New Roman" w:eastAsia="Batang" w:hAnsi="Times New Roman" w:cs="HeshamNormal"/>
      <w:bCs/>
      <w:sz w:val="30"/>
      <w:szCs w:val="30"/>
      <w:lang w:val="en-US" w:eastAsia="ar-SA" w:bidi="ar-SA"/>
    </w:rPr>
  </w:style>
  <w:style w:type="character" w:customStyle="1" w:styleId="HeshamNormal13Char0">
    <w:name w:val="نمط نمط اصلى + (العربية وغيرها) HeshamNormal (لاتيني) ‏13 نقطة (ا... Char"/>
    <w:basedOn w:val="HeshamNormal13Char"/>
    <w:link w:val="HeshamNormal130"/>
    <w:locked/>
    <w:rsid w:val="007A2759"/>
    <w:rPr>
      <w:rFonts w:ascii="Times New Roman" w:eastAsia="Batang" w:hAnsi="Times New Roman" w:cs="HeshamNormal"/>
      <w:bCs/>
      <w:sz w:val="30"/>
      <w:szCs w:val="30"/>
      <w:lang w:val="en-US" w:eastAsia="ar-SA" w:bidi="ar-SA"/>
    </w:rPr>
  </w:style>
  <w:style w:type="paragraph" w:customStyle="1" w:styleId="400">
    <w:name w:val="نمط عنوان 4 + السطر الأول:  0 سم قبل:  0 نقطة تباعد الأسطر:  تا..."/>
    <w:basedOn w:val="Heading4"/>
    <w:link w:val="400Char"/>
    <w:rsid w:val="007A2759"/>
  </w:style>
  <w:style w:type="character" w:customStyle="1" w:styleId="400Char">
    <w:name w:val="نمط عنوان 4 + السطر الأول:  0 سم قبل:  0 نقطة تباعد الأسطر:  تا... Char"/>
    <w:basedOn w:val="Heading4Char"/>
    <w:link w:val="400"/>
    <w:locked/>
    <w:rsid w:val="007A2759"/>
    <w:rPr>
      <w:rFonts w:ascii="Calibri" w:eastAsia="Batang" w:hAnsi="Calibri" w:cs="AL-Mateen"/>
      <w:b/>
      <w:bCs w:val="0"/>
      <w:sz w:val="28"/>
      <w:szCs w:val="28"/>
      <w:lang w:bidi="ar-SA"/>
    </w:rPr>
  </w:style>
  <w:style w:type="paragraph" w:customStyle="1" w:styleId="1020">
    <w:name w:val="نمط نمط نمط نمط نمط عنوان 1 + قبل:  0 نقطة تباعد الأسطر:  تام 20 ..."/>
    <w:basedOn w:val="Normal"/>
    <w:link w:val="1020Char"/>
    <w:rsid w:val="007A2759"/>
    <w:pPr>
      <w:spacing w:line="418" w:lineRule="exact"/>
      <w:ind w:firstLine="0"/>
      <w:jc w:val="left"/>
      <w:outlineLvl w:val="0"/>
    </w:pPr>
    <w:rPr>
      <w:rFonts w:ascii="Times New Roman" w:eastAsia="Batang" w:hAnsi="Times New Roman" w:cs="Abz-3 (Yagut)"/>
      <w:bCs/>
      <w:color w:val="000000"/>
      <w:kern w:val="32"/>
      <w:sz w:val="26"/>
      <w:szCs w:val="26"/>
    </w:rPr>
  </w:style>
  <w:style w:type="character" w:customStyle="1" w:styleId="1020Char">
    <w:name w:val="نمط نمط نمط نمط نمط عنوان 1 + قبل:  0 نقطة تباعد الأسطر:  تام 20 ... Char"/>
    <w:link w:val="1020"/>
    <w:locked/>
    <w:rsid w:val="007A2759"/>
    <w:rPr>
      <w:rFonts w:ascii="Times New Roman" w:eastAsia="Batang" w:hAnsi="Times New Roman" w:cs="Abz-3 (Yagut)"/>
      <w:b/>
      <w:bCs w:val="0"/>
      <w:color w:val="000000"/>
      <w:kern w:val="32"/>
      <w:sz w:val="26"/>
      <w:szCs w:val="26"/>
      <w:lang w:bidi="ar-SA"/>
    </w:rPr>
  </w:style>
  <w:style w:type="character" w:customStyle="1" w:styleId="1020Char0">
    <w:name w:val="نمط نمط نمط نمط عنوان 1 + قبل:  0 نقطة تباعد الأسطر:  تام 20 نقطة... Char"/>
    <w:link w:val="10200"/>
    <w:locked/>
    <w:rsid w:val="007A2759"/>
    <w:rPr>
      <w:rFonts w:ascii="Times" w:hAnsi="Times" w:cs="Abz-3 (Yagut)"/>
      <w:b/>
      <w:bCs w:val="0"/>
      <w:color w:val="000000"/>
      <w:kern w:val="32"/>
      <w:sz w:val="26"/>
      <w:szCs w:val="26"/>
      <w:lang w:bidi="ar-SA"/>
    </w:rPr>
  </w:style>
  <w:style w:type="character" w:customStyle="1" w:styleId="10201Char">
    <w:name w:val="نمط نمط نمط عنوان 1 + قبل:  0 نقطة تباعد الأسطر:  تام 20 نقطة + ت...1 Char"/>
    <w:basedOn w:val="1020Char1"/>
    <w:link w:val="10201"/>
    <w:locked/>
    <w:rsid w:val="007A2759"/>
    <w:rPr>
      <w:rFonts w:ascii="Times" w:hAnsi="Times" w:cs="Arial"/>
      <w:b/>
      <w:bCs/>
      <w:color w:val="000000"/>
      <w:kern w:val="32"/>
      <w:sz w:val="36"/>
      <w:szCs w:val="36"/>
      <w:lang w:bidi="ar-SA"/>
    </w:rPr>
  </w:style>
  <w:style w:type="character" w:customStyle="1" w:styleId="1020Char1">
    <w:name w:val="نمط نمط عنوان 1 + قبل:  0 نقطة تباعد الأسطر:  تام 20 نقطة + تباعد... Char"/>
    <w:basedOn w:val="1020Char2"/>
    <w:link w:val="10202"/>
    <w:locked/>
    <w:rsid w:val="007A2759"/>
    <w:rPr>
      <w:rFonts w:ascii="Times" w:hAnsi="Times" w:cs="Arial"/>
      <w:b/>
      <w:bCs/>
      <w:color w:val="000000"/>
      <w:kern w:val="32"/>
      <w:sz w:val="36"/>
      <w:szCs w:val="36"/>
      <w:lang w:bidi="ar-SA"/>
    </w:rPr>
  </w:style>
  <w:style w:type="character" w:customStyle="1" w:styleId="1020Char2">
    <w:name w:val="نمط عنوان 1 + قبل:  0 نقطة تباعد الأسطر:  تام 20 نقطة Char"/>
    <w:link w:val="10203"/>
    <w:locked/>
    <w:rsid w:val="007A2759"/>
    <w:rPr>
      <w:rFonts w:ascii="Times" w:hAnsi="Times" w:cs="Arial"/>
      <w:b/>
      <w:bCs/>
      <w:color w:val="000000"/>
      <w:kern w:val="32"/>
      <w:sz w:val="36"/>
      <w:szCs w:val="36"/>
      <w:lang w:bidi="ar-SA"/>
    </w:rPr>
  </w:style>
  <w:style w:type="paragraph" w:customStyle="1" w:styleId="10203">
    <w:name w:val="نمط عنوان 1 + قبل:  0 نقطة تباعد الأسطر:  تام 20 نقطة"/>
    <w:basedOn w:val="Heading1"/>
    <w:link w:val="1020Char2"/>
    <w:rsid w:val="007A2759"/>
    <w:pPr>
      <w:keepLines w:val="0"/>
    </w:pPr>
    <w:rPr>
      <w:rFonts w:ascii="Calibri" w:hAnsi="Calibri" w:cs="Arial"/>
      <w:bCs/>
      <w:color w:val="000000"/>
      <w:kern w:val="32"/>
      <w:sz w:val="22"/>
      <w:szCs w:val="36"/>
    </w:rPr>
  </w:style>
  <w:style w:type="paragraph" w:customStyle="1" w:styleId="10202">
    <w:name w:val="نمط نمط عنوان 1 + قبل:  0 نقطة تباعد الأسطر:  تام 20 نقطة + تباعد..."/>
    <w:basedOn w:val="10203"/>
    <w:next w:val="Normal"/>
    <w:link w:val="1020Char1"/>
    <w:rsid w:val="007A2759"/>
    <w:pPr>
      <w:keepNext w:val="0"/>
      <w:widowControl/>
      <w:spacing w:line="390" w:lineRule="exact"/>
      <w:jc w:val="left"/>
    </w:pPr>
  </w:style>
  <w:style w:type="paragraph" w:customStyle="1" w:styleId="10201">
    <w:name w:val="نمط نمط نمط عنوان 1 + قبل:  0 نقطة تباعد الأسطر:  تام 20 نقطة + ت...1"/>
    <w:basedOn w:val="10202"/>
    <w:link w:val="10201Char"/>
    <w:rsid w:val="007A2759"/>
    <w:pPr>
      <w:spacing w:line="377" w:lineRule="exact"/>
    </w:pPr>
    <w:rPr>
      <w:bCs w:val="0"/>
      <w:sz w:val="26"/>
    </w:rPr>
  </w:style>
  <w:style w:type="paragraph" w:customStyle="1" w:styleId="10200">
    <w:name w:val="نمط نمط نمط نمط عنوان 1 + قبل:  0 نقطة تباعد الأسطر:  تام 20 نقطة..."/>
    <w:basedOn w:val="10201"/>
    <w:link w:val="1020Char0"/>
    <w:rsid w:val="007A2759"/>
    <w:rPr>
      <w:rFonts w:cs="Abz-3 (Yagut)"/>
      <w:b w:val="0"/>
      <w:bCs/>
      <w:szCs w:val="26"/>
    </w:rPr>
  </w:style>
  <w:style w:type="paragraph" w:customStyle="1" w:styleId="HeshamNormal131">
    <w:name w:val="نمط (العربية وغيرها) HeshamNormal (لاتيني) ‏13 نقطة (العربية وغ...1"/>
    <w:basedOn w:val="Normal"/>
    <w:semiHidden/>
    <w:rsid w:val="007A2759"/>
    <w:pPr>
      <w:widowControl/>
      <w:spacing w:line="418" w:lineRule="exact"/>
      <w:ind w:firstLine="720"/>
      <w:jc w:val="right"/>
    </w:pPr>
    <w:rPr>
      <w:rFonts w:ascii="Times New Roman" w:eastAsia="Batang" w:hAnsi="Times New Roman" w:cs="HeshamNormal"/>
      <w:sz w:val="26"/>
      <w:lang w:eastAsia="ar-SA"/>
    </w:rPr>
  </w:style>
  <w:style w:type="character" w:customStyle="1" w:styleId="CharChar4">
    <w:name w:val="Char Char4"/>
    <w:rsid w:val="007A2759"/>
    <w:rPr>
      <w:rFonts w:cs="Simplified Arabic"/>
      <w:color w:val="000000"/>
      <w:sz w:val="28"/>
      <w:szCs w:val="28"/>
      <w:lang w:val="en-US" w:eastAsia="en-US" w:bidi="ar-SA"/>
    </w:rPr>
  </w:style>
  <w:style w:type="paragraph" w:customStyle="1" w:styleId="StyleComplexSimplifiedArabic14ptFirstline05cm">
    <w:name w:val="Style (Complex) Simplified Arabic 14 pt First line:  0.5 cm"/>
    <w:basedOn w:val="Normal"/>
    <w:link w:val="StyleComplexSimplifiedArabic14ptFirstline05cmChar"/>
    <w:rsid w:val="007A2759"/>
    <w:pPr>
      <w:widowControl/>
      <w:spacing w:line="240" w:lineRule="auto"/>
      <w:jc w:val="lowKashida"/>
    </w:pPr>
    <w:rPr>
      <w:rFonts w:ascii="Times New Roman" w:eastAsia="Batang" w:hAnsi="Times New Roman" w:cs="Akhbar MT"/>
      <w:sz w:val="24"/>
    </w:rPr>
  </w:style>
  <w:style w:type="character" w:customStyle="1" w:styleId="StyleComplexSimplifiedArabic14ptFirstline05cmChar">
    <w:name w:val="Style (Complex) Simplified Arabic 14 pt First line:  0.5 cm Char"/>
    <w:link w:val="StyleComplexSimplifiedArabic14ptFirstline05cm"/>
    <w:locked/>
    <w:rsid w:val="007A2759"/>
    <w:rPr>
      <w:rFonts w:ascii="Times New Roman" w:eastAsia="Batang" w:hAnsi="Times New Roman" w:cs="Akhbar MT"/>
      <w:sz w:val="28"/>
      <w:szCs w:val="28"/>
      <w:lang w:bidi="ar-SA"/>
    </w:rPr>
  </w:style>
  <w:style w:type="paragraph" w:customStyle="1" w:styleId="StyleComplexSimplifiedArabic14ptJustifiedFirstl">
    <w:name w:val="Style اصلى + (Complex) Simplified Arabic 14 pt Justified First l..."/>
    <w:basedOn w:val="af8"/>
    <w:link w:val="StyleComplexSimplifiedArabic14ptJustifiedFirstlChar"/>
    <w:rsid w:val="007A2759"/>
    <w:pPr>
      <w:widowControl w:val="0"/>
      <w:spacing w:before="100" w:line="400" w:lineRule="exact"/>
      <w:ind w:firstLine="510"/>
      <w:jc w:val="lowKashida"/>
    </w:pPr>
    <w:rPr>
      <w:rFonts w:cs="md_ameli"/>
      <w:bCs w:val="0"/>
      <w:spacing w:val="-4"/>
    </w:rPr>
  </w:style>
  <w:style w:type="character" w:customStyle="1" w:styleId="StyleComplexSimplifiedArabic14ptJustifiedFirstlChar">
    <w:name w:val="Style اصلى + (Complex) Simplified Arabic 14 pt Justified First l... Char"/>
    <w:link w:val="StyleComplexSimplifiedArabic14ptJustifiedFirstl"/>
    <w:locked/>
    <w:rsid w:val="007A2759"/>
    <w:rPr>
      <w:rFonts w:ascii="Times New Roman" w:eastAsia="Batang" w:hAnsi="Times New Roman" w:cs="md_ameli"/>
      <w:bCs/>
      <w:spacing w:val="-4"/>
      <w:sz w:val="28"/>
      <w:szCs w:val="28"/>
      <w:lang w:val="en-US" w:eastAsia="ar-SA" w:bidi="ar-SA"/>
    </w:rPr>
  </w:style>
  <w:style w:type="paragraph" w:customStyle="1" w:styleId="StyleComplexSimplifiedArabic14ptCharChar">
    <w:name w:val="Style (Complex) Simplified Arabic 14 pt Char Char"/>
    <w:basedOn w:val="Normal"/>
    <w:link w:val="StyleComplexSimplifiedArabic14ptCharCharChar"/>
    <w:rsid w:val="007A2759"/>
    <w:pPr>
      <w:widowControl/>
      <w:spacing w:line="240" w:lineRule="auto"/>
      <w:ind w:firstLine="510"/>
      <w:jc w:val="lowKashida"/>
    </w:pPr>
    <w:rPr>
      <w:rFonts w:ascii="Times New Roman" w:eastAsia="Batang" w:hAnsi="Times New Roman" w:cs="Akhbar MT"/>
      <w:sz w:val="22"/>
      <w:szCs w:val="36"/>
    </w:rPr>
  </w:style>
  <w:style w:type="character" w:customStyle="1" w:styleId="StyleComplexSimplifiedArabic14ptCharCharChar">
    <w:name w:val="Style (Complex) Simplified Arabic 14 pt Char Char Char"/>
    <w:link w:val="StyleComplexSimplifiedArabic14ptCharChar"/>
    <w:locked/>
    <w:rsid w:val="007A2759"/>
    <w:rPr>
      <w:rFonts w:ascii="Times New Roman" w:eastAsia="Batang" w:hAnsi="Times New Roman" w:cs="Akhbar MT"/>
      <w:sz w:val="36"/>
      <w:szCs w:val="36"/>
      <w:lang w:bidi="ar-SA"/>
    </w:rPr>
  </w:style>
  <w:style w:type="paragraph" w:customStyle="1" w:styleId="NormalText">
    <w:name w:val="Normal Text"/>
    <w:basedOn w:val="Normal"/>
    <w:link w:val="NormalTextChar"/>
    <w:rsid w:val="007A2759"/>
    <w:pPr>
      <w:widowControl/>
      <w:spacing w:line="440" w:lineRule="exact"/>
    </w:pPr>
    <w:rPr>
      <w:rFonts w:ascii="Times New Roman" w:eastAsia="SimSun" w:hAnsi="Times New Roman" w:cs="Wasit5 Normal"/>
      <w:sz w:val="24"/>
      <w:szCs w:val="36"/>
      <w:lang w:eastAsia="zh-CN"/>
    </w:rPr>
  </w:style>
  <w:style w:type="character" w:customStyle="1" w:styleId="NormalTextChar">
    <w:name w:val="Normal Text Char"/>
    <w:link w:val="NormalText"/>
    <w:locked/>
    <w:rsid w:val="007A2759"/>
    <w:rPr>
      <w:rFonts w:ascii="Times New Roman" w:eastAsia="SimSun" w:hAnsi="Times New Roman" w:cs="Wasit5 Normal"/>
      <w:sz w:val="36"/>
      <w:szCs w:val="36"/>
      <w:lang w:val="x-none" w:eastAsia="zh-CN" w:bidi="ar-SA"/>
    </w:rPr>
  </w:style>
  <w:style w:type="paragraph" w:customStyle="1" w:styleId="Heading3DanaFajr165">
    <w:name w:val="نمط Heading 3 + (العربية وغيرها) DanaFajr (العربية وغيرها) ‏16.5..."/>
    <w:basedOn w:val="Heading3"/>
    <w:link w:val="Heading3DanaFajr165Char"/>
    <w:rsid w:val="007A2759"/>
    <w:pPr>
      <w:keepNext/>
      <w:spacing w:before="240" w:after="60" w:line="216" w:lineRule="auto"/>
      <w:ind w:left="720" w:hanging="432"/>
    </w:pPr>
    <w:rPr>
      <w:rFonts w:ascii="Cambria" w:eastAsia="Batang" w:hAnsi="Cambria" w:cs="Times New Roman"/>
      <w:b/>
      <w:bCs/>
      <w:color w:val="auto"/>
      <w:sz w:val="26"/>
      <w:szCs w:val="26"/>
      <w:lang w:eastAsia="ar-SA"/>
    </w:rPr>
  </w:style>
  <w:style w:type="character" w:customStyle="1" w:styleId="Heading3DanaFajr165Char">
    <w:name w:val="نمط Heading 3 + (العربية وغيرها) DanaFajr (العربية وغيرها) ‏16.5... Char"/>
    <w:link w:val="Heading3DanaFajr165"/>
    <w:locked/>
    <w:rsid w:val="007A2759"/>
    <w:rPr>
      <w:rFonts w:ascii="Cambria" w:eastAsia="Batang" w:hAnsi="Cambria" w:cs="Times New Roman"/>
      <w:b/>
      <w:bCs/>
      <w:sz w:val="26"/>
      <w:szCs w:val="26"/>
      <w:lang w:val="x-none" w:eastAsia="ar-SA" w:bidi="ar-SA"/>
    </w:rPr>
  </w:style>
  <w:style w:type="paragraph" w:customStyle="1" w:styleId="aff2">
    <w:name w:val="آية"/>
    <w:basedOn w:val="Normal"/>
    <w:link w:val="Charf1"/>
    <w:rsid w:val="007A2759"/>
    <w:pPr>
      <w:widowControl/>
      <w:suppressLineNumbers/>
      <w:spacing w:line="240" w:lineRule="auto"/>
      <w:ind w:firstLine="397"/>
      <w:jc w:val="lowKashida"/>
    </w:pPr>
    <w:rPr>
      <w:rFonts w:ascii="Times New Roman" w:eastAsia="Batang" w:hAnsi="Times New Roman" w:cs="OthmaniNorm"/>
      <w:color w:val="000000"/>
      <w:sz w:val="32"/>
    </w:rPr>
  </w:style>
  <w:style w:type="character" w:customStyle="1" w:styleId="Charf1">
    <w:name w:val="آية Char"/>
    <w:link w:val="aff2"/>
    <w:locked/>
    <w:rsid w:val="007A2759"/>
    <w:rPr>
      <w:rFonts w:ascii="Times New Roman" w:eastAsia="Batang" w:hAnsi="Times New Roman" w:cs="OthmaniNorm"/>
      <w:color w:val="000000"/>
      <w:sz w:val="30"/>
      <w:szCs w:val="30"/>
      <w:lang w:bidi="ar-SA"/>
    </w:rPr>
  </w:style>
  <w:style w:type="paragraph" w:customStyle="1" w:styleId="213">
    <w:name w:val="نمط عنوان 2 + (لاتيني) ‏13 نقطة"/>
    <w:basedOn w:val="Heading2"/>
    <w:link w:val="213Char"/>
    <w:rsid w:val="007A2759"/>
    <w:pPr>
      <w:keepNext/>
      <w:spacing w:before="240" w:after="60" w:line="216" w:lineRule="auto"/>
    </w:pPr>
    <w:rPr>
      <w:rFonts w:ascii="Cambria" w:eastAsia="Batang" w:hAnsi="Cambria" w:cs="Times New Roman"/>
      <w:b/>
      <w:bCs/>
      <w:i/>
      <w:iCs/>
      <w:szCs w:val="28"/>
    </w:rPr>
  </w:style>
  <w:style w:type="character" w:customStyle="1" w:styleId="213Char">
    <w:name w:val="نمط عنوان 2 + (لاتيني) ‏13 نقطة Char"/>
    <w:link w:val="213"/>
    <w:locked/>
    <w:rsid w:val="007A2759"/>
    <w:rPr>
      <w:rFonts w:ascii="Cambria" w:eastAsia="Batang" w:hAnsi="Cambria" w:cs="Times New Roman"/>
      <w:b/>
      <w:bCs/>
      <w:i/>
      <w:iCs/>
      <w:color w:val="000000"/>
      <w:sz w:val="28"/>
      <w:szCs w:val="28"/>
      <w:lang w:val="en-US" w:eastAsia="en-US" w:bidi="ar-SA"/>
    </w:rPr>
  </w:style>
  <w:style w:type="paragraph" w:customStyle="1" w:styleId="3Abz-3Yagut145">
    <w:name w:val="نمط عنوان 3 + (العربية وغيرها) Abz-3 (Yagut) (لاتيني) ‏14.5 نقطة..."/>
    <w:basedOn w:val="Heading3"/>
    <w:link w:val="3Abz-3Yagut145Char"/>
    <w:rsid w:val="007A2759"/>
    <w:pPr>
      <w:keepNext/>
      <w:spacing w:before="240" w:after="60" w:line="216" w:lineRule="auto"/>
      <w:ind w:left="720" w:hanging="432"/>
    </w:pPr>
    <w:rPr>
      <w:rFonts w:ascii="Cambria" w:eastAsia="Batang" w:hAnsi="Cambria" w:cs="Times New Roman"/>
      <w:b/>
      <w:bCs/>
      <w:sz w:val="26"/>
      <w:szCs w:val="26"/>
    </w:rPr>
  </w:style>
  <w:style w:type="character" w:customStyle="1" w:styleId="3Abz-3Yagut145Char">
    <w:name w:val="نمط عنوان 3 + (العربية وغيرها) Abz-3 (Yagut) (لاتيني) ‏14.5 نقطة... Char"/>
    <w:link w:val="3Abz-3Yagut145"/>
    <w:locked/>
    <w:rsid w:val="007A2759"/>
    <w:rPr>
      <w:rFonts w:ascii="Cambria" w:eastAsia="Batang" w:hAnsi="Cambria" w:cs="Times New Roman"/>
      <w:b/>
      <w:bCs/>
      <w:color w:val="000000"/>
      <w:sz w:val="26"/>
      <w:szCs w:val="26"/>
      <w:lang w:bidi="ar-SA"/>
    </w:rPr>
  </w:style>
  <w:style w:type="paragraph" w:customStyle="1" w:styleId="aff3">
    <w:name w:val="اسم الآية"/>
    <w:basedOn w:val="ac"/>
    <w:link w:val="Charf2"/>
    <w:rsid w:val="007A2759"/>
  </w:style>
  <w:style w:type="character" w:customStyle="1" w:styleId="Charf2">
    <w:name w:val="اسم الآية Char"/>
    <w:basedOn w:val="Char"/>
    <w:link w:val="aff3"/>
    <w:locked/>
    <w:rsid w:val="007A2759"/>
    <w:rPr>
      <w:rFonts w:ascii="Arno Pro Display" w:eastAsia="Batang" w:hAnsi="Arno Pro Display" w:cs="Mosawi"/>
      <w:sz w:val="30"/>
      <w:szCs w:val="30"/>
    </w:rPr>
  </w:style>
  <w:style w:type="paragraph" w:customStyle="1" w:styleId="aff4">
    <w:name w:val="متن اسود مائل"/>
    <w:basedOn w:val="Heading3"/>
    <w:rsid w:val="007A2759"/>
    <w:pPr>
      <w:keepNext/>
      <w:spacing w:before="240" w:after="60" w:line="216" w:lineRule="auto"/>
      <w:ind w:left="720" w:hanging="432"/>
    </w:pPr>
    <w:rPr>
      <w:rFonts w:ascii="Cambria" w:eastAsia="Batang" w:hAnsi="Cambria" w:cs="Times New Roman"/>
      <w:b/>
      <w:bCs/>
      <w:color w:val="auto"/>
      <w:sz w:val="26"/>
      <w:szCs w:val="26"/>
    </w:rPr>
  </w:style>
  <w:style w:type="paragraph" w:customStyle="1" w:styleId="aff5">
    <w:name w:val="متن خاص"/>
    <w:basedOn w:val="ac"/>
    <w:rsid w:val="007A2759"/>
  </w:style>
  <w:style w:type="character" w:customStyle="1" w:styleId="aff6">
    <w:name w:val="أرقام الهامش ـ المتن"/>
    <w:rsid w:val="007A2759"/>
    <w:rPr>
      <w:rFonts w:ascii="Times New Roman" w:hAnsi="Times New Roman" w:cs="Taher"/>
      <w:sz w:val="32"/>
      <w:szCs w:val="32"/>
      <w:vertAlign w:val="superscript"/>
      <w:lang w:bidi="ar-SA"/>
    </w:rPr>
  </w:style>
  <w:style w:type="paragraph" w:customStyle="1" w:styleId="HeshamNormal1310">
    <w:name w:val="نمط اصلى + (العربية وغيرها) HeshamNormal (لاتيني) ‏13 نقطة (الع...1"/>
    <w:basedOn w:val="af8"/>
    <w:semiHidden/>
    <w:rsid w:val="007A2759"/>
    <w:pPr>
      <w:spacing w:line="418" w:lineRule="exact"/>
      <w:ind w:firstLine="567"/>
      <w:jc w:val="right"/>
    </w:pPr>
    <w:rPr>
      <w:rFonts w:cs="HeshamNormal"/>
      <w:bCs w:val="0"/>
      <w:sz w:val="26"/>
      <w:szCs w:val="30"/>
    </w:rPr>
  </w:style>
  <w:style w:type="paragraph" w:styleId="BodyText">
    <w:name w:val="Body Text"/>
    <w:basedOn w:val="Normal"/>
    <w:link w:val="BodyTextChar"/>
    <w:rsid w:val="007A2759"/>
    <w:pPr>
      <w:widowControl/>
      <w:spacing w:line="240" w:lineRule="auto"/>
      <w:ind w:firstLine="0"/>
      <w:jc w:val="lowKashida"/>
    </w:pPr>
    <w:rPr>
      <w:rFonts w:ascii="Times New Roman" w:eastAsia="Batang" w:hAnsi="Times New Roman" w:cs="Arabic Transparent"/>
      <w:lang w:eastAsia="ar-SA"/>
    </w:rPr>
  </w:style>
  <w:style w:type="character" w:customStyle="1" w:styleId="BodyTextChar">
    <w:name w:val="Body Text Char"/>
    <w:link w:val="BodyText"/>
    <w:locked/>
    <w:rsid w:val="007A2759"/>
    <w:rPr>
      <w:rFonts w:ascii="Times New Roman" w:eastAsia="Batang" w:hAnsi="Times New Roman" w:cs="Arabic Transparent"/>
      <w:sz w:val="28"/>
      <w:szCs w:val="28"/>
      <w:lang w:val="x-none" w:eastAsia="ar-SA" w:bidi="ar-SA"/>
    </w:rPr>
  </w:style>
  <w:style w:type="paragraph" w:styleId="NormalWeb">
    <w:name w:val="Normal (Web)"/>
    <w:basedOn w:val="Normal"/>
    <w:uiPriority w:val="99"/>
    <w:rsid w:val="007A2759"/>
    <w:pPr>
      <w:widowControl/>
      <w:bidi w:val="0"/>
      <w:spacing w:before="100" w:beforeAutospacing="1" w:after="100" w:afterAutospacing="1" w:line="240" w:lineRule="auto"/>
      <w:ind w:firstLine="0"/>
      <w:jc w:val="left"/>
    </w:pPr>
    <w:rPr>
      <w:rFonts w:ascii="Times New Roman" w:eastAsia="Batang" w:hAnsi="Times New Roman" w:cs="Times New Roman"/>
      <w:sz w:val="24"/>
      <w:szCs w:val="24"/>
      <w:lang w:eastAsia="ar-SA"/>
    </w:rPr>
  </w:style>
  <w:style w:type="paragraph" w:styleId="Subtitle">
    <w:name w:val="Subtitle"/>
    <w:basedOn w:val="Normal"/>
    <w:link w:val="SubtitleChar"/>
    <w:qFormat/>
    <w:rsid w:val="007A2759"/>
    <w:pPr>
      <w:widowControl/>
      <w:spacing w:line="380" w:lineRule="exact"/>
      <w:ind w:firstLine="0"/>
      <w:jc w:val="center"/>
    </w:pPr>
    <w:rPr>
      <w:rFonts w:ascii="Times New Roman" w:eastAsia="Batang" w:hAnsi="Times New Roman" w:cs="Traditional Arabic"/>
      <w:sz w:val="44"/>
      <w:szCs w:val="44"/>
      <w:lang w:eastAsia="ar-SA"/>
    </w:rPr>
  </w:style>
  <w:style w:type="character" w:customStyle="1" w:styleId="SubtitleChar">
    <w:name w:val="Subtitle Char"/>
    <w:link w:val="Subtitle"/>
    <w:locked/>
    <w:rsid w:val="007A2759"/>
    <w:rPr>
      <w:rFonts w:ascii="Times New Roman" w:eastAsia="Batang" w:hAnsi="Times New Roman" w:cs="Traditional Arabic"/>
      <w:sz w:val="44"/>
      <w:szCs w:val="44"/>
      <w:lang w:val="x-none" w:eastAsia="ar-SA" w:bidi="ar-SA"/>
    </w:rPr>
  </w:style>
  <w:style w:type="paragraph" w:styleId="BalloonText">
    <w:name w:val="Balloon Text"/>
    <w:basedOn w:val="Normal"/>
    <w:link w:val="BalloonTextChar"/>
    <w:rsid w:val="007A2759"/>
    <w:pPr>
      <w:widowControl/>
      <w:spacing w:line="240" w:lineRule="auto"/>
      <w:ind w:firstLine="0"/>
      <w:jc w:val="left"/>
    </w:pPr>
    <w:rPr>
      <w:rFonts w:ascii="Tahoma" w:eastAsia="Batang" w:hAnsi="Tahoma" w:cs="Tahoma"/>
      <w:sz w:val="16"/>
      <w:szCs w:val="16"/>
      <w:lang w:eastAsia="ar-SA"/>
    </w:rPr>
  </w:style>
  <w:style w:type="character" w:customStyle="1" w:styleId="BalloonTextChar">
    <w:name w:val="Balloon Text Char"/>
    <w:link w:val="BalloonText"/>
    <w:locked/>
    <w:rsid w:val="007A2759"/>
    <w:rPr>
      <w:rFonts w:ascii="Tahoma" w:eastAsia="Batang" w:hAnsi="Tahoma" w:cs="Tahoma"/>
      <w:sz w:val="16"/>
      <w:szCs w:val="16"/>
      <w:lang w:val="x-none" w:eastAsia="ar-SA" w:bidi="ar-SA"/>
    </w:rPr>
  </w:style>
  <w:style w:type="character" w:styleId="CommentReference">
    <w:name w:val="annotation reference"/>
    <w:rsid w:val="007A2759"/>
    <w:rPr>
      <w:rFonts w:cs="Times New Roman"/>
      <w:sz w:val="16"/>
      <w:szCs w:val="16"/>
    </w:rPr>
  </w:style>
  <w:style w:type="paragraph" w:styleId="CommentText">
    <w:name w:val="annotation text"/>
    <w:basedOn w:val="Normal"/>
    <w:link w:val="CommentTextChar"/>
    <w:rsid w:val="007A2759"/>
    <w:pPr>
      <w:widowControl/>
      <w:spacing w:line="240" w:lineRule="auto"/>
      <w:ind w:firstLine="0"/>
      <w:jc w:val="left"/>
    </w:pPr>
    <w:rPr>
      <w:rFonts w:ascii="Times New Roman" w:eastAsia="Batang" w:hAnsi="Times New Roman" w:cs="Times New Roman"/>
      <w:sz w:val="20"/>
      <w:szCs w:val="20"/>
      <w:lang w:eastAsia="ar-SA"/>
    </w:rPr>
  </w:style>
  <w:style w:type="character" w:customStyle="1" w:styleId="CommentTextChar">
    <w:name w:val="Comment Text Char"/>
    <w:link w:val="CommentText"/>
    <w:locked/>
    <w:rsid w:val="007A2759"/>
    <w:rPr>
      <w:rFonts w:ascii="Times New Roman" w:eastAsia="Batang" w:hAnsi="Times New Roman" w:cs="Times New Roman"/>
      <w:sz w:val="20"/>
      <w:szCs w:val="20"/>
      <w:lang w:val="x-none" w:eastAsia="ar-SA" w:bidi="ar-SA"/>
    </w:rPr>
  </w:style>
  <w:style w:type="paragraph" w:styleId="CommentSubject">
    <w:name w:val="annotation subject"/>
    <w:basedOn w:val="CommentText"/>
    <w:next w:val="CommentText"/>
    <w:link w:val="CommentSubjectChar"/>
    <w:rsid w:val="007A2759"/>
    <w:rPr>
      <w:b/>
      <w:bCs/>
    </w:rPr>
  </w:style>
  <w:style w:type="character" w:customStyle="1" w:styleId="CommentSubjectChar">
    <w:name w:val="Comment Subject Char"/>
    <w:link w:val="CommentSubject"/>
    <w:locked/>
    <w:rsid w:val="007A2759"/>
    <w:rPr>
      <w:rFonts w:ascii="Times New Roman" w:eastAsia="Batang" w:hAnsi="Times New Roman" w:cs="Times New Roman"/>
      <w:b/>
      <w:bCs/>
      <w:sz w:val="20"/>
      <w:szCs w:val="20"/>
      <w:lang w:val="x-none" w:eastAsia="ar-SA" w:bidi="ar-SA"/>
    </w:rPr>
  </w:style>
  <w:style w:type="paragraph" w:customStyle="1" w:styleId="aff7">
    <w:name w:val="عنوان"/>
    <w:next w:val="Normal"/>
    <w:autoRedefine/>
    <w:rsid w:val="007A2759"/>
    <w:pPr>
      <w:widowControl w:val="0"/>
      <w:bidi/>
      <w:spacing w:before="60" w:line="460" w:lineRule="exact"/>
      <w:jc w:val="center"/>
    </w:pPr>
    <w:rPr>
      <w:rFonts w:ascii="Times New Roman" w:eastAsia="Batang" w:hAnsi="Times New Roman" w:cs="HeshamNormal"/>
      <w:b/>
      <w:sz w:val="38"/>
      <w:szCs w:val="38"/>
      <w:lang w:eastAsia="ar-SA"/>
    </w:rPr>
  </w:style>
  <w:style w:type="paragraph" w:customStyle="1" w:styleId="21">
    <w:name w:val="عنوان2"/>
    <w:basedOn w:val="aff7"/>
    <w:autoRedefine/>
    <w:rsid w:val="007A2759"/>
    <w:pPr>
      <w:jc w:val="left"/>
    </w:pPr>
    <w:rPr>
      <w:sz w:val="32"/>
      <w:szCs w:val="24"/>
    </w:rPr>
  </w:style>
  <w:style w:type="paragraph" w:customStyle="1" w:styleId="aff8">
    <w:name w:val="نص"/>
    <w:basedOn w:val="21"/>
    <w:autoRedefine/>
    <w:rsid w:val="007A2759"/>
    <w:pPr>
      <w:ind w:firstLine="567"/>
      <w:jc w:val="lowKashida"/>
    </w:pPr>
    <w:rPr>
      <w:bCs/>
      <w:szCs w:val="32"/>
    </w:rPr>
  </w:style>
  <w:style w:type="paragraph" w:customStyle="1" w:styleId="aff9">
    <w:name w:val="العنوان الجانبي"/>
    <w:basedOn w:val="Heading2"/>
    <w:rsid w:val="007A2759"/>
    <w:pPr>
      <w:keepNext/>
      <w:spacing w:before="240" w:after="60" w:line="216" w:lineRule="auto"/>
    </w:pPr>
    <w:rPr>
      <w:rFonts w:ascii="Cambria" w:eastAsia="Batang" w:hAnsi="Cambria" w:cs="Times New Roman"/>
      <w:b/>
      <w:bCs/>
      <w:i/>
      <w:iCs/>
      <w:color w:val="auto"/>
      <w:szCs w:val="28"/>
    </w:rPr>
  </w:style>
  <w:style w:type="paragraph" w:customStyle="1" w:styleId="affa">
    <w:name w:val="العنوان الكبير"/>
    <w:basedOn w:val="Title"/>
    <w:rsid w:val="007A2759"/>
    <w:pPr>
      <w:spacing w:before="60" w:after="120" w:line="460" w:lineRule="exact"/>
      <w:ind w:firstLine="476"/>
      <w:jc w:val="left"/>
    </w:pPr>
    <w:rPr>
      <w:rFonts w:cs="HeshamNormal"/>
      <w:b w:val="0"/>
      <w:bCs w:val="0"/>
      <w:sz w:val="60"/>
      <w:szCs w:val="60"/>
    </w:rPr>
  </w:style>
  <w:style w:type="paragraph" w:customStyle="1" w:styleId="affb">
    <w:name w:val="تتمة العنوان السفلي"/>
    <w:basedOn w:val="Title"/>
    <w:rsid w:val="007A2759"/>
    <w:pPr>
      <w:spacing w:before="60" w:line="460" w:lineRule="exact"/>
      <w:ind w:firstLine="476"/>
      <w:jc w:val="left"/>
    </w:pPr>
    <w:rPr>
      <w:rFonts w:cs="HeshamNormal"/>
      <w:b w:val="0"/>
      <w:bCs w:val="0"/>
      <w:color w:val="808080"/>
      <w:sz w:val="28"/>
      <w:szCs w:val="28"/>
    </w:rPr>
  </w:style>
  <w:style w:type="paragraph" w:styleId="TOC3">
    <w:name w:val="toc 3"/>
    <w:basedOn w:val="Normal"/>
    <w:next w:val="Normal"/>
    <w:autoRedefine/>
    <w:uiPriority w:val="39"/>
    <w:qFormat/>
    <w:rsid w:val="00D628B6"/>
    <w:pPr>
      <w:bidi w:val="0"/>
      <w:ind w:left="288" w:firstLine="0"/>
      <w:jc w:val="left"/>
    </w:pPr>
    <w:rPr>
      <w:rFonts w:asciiTheme="minorHAnsi" w:hAnsiTheme="minorHAnsi" w:cstheme="minorHAnsi"/>
      <w:sz w:val="20"/>
      <w:szCs w:val="24"/>
    </w:rPr>
  </w:style>
  <w:style w:type="paragraph" w:styleId="TOC1">
    <w:name w:val="toc 1"/>
    <w:basedOn w:val="Normal"/>
    <w:next w:val="Normal"/>
    <w:uiPriority w:val="39"/>
    <w:qFormat/>
    <w:rsid w:val="006A1C40"/>
    <w:pPr>
      <w:bidi w:val="0"/>
      <w:spacing w:before="360"/>
      <w:jc w:val="left"/>
    </w:pPr>
    <w:rPr>
      <w:rFonts w:asciiTheme="majorHAnsi" w:hAnsiTheme="majorHAnsi" w:cs="Times New Roman"/>
      <w:b/>
      <w:bCs/>
      <w:caps/>
      <w:sz w:val="24"/>
    </w:rPr>
  </w:style>
  <w:style w:type="character" w:styleId="Hyperlink">
    <w:name w:val="Hyperlink"/>
    <w:uiPriority w:val="99"/>
    <w:rsid w:val="007A2759"/>
    <w:rPr>
      <w:rFonts w:cs="Times New Roman"/>
      <w:color w:val="0000FF"/>
      <w:u w:val="single"/>
    </w:rPr>
  </w:style>
  <w:style w:type="paragraph" w:customStyle="1" w:styleId="133">
    <w:name w:val="نمط بقلم وترجمة + (لاتيني) ‏13 نقطة مضبوطة"/>
    <w:basedOn w:val="afa"/>
    <w:autoRedefine/>
    <w:rsid w:val="007A2759"/>
    <w:pPr>
      <w:jc w:val="right"/>
    </w:pPr>
    <w:rPr>
      <w:sz w:val="26"/>
    </w:rPr>
  </w:style>
  <w:style w:type="paragraph" w:customStyle="1" w:styleId="SimplifiedArabic13">
    <w:name w:val="نمط بقلم وترجمة + (لاتيني) Simplified Arabic (لاتيني) ‏13 نقطة ..."/>
    <w:basedOn w:val="afa"/>
    <w:autoRedefine/>
    <w:rsid w:val="007A2759"/>
    <w:pPr>
      <w:jc w:val="right"/>
    </w:pPr>
    <w:rPr>
      <w:rFonts w:ascii="Simplified Arabic" w:hAnsi="Simplified Arabic"/>
      <w:sz w:val="26"/>
    </w:rPr>
  </w:style>
  <w:style w:type="paragraph" w:customStyle="1" w:styleId="HEADING1130">
    <w:name w:val="نمط HEADING 1 + (لاتيني) ‏13 نقطة قبل:  0 نقطة تباعد الأسطر:  ت..."/>
    <w:basedOn w:val="HEADING1Char0"/>
    <w:rsid w:val="007A2759"/>
    <w:pPr>
      <w:spacing w:before="0" w:line="450" w:lineRule="exact"/>
    </w:pPr>
    <w:rPr>
      <w:sz w:val="26"/>
    </w:rPr>
  </w:style>
  <w:style w:type="character" w:customStyle="1" w:styleId="HeshamNormal132">
    <w:name w:val="نمط (العربية وغيرها) HeshamNormal (لاتيني) ‏13 نقطة (العربية وغ..."/>
    <w:rsid w:val="007A2759"/>
    <w:rPr>
      <w:rFonts w:cs="HeshamNormal"/>
      <w:color w:val="808080"/>
      <w:sz w:val="28"/>
      <w:szCs w:val="28"/>
      <w:lang w:bidi="ar-SA"/>
    </w:rPr>
  </w:style>
  <w:style w:type="paragraph" w:styleId="BodyTextIndent">
    <w:name w:val="Body Text Indent"/>
    <w:basedOn w:val="Normal"/>
    <w:link w:val="BodyTextIndentChar"/>
    <w:rsid w:val="007A2759"/>
    <w:pPr>
      <w:spacing w:line="240" w:lineRule="auto"/>
      <w:jc w:val="lowKashida"/>
    </w:pPr>
    <w:rPr>
      <w:rFonts w:ascii="Times New Roman" w:eastAsia="Batang" w:hAnsi="Times New Roman" w:cs="Times New Roman"/>
      <w:color w:val="800000"/>
    </w:rPr>
  </w:style>
  <w:style w:type="character" w:customStyle="1" w:styleId="BodyTextIndentChar">
    <w:name w:val="Body Text Indent Char"/>
    <w:link w:val="BodyTextIndent"/>
    <w:locked/>
    <w:rsid w:val="007A2759"/>
    <w:rPr>
      <w:rFonts w:ascii="Times New Roman" w:eastAsia="Batang" w:hAnsi="Times New Roman" w:cs="Times New Roman"/>
      <w:color w:val="800000"/>
      <w:sz w:val="28"/>
      <w:szCs w:val="28"/>
    </w:rPr>
  </w:style>
  <w:style w:type="paragraph" w:styleId="BodyTextIndent2">
    <w:name w:val="Body Text Indent 2"/>
    <w:basedOn w:val="Normal"/>
    <w:link w:val="BodyTextIndent2Char"/>
    <w:rsid w:val="007A2759"/>
    <w:pPr>
      <w:spacing w:line="240" w:lineRule="auto"/>
      <w:jc w:val="lowKashida"/>
    </w:pPr>
    <w:rPr>
      <w:rFonts w:ascii="Times New Roman" w:eastAsia="Batang" w:hAnsi="Times New Roman" w:cs="Simplified Arabic"/>
      <w:b/>
      <w:bCs/>
      <w:color w:val="800000"/>
      <w:sz w:val="20"/>
    </w:rPr>
  </w:style>
  <w:style w:type="character" w:customStyle="1" w:styleId="BodyTextIndent2Char">
    <w:name w:val="Body Text Indent 2 Char"/>
    <w:link w:val="BodyTextIndent2"/>
    <w:locked/>
    <w:rsid w:val="007A2759"/>
    <w:rPr>
      <w:rFonts w:ascii="Times New Roman" w:eastAsia="Batang" w:hAnsi="Times New Roman" w:cs="Simplified Arabic"/>
      <w:b/>
      <w:bCs/>
      <w:color w:val="800000"/>
      <w:sz w:val="28"/>
      <w:szCs w:val="28"/>
      <w:lang w:bidi="ar-SA"/>
    </w:rPr>
  </w:style>
  <w:style w:type="paragraph" w:styleId="BodyText3">
    <w:name w:val="Body Text 3"/>
    <w:basedOn w:val="Normal"/>
    <w:link w:val="BodyText3Char"/>
    <w:rsid w:val="007A2759"/>
    <w:pPr>
      <w:spacing w:line="240" w:lineRule="auto"/>
      <w:ind w:firstLine="0"/>
      <w:jc w:val="lowKashida"/>
    </w:pPr>
    <w:rPr>
      <w:rFonts w:ascii="MS Sans Serif" w:eastAsia="Batang" w:hAnsi="MS Sans Serif" w:cs="Simplified Arabic"/>
      <w:sz w:val="24"/>
      <w:szCs w:val="27"/>
    </w:rPr>
  </w:style>
  <w:style w:type="character" w:customStyle="1" w:styleId="BodyText3Char">
    <w:name w:val="Body Text 3 Char"/>
    <w:link w:val="BodyText3"/>
    <w:locked/>
    <w:rsid w:val="007A2759"/>
    <w:rPr>
      <w:rFonts w:ascii="MS Sans Serif" w:eastAsia="Batang" w:hAnsi="MS Sans Serif" w:cs="Simplified Arabic"/>
      <w:sz w:val="27"/>
      <w:szCs w:val="27"/>
      <w:lang w:bidi="ar-SA"/>
    </w:rPr>
  </w:style>
  <w:style w:type="paragraph" w:styleId="BodyTextIndent3">
    <w:name w:val="Body Text Indent 3"/>
    <w:basedOn w:val="Normal"/>
    <w:link w:val="BodyTextIndent3Char"/>
    <w:rsid w:val="007A2759"/>
    <w:pPr>
      <w:spacing w:line="240" w:lineRule="auto"/>
      <w:jc w:val="lowKashida"/>
    </w:pPr>
    <w:rPr>
      <w:rFonts w:ascii="Times New Roman" w:eastAsia="Batang" w:hAnsi="Times New Roman" w:cs="Simplified Arabic"/>
    </w:rPr>
  </w:style>
  <w:style w:type="character" w:customStyle="1" w:styleId="BodyTextIndent3Char">
    <w:name w:val="Body Text Indent 3 Char"/>
    <w:link w:val="BodyTextIndent3"/>
    <w:locked/>
    <w:rsid w:val="007A2759"/>
    <w:rPr>
      <w:rFonts w:ascii="Times New Roman" w:eastAsia="Batang" w:hAnsi="Times New Roman" w:cs="Simplified Arabic"/>
      <w:sz w:val="28"/>
      <w:szCs w:val="28"/>
      <w:lang w:bidi="ar-SA"/>
    </w:rPr>
  </w:style>
  <w:style w:type="paragraph" w:styleId="BlockText">
    <w:name w:val="Block Text"/>
    <w:basedOn w:val="Normal"/>
    <w:rsid w:val="007A2759"/>
    <w:pPr>
      <w:widowControl/>
      <w:spacing w:line="240" w:lineRule="auto"/>
      <w:ind w:left="560" w:right="1843" w:firstLine="0"/>
      <w:jc w:val="lowKashida"/>
    </w:pPr>
    <w:rPr>
      <w:rFonts w:ascii="Simplified Arabic" w:eastAsia="Batang" w:hAnsi="Simplified Arabic" w:cs="Simplified Arabic"/>
    </w:rPr>
  </w:style>
  <w:style w:type="character" w:customStyle="1" w:styleId="usertext1">
    <w:name w:val="usertext1"/>
    <w:rsid w:val="007A2759"/>
    <w:rPr>
      <w:rFonts w:ascii="Arial" w:hAnsi="Arial" w:cs="Arial"/>
      <w:sz w:val="20"/>
      <w:szCs w:val="20"/>
    </w:rPr>
  </w:style>
  <w:style w:type="character" w:styleId="FollowedHyperlink">
    <w:name w:val="FollowedHyperlink"/>
    <w:rsid w:val="007A2759"/>
    <w:rPr>
      <w:rFonts w:cs="Times New Roman"/>
      <w:color w:val="800080"/>
      <w:u w:val="single"/>
    </w:rPr>
  </w:style>
  <w:style w:type="paragraph" w:customStyle="1" w:styleId="14">
    <w:name w:val="تيتر1"/>
    <w:link w:val="15"/>
    <w:rsid w:val="007A2759"/>
    <w:pPr>
      <w:autoSpaceDE w:val="0"/>
      <w:autoSpaceDN w:val="0"/>
      <w:bidi/>
      <w:spacing w:line="399" w:lineRule="atLeast"/>
      <w:jc w:val="both"/>
    </w:pPr>
    <w:rPr>
      <w:rFonts w:ascii="Times New Roman" w:eastAsia="Batang" w:hAnsi="Times New Roman" w:cs="Times New Roman"/>
      <w:bCs/>
      <w:sz w:val="18"/>
      <w:szCs w:val="32"/>
      <w:lang w:eastAsia="ar-SA"/>
    </w:rPr>
  </w:style>
  <w:style w:type="paragraph" w:customStyle="1" w:styleId="1301">
    <w:name w:val="نمط نمط العنوان الجانبي اساس + (لاتيني) ‏13 نقطة قبل:  0 نقطة تبا..."/>
    <w:basedOn w:val="1300"/>
    <w:link w:val="130Char0"/>
    <w:rsid w:val="007A2759"/>
    <w:pPr>
      <w:spacing w:line="460" w:lineRule="exact"/>
    </w:pPr>
    <w:rPr>
      <w:rFonts w:cs="Times New Roman"/>
    </w:rPr>
  </w:style>
  <w:style w:type="paragraph" w:customStyle="1" w:styleId="22">
    <w:name w:val="2"/>
    <w:basedOn w:val="Normal"/>
    <w:next w:val="Subtitle"/>
    <w:rsid w:val="007A2759"/>
    <w:pPr>
      <w:spacing w:line="240" w:lineRule="auto"/>
      <w:ind w:firstLine="0"/>
      <w:jc w:val="center"/>
    </w:pPr>
    <w:rPr>
      <w:rFonts w:ascii="Times New Roman" w:eastAsia="Batang" w:hAnsi="Times New Roman" w:cs="PT Bold Heading"/>
      <w:bCs/>
      <w:noProof/>
      <w:sz w:val="34"/>
      <w:szCs w:val="36"/>
      <w:lang w:eastAsia="ar-SA"/>
    </w:rPr>
  </w:style>
  <w:style w:type="paragraph" w:customStyle="1" w:styleId="122">
    <w:name w:val="نمط مضبوطة السطر الأول:  1 سم تباعد الأسطر:  تام 22 نقطة"/>
    <w:basedOn w:val="Normal"/>
    <w:rsid w:val="007A2759"/>
    <w:pPr>
      <w:bidi w:val="0"/>
      <w:spacing w:line="440" w:lineRule="exact"/>
      <w:ind w:firstLine="567"/>
    </w:pPr>
    <w:rPr>
      <w:rFonts w:ascii="MS Sans Serif" w:eastAsia="Batang" w:hAnsi="MS Sans Serif" w:cs="AL-Mohanad"/>
      <w:bCs/>
      <w:noProof/>
      <w:sz w:val="20"/>
      <w:lang w:eastAsia="ar-SA"/>
    </w:rPr>
  </w:style>
  <w:style w:type="paragraph" w:customStyle="1" w:styleId="Normal0">
    <w:name w:val="نمط Normal +"/>
    <w:basedOn w:val="Normal"/>
    <w:rsid w:val="007A2759"/>
    <w:pPr>
      <w:widowControl/>
      <w:bidi w:val="0"/>
      <w:spacing w:line="240" w:lineRule="auto"/>
      <w:ind w:firstLine="567"/>
    </w:pPr>
    <w:rPr>
      <w:rFonts w:ascii="MS Sans Serif" w:eastAsia="Batang" w:hAnsi="MS Sans Serif" w:cs="AL-Mohanad"/>
      <w:bCs/>
      <w:noProof/>
      <w:sz w:val="20"/>
      <w:lang w:eastAsia="ar-SA"/>
    </w:rPr>
  </w:style>
  <w:style w:type="paragraph" w:customStyle="1" w:styleId="1230">
    <w:name w:val="نمط مضبوطة السطر الأول:  1 سم تباعد الأسطر:  تام 23 نقطة"/>
    <w:basedOn w:val="Normal"/>
    <w:rsid w:val="007A2759"/>
    <w:pPr>
      <w:widowControl/>
      <w:bidi w:val="0"/>
      <w:spacing w:line="460" w:lineRule="exact"/>
      <w:ind w:firstLine="567"/>
    </w:pPr>
    <w:rPr>
      <w:rFonts w:ascii="MS Sans Serif" w:eastAsia="Batang" w:hAnsi="MS Sans Serif" w:cs="AL-Mohanad"/>
      <w:noProof/>
      <w:sz w:val="20"/>
      <w:lang w:eastAsia="ar-SA"/>
    </w:rPr>
  </w:style>
  <w:style w:type="paragraph" w:styleId="DocumentMap">
    <w:name w:val="Document Map"/>
    <w:basedOn w:val="Normal"/>
    <w:link w:val="DocumentMapChar"/>
    <w:rsid w:val="007A2759"/>
    <w:pPr>
      <w:widowControl/>
      <w:shd w:val="clear" w:color="auto" w:fill="000080"/>
      <w:spacing w:line="240" w:lineRule="auto"/>
      <w:ind w:firstLine="0"/>
      <w:jc w:val="left"/>
    </w:pPr>
    <w:rPr>
      <w:rFonts w:ascii="Tahoma" w:eastAsia="Batang" w:hAnsi="Tahoma" w:cs="Tahoma"/>
      <w:sz w:val="24"/>
      <w:szCs w:val="24"/>
      <w:lang w:eastAsia="ar-SA"/>
    </w:rPr>
  </w:style>
  <w:style w:type="character" w:customStyle="1" w:styleId="DocumentMapChar">
    <w:name w:val="Document Map Char"/>
    <w:link w:val="DocumentMap"/>
    <w:locked/>
    <w:rsid w:val="007A2759"/>
    <w:rPr>
      <w:rFonts w:ascii="Tahoma" w:eastAsia="Batang" w:hAnsi="Tahoma" w:cs="Tahoma"/>
      <w:sz w:val="24"/>
      <w:szCs w:val="24"/>
      <w:shd w:val="clear" w:color="auto" w:fill="000080"/>
      <w:lang w:val="x-none" w:eastAsia="ar-SA" w:bidi="ar-SA"/>
    </w:rPr>
  </w:style>
  <w:style w:type="paragraph" w:customStyle="1" w:styleId="16">
    <w:name w:val="1"/>
    <w:basedOn w:val="Normal"/>
    <w:next w:val="Subtitle"/>
    <w:rsid w:val="007A2759"/>
    <w:pPr>
      <w:spacing w:line="240" w:lineRule="auto"/>
      <w:ind w:firstLine="0"/>
      <w:jc w:val="center"/>
    </w:pPr>
    <w:rPr>
      <w:rFonts w:ascii="Times New Roman" w:eastAsia="Batang" w:hAnsi="Times New Roman" w:cs="PT Bold Heading"/>
      <w:bCs/>
      <w:noProof/>
      <w:sz w:val="34"/>
      <w:szCs w:val="36"/>
      <w:lang w:eastAsia="ar-SA"/>
    </w:rPr>
  </w:style>
  <w:style w:type="paragraph" w:customStyle="1" w:styleId="HEADING10225">
    <w:name w:val="نمط HEADING 1 + قبل:  0 نقطة تباعد الأسطر:  تام 22.5 نقطة"/>
    <w:basedOn w:val="Heading11"/>
    <w:rsid w:val="007A2759"/>
    <w:pPr>
      <w:spacing w:before="0" w:line="450" w:lineRule="exact"/>
    </w:pPr>
  </w:style>
  <w:style w:type="paragraph" w:customStyle="1" w:styleId="13010">
    <w:name w:val="نمط نمط العنوان الجانبي اساس + (لاتيني) ‏13 نقطة قبل:  0 نقطة تبا...1"/>
    <w:basedOn w:val="1300"/>
    <w:rsid w:val="007A2759"/>
    <w:pPr>
      <w:spacing w:line="418" w:lineRule="exact"/>
    </w:pPr>
    <w:rPr>
      <w:color w:val="auto"/>
    </w:rPr>
  </w:style>
  <w:style w:type="paragraph" w:customStyle="1" w:styleId="HEADING102250">
    <w:name w:val="نمط نمط HEADING 1 + قبل:  0 نقطة تباعد الأسطر:  تام 22.5 نقطة + ت..."/>
    <w:basedOn w:val="HEADING10225"/>
    <w:rsid w:val="007A2759"/>
    <w:pPr>
      <w:spacing w:line="418" w:lineRule="exact"/>
    </w:pPr>
  </w:style>
  <w:style w:type="paragraph" w:customStyle="1" w:styleId="7">
    <w:name w:val="نمط عنوان 7 + (مركب) غامق"/>
    <w:basedOn w:val="Heading7"/>
    <w:link w:val="7Char"/>
    <w:rsid w:val="007A2759"/>
  </w:style>
  <w:style w:type="character" w:customStyle="1" w:styleId="7Char">
    <w:name w:val="نمط عنوان 7 + (مركب) غامق Char"/>
    <w:basedOn w:val="Heading7Char"/>
    <w:link w:val="7"/>
    <w:locked/>
    <w:rsid w:val="007A2759"/>
    <w:rPr>
      <w:rFonts w:ascii="Cambria" w:hAnsi="Cambria" w:cs="Times New Roman"/>
      <w:i/>
      <w:iCs/>
      <w:color w:val="404040"/>
      <w:sz w:val="28"/>
      <w:szCs w:val="28"/>
    </w:rPr>
  </w:style>
  <w:style w:type="paragraph" w:customStyle="1" w:styleId="710">
    <w:name w:val="نمط عنوان 7 + (العربية وغيرها) ‏10 نقطة (مركب) غامق أسود"/>
    <w:basedOn w:val="Heading7"/>
    <w:rsid w:val="007A2759"/>
  </w:style>
  <w:style w:type="paragraph" w:styleId="TOC2">
    <w:name w:val="toc 2"/>
    <w:basedOn w:val="Normal"/>
    <w:next w:val="Normal"/>
    <w:uiPriority w:val="39"/>
    <w:qFormat/>
    <w:rsid w:val="00D628B6"/>
    <w:pPr>
      <w:bidi w:val="0"/>
      <w:ind w:firstLine="0"/>
      <w:jc w:val="left"/>
    </w:pPr>
    <w:rPr>
      <w:rFonts w:asciiTheme="minorHAnsi" w:hAnsiTheme="minorHAnsi" w:cstheme="minorHAnsi"/>
      <w:b/>
      <w:bCs/>
      <w:sz w:val="20"/>
      <w:szCs w:val="24"/>
    </w:rPr>
  </w:style>
  <w:style w:type="paragraph" w:customStyle="1" w:styleId="17">
    <w:name w:val="نمط نمط نمط نمط نمط عنوان 1 + + + + مضبوطة + + اليمين لليسار"/>
    <w:basedOn w:val="Normal"/>
    <w:semiHidden/>
    <w:rsid w:val="007A2759"/>
    <w:pPr>
      <w:spacing w:line="460" w:lineRule="exact"/>
      <w:ind w:right="1077" w:firstLine="0"/>
      <w:jc w:val="center"/>
    </w:pPr>
    <w:rPr>
      <w:rFonts w:ascii="Times New Roman" w:eastAsia="Batang" w:hAnsi="Times New Roman" w:cs="HeshamNormal"/>
      <w:sz w:val="26"/>
      <w:szCs w:val="50"/>
      <w:lang w:eastAsia="ar-SA"/>
    </w:rPr>
  </w:style>
  <w:style w:type="character" w:customStyle="1" w:styleId="affc">
    <w:name w:val="آيات القرآن الكريم"/>
    <w:rsid w:val="007A2759"/>
    <w:rPr>
      <w:rFonts w:cs="md_ameli"/>
      <w:bCs/>
      <w:lang w:bidi="ar-SA"/>
    </w:rPr>
  </w:style>
  <w:style w:type="paragraph" w:styleId="TOC4">
    <w:name w:val="toc 4"/>
    <w:basedOn w:val="Normal"/>
    <w:next w:val="Normal"/>
    <w:uiPriority w:val="39"/>
    <w:rsid w:val="00D628B6"/>
    <w:pPr>
      <w:bidi w:val="0"/>
      <w:ind w:left="562" w:firstLine="0"/>
      <w:jc w:val="left"/>
    </w:pPr>
    <w:rPr>
      <w:rFonts w:asciiTheme="minorHAnsi" w:hAnsiTheme="minorHAnsi" w:cstheme="minorHAnsi"/>
      <w:sz w:val="20"/>
      <w:szCs w:val="24"/>
    </w:rPr>
  </w:style>
  <w:style w:type="paragraph" w:styleId="TOC5">
    <w:name w:val="toc 5"/>
    <w:basedOn w:val="Normal"/>
    <w:next w:val="Normal"/>
    <w:autoRedefine/>
    <w:uiPriority w:val="39"/>
    <w:rsid w:val="00D628B6"/>
    <w:pPr>
      <w:tabs>
        <w:tab w:val="right" w:leader="dot" w:pos="7461"/>
      </w:tabs>
      <w:ind w:left="835" w:firstLine="0"/>
      <w:jc w:val="left"/>
    </w:pPr>
    <w:rPr>
      <w:rFonts w:ascii="Mosawi" w:hAnsi="Mosawi"/>
      <w:noProof/>
      <w:sz w:val="26"/>
      <w:szCs w:val="26"/>
    </w:rPr>
  </w:style>
  <w:style w:type="paragraph" w:styleId="TOC6">
    <w:name w:val="toc 6"/>
    <w:basedOn w:val="Normal"/>
    <w:next w:val="Normal"/>
    <w:autoRedefine/>
    <w:uiPriority w:val="39"/>
    <w:rsid w:val="007A2759"/>
    <w:pPr>
      <w:bidi w:val="0"/>
      <w:ind w:left="1120"/>
      <w:jc w:val="left"/>
    </w:pPr>
    <w:rPr>
      <w:rFonts w:asciiTheme="minorHAnsi" w:hAnsiTheme="minorHAnsi" w:cstheme="minorHAnsi"/>
      <w:sz w:val="20"/>
      <w:szCs w:val="24"/>
    </w:rPr>
  </w:style>
  <w:style w:type="paragraph" w:styleId="TOC7">
    <w:name w:val="toc 7"/>
    <w:basedOn w:val="Normal"/>
    <w:next w:val="Normal"/>
    <w:autoRedefine/>
    <w:uiPriority w:val="39"/>
    <w:rsid w:val="007A2759"/>
    <w:pPr>
      <w:bidi w:val="0"/>
      <w:ind w:left="1400"/>
      <w:jc w:val="left"/>
    </w:pPr>
    <w:rPr>
      <w:rFonts w:asciiTheme="minorHAnsi" w:hAnsiTheme="minorHAnsi" w:cstheme="minorHAnsi"/>
      <w:sz w:val="20"/>
      <w:szCs w:val="24"/>
    </w:rPr>
  </w:style>
  <w:style w:type="paragraph" w:styleId="TOC8">
    <w:name w:val="toc 8"/>
    <w:basedOn w:val="Normal"/>
    <w:next w:val="Normal"/>
    <w:autoRedefine/>
    <w:uiPriority w:val="39"/>
    <w:rsid w:val="007A2759"/>
    <w:pPr>
      <w:bidi w:val="0"/>
      <w:ind w:left="1680"/>
      <w:jc w:val="left"/>
    </w:pPr>
    <w:rPr>
      <w:rFonts w:asciiTheme="minorHAnsi" w:hAnsiTheme="minorHAnsi" w:cstheme="minorHAnsi"/>
      <w:sz w:val="20"/>
      <w:szCs w:val="24"/>
    </w:rPr>
  </w:style>
  <w:style w:type="paragraph" w:styleId="TOC9">
    <w:name w:val="toc 9"/>
    <w:basedOn w:val="Normal"/>
    <w:next w:val="Normal"/>
    <w:autoRedefine/>
    <w:uiPriority w:val="39"/>
    <w:rsid w:val="007A2759"/>
    <w:pPr>
      <w:bidi w:val="0"/>
      <w:ind w:left="1960"/>
      <w:jc w:val="left"/>
    </w:pPr>
    <w:rPr>
      <w:rFonts w:asciiTheme="minorHAnsi" w:hAnsiTheme="minorHAnsi" w:cstheme="minorHAnsi"/>
      <w:sz w:val="20"/>
      <w:szCs w:val="24"/>
    </w:rPr>
  </w:style>
  <w:style w:type="character" w:customStyle="1" w:styleId="affd">
    <w:name w:val="الآيات القرآنية"/>
    <w:rsid w:val="007A2759"/>
    <w:rPr>
      <w:rFonts w:cs="md_ameli"/>
      <w:bCs/>
      <w:sz w:val="28"/>
      <w:szCs w:val="28"/>
      <w:lang w:bidi="ar-SA"/>
    </w:rPr>
  </w:style>
  <w:style w:type="character" w:customStyle="1" w:styleId="Char5">
    <w:name w:val="متن الهامش Char"/>
    <w:link w:val="af3"/>
    <w:locked/>
    <w:rsid w:val="007A2759"/>
    <w:rPr>
      <w:rFonts w:ascii="Times New Roman" w:eastAsia="Batang" w:hAnsi="Times New Roman" w:cs="Mosawi"/>
      <w:sz w:val="26"/>
      <w:szCs w:val="26"/>
    </w:rPr>
  </w:style>
  <w:style w:type="paragraph" w:customStyle="1" w:styleId="affe">
    <w:name w:val="اسم الدرس ـ فوق الفهرس"/>
    <w:basedOn w:val="Normal"/>
    <w:rsid w:val="007A2759"/>
    <w:pPr>
      <w:spacing w:line="240" w:lineRule="auto"/>
      <w:ind w:firstLine="0"/>
      <w:jc w:val="center"/>
    </w:pPr>
    <w:rPr>
      <w:rFonts w:ascii="Times New Roman" w:eastAsia="Batang" w:hAnsi="Times New Roman" w:cs="Al-Ghadeer Bold"/>
      <w:b/>
      <w:sz w:val="24"/>
      <w:szCs w:val="56"/>
    </w:rPr>
  </w:style>
  <w:style w:type="paragraph" w:customStyle="1" w:styleId="afff">
    <w:name w:val="رقم الدرس ـ فوق الفهرس"/>
    <w:basedOn w:val="Normal"/>
    <w:rsid w:val="007A2759"/>
    <w:pPr>
      <w:ind w:firstLine="0"/>
      <w:jc w:val="center"/>
    </w:pPr>
    <w:rPr>
      <w:rFonts w:ascii="Times New Roman" w:eastAsia="Batang" w:hAnsi="Times New Roman"/>
      <w:b/>
      <w:bCs/>
      <w:szCs w:val="32"/>
    </w:rPr>
  </w:style>
  <w:style w:type="paragraph" w:customStyle="1" w:styleId="afff0">
    <w:name w:val="موضوع الدرس ـ فوق الفهرس"/>
    <w:basedOn w:val="Normal"/>
    <w:rsid w:val="007A2759"/>
    <w:pPr>
      <w:ind w:firstLine="0"/>
      <w:jc w:val="center"/>
    </w:pPr>
    <w:rPr>
      <w:rFonts w:ascii="Times New Roman" w:eastAsia="Batang" w:hAnsi="Times New Roman"/>
      <w:b/>
      <w:bCs/>
      <w:sz w:val="32"/>
      <w:szCs w:val="36"/>
    </w:rPr>
  </w:style>
  <w:style w:type="paragraph" w:customStyle="1" w:styleId="afff1">
    <w:name w:val="الملاحق ـ المتن"/>
    <w:basedOn w:val="Heading1"/>
    <w:rsid w:val="007A2759"/>
    <w:pPr>
      <w:keepLines w:val="0"/>
    </w:pPr>
    <w:rPr>
      <w:rFonts w:ascii="Times New Roman" w:eastAsia="Batang" w:hAnsi="Times New Roman" w:cs="Abz-3 (Yagut)"/>
      <w:bCs/>
      <w:kern w:val="32"/>
      <w:sz w:val="28"/>
      <w:szCs w:val="36"/>
    </w:rPr>
  </w:style>
  <w:style w:type="character" w:customStyle="1" w:styleId="afff2">
    <w:name w:val="الجواب"/>
    <w:rsid w:val="007A2759"/>
    <w:rPr>
      <w:rFonts w:ascii="Times New Roman" w:hAnsi="Times New Roman" w:cs="Mosawi"/>
      <w:color w:val="FF0000"/>
      <w:sz w:val="28"/>
      <w:szCs w:val="28"/>
      <w:vertAlign w:val="baseline"/>
    </w:rPr>
  </w:style>
  <w:style w:type="paragraph" w:customStyle="1" w:styleId="afff3">
    <w:name w:val="أجوبة الأسئلة النهائية"/>
    <w:basedOn w:val="Normal"/>
    <w:rsid w:val="007A2759"/>
    <w:pPr>
      <w:ind w:left="567" w:firstLine="0"/>
    </w:pPr>
    <w:rPr>
      <w:rFonts w:ascii="Times New Roman" w:eastAsia="Batang" w:hAnsi="Times New Roman"/>
      <w:color w:val="FF0000"/>
      <w:sz w:val="24"/>
    </w:rPr>
  </w:style>
  <w:style w:type="paragraph" w:customStyle="1" w:styleId="18">
    <w:name w:val="المتن مع فاصلة 1 سم"/>
    <w:basedOn w:val="Normal"/>
    <w:rsid w:val="007A2759"/>
    <w:pPr>
      <w:ind w:left="624" w:firstLine="0"/>
    </w:pPr>
    <w:rPr>
      <w:rFonts w:ascii="Times New Roman" w:eastAsia="Batang" w:hAnsi="Times New Roman"/>
      <w:sz w:val="24"/>
    </w:rPr>
  </w:style>
  <w:style w:type="character" w:customStyle="1" w:styleId="afff4">
    <w:name w:val="اسم الكتاب ـ المتن"/>
    <w:rsid w:val="007A2759"/>
    <w:rPr>
      <w:rFonts w:ascii="Times New Roman" w:hAnsi="Times New Roman" w:cs="Mosawi"/>
      <w:i/>
      <w:iCs/>
      <w:sz w:val="28"/>
      <w:szCs w:val="28"/>
    </w:rPr>
  </w:style>
  <w:style w:type="character" w:customStyle="1" w:styleId="afff5">
    <w:name w:val="اسم الكتاب ـ الهامش"/>
    <w:rsid w:val="007A2759"/>
    <w:rPr>
      <w:rFonts w:ascii="Times New Roman" w:hAnsi="Times New Roman" w:cs="Mosawi"/>
      <w:i/>
      <w:iCs/>
      <w:sz w:val="24"/>
      <w:szCs w:val="24"/>
    </w:rPr>
  </w:style>
  <w:style w:type="character" w:customStyle="1" w:styleId="afff6">
    <w:name w:val="أقوال المعصومين"/>
    <w:rsid w:val="007A2759"/>
    <w:rPr>
      <w:rFonts w:ascii="Times New Roman" w:hAnsi="Times New Roman" w:cs="Mosawi"/>
      <w:b/>
      <w:bCs/>
      <w:sz w:val="28"/>
      <w:szCs w:val="28"/>
    </w:rPr>
  </w:style>
  <w:style w:type="paragraph" w:customStyle="1" w:styleId="afff7">
    <w:name w:val="الترقيم الحرفي"/>
    <w:basedOn w:val="Normal"/>
    <w:rsid w:val="007A2759"/>
    <w:pPr>
      <w:ind w:left="624" w:hanging="340"/>
    </w:pPr>
    <w:rPr>
      <w:rFonts w:ascii="Times New Roman" w:eastAsia="Batang" w:hAnsi="Times New Roman"/>
      <w:sz w:val="24"/>
    </w:rPr>
  </w:style>
  <w:style w:type="paragraph" w:customStyle="1" w:styleId="afff8">
    <w:name w:val="الترقيم الحرفي الضمني"/>
    <w:basedOn w:val="Normal"/>
    <w:rsid w:val="007A2759"/>
    <w:pPr>
      <w:ind w:left="851" w:hanging="284"/>
    </w:pPr>
    <w:rPr>
      <w:rFonts w:ascii="Times New Roman" w:eastAsia="Batang" w:hAnsi="Times New Roman"/>
      <w:sz w:val="24"/>
    </w:rPr>
  </w:style>
  <w:style w:type="paragraph" w:customStyle="1" w:styleId="a1">
    <w:name w:val="الترقيم العددي"/>
    <w:basedOn w:val="Normal"/>
    <w:rsid w:val="007A2759"/>
    <w:pPr>
      <w:numPr>
        <w:numId w:val="21"/>
      </w:numPr>
      <w:ind w:left="681" w:hanging="397"/>
    </w:pPr>
    <w:rPr>
      <w:rFonts w:ascii="Times New Roman" w:eastAsia="Batang" w:hAnsi="Times New Roman"/>
      <w:sz w:val="24"/>
    </w:rPr>
  </w:style>
  <w:style w:type="paragraph" w:customStyle="1" w:styleId="afff9">
    <w:name w:val="الترقيم العددي الضمني"/>
    <w:basedOn w:val="Normal"/>
    <w:rsid w:val="007A2759"/>
    <w:pPr>
      <w:ind w:left="851" w:hanging="284"/>
    </w:pPr>
    <w:rPr>
      <w:rFonts w:ascii="Times New Roman" w:eastAsia="Batang" w:hAnsi="Times New Roman"/>
      <w:sz w:val="24"/>
    </w:rPr>
  </w:style>
  <w:style w:type="paragraph" w:customStyle="1" w:styleId="afffa">
    <w:name w:val="الترقيم (علامة دائرة)"/>
    <w:basedOn w:val="Normal"/>
    <w:rsid w:val="007A2759"/>
    <w:pPr>
      <w:ind w:left="624" w:hanging="340"/>
    </w:pPr>
    <w:rPr>
      <w:rFonts w:ascii="Times New Roman" w:eastAsia="Batang" w:hAnsi="Times New Roman"/>
      <w:sz w:val="24"/>
    </w:rPr>
  </w:style>
  <w:style w:type="paragraph" w:customStyle="1" w:styleId="afffb">
    <w:name w:val="الترقيم (علامة دائرة) الضمني"/>
    <w:basedOn w:val="Normal"/>
    <w:rsid w:val="007A2759"/>
    <w:pPr>
      <w:ind w:left="851" w:hanging="284"/>
    </w:pPr>
    <w:rPr>
      <w:rFonts w:ascii="Times New Roman" w:eastAsia="Batang" w:hAnsi="Times New Roman"/>
      <w:sz w:val="24"/>
    </w:rPr>
  </w:style>
  <w:style w:type="paragraph" w:customStyle="1" w:styleId="afffc">
    <w:name w:val="الترقيم (علامة صح)"/>
    <w:basedOn w:val="Normal"/>
    <w:rsid w:val="007A2759"/>
    <w:pPr>
      <w:ind w:left="624" w:hanging="340"/>
    </w:pPr>
    <w:rPr>
      <w:rFonts w:ascii="Times New Roman" w:eastAsia="Batang" w:hAnsi="Times New Roman"/>
      <w:sz w:val="24"/>
    </w:rPr>
  </w:style>
  <w:style w:type="paragraph" w:customStyle="1" w:styleId="afffd">
    <w:name w:val="الترقيم (علامة صح) الضمني"/>
    <w:basedOn w:val="Normal"/>
    <w:rsid w:val="007A2759"/>
    <w:pPr>
      <w:ind w:left="851" w:hanging="284"/>
    </w:pPr>
    <w:rPr>
      <w:rFonts w:ascii="Times New Roman" w:eastAsia="Batang" w:hAnsi="Times New Roman"/>
      <w:sz w:val="24"/>
    </w:rPr>
  </w:style>
  <w:style w:type="paragraph" w:customStyle="1" w:styleId="afffe">
    <w:name w:val="بسم الله"/>
    <w:basedOn w:val="Normal"/>
    <w:rsid w:val="007A2759"/>
    <w:pPr>
      <w:ind w:firstLine="0"/>
      <w:jc w:val="center"/>
    </w:pPr>
    <w:rPr>
      <w:rFonts w:ascii="Times New Roman" w:eastAsia="Batang" w:hAnsi="Times New Roman"/>
      <w:sz w:val="24"/>
    </w:rPr>
  </w:style>
  <w:style w:type="paragraph" w:customStyle="1" w:styleId="affff">
    <w:name w:val="شعر"/>
    <w:basedOn w:val="Normal"/>
    <w:link w:val="Charf3"/>
    <w:rsid w:val="007A2759"/>
    <w:pPr>
      <w:ind w:firstLine="0"/>
      <w:jc w:val="center"/>
    </w:pPr>
    <w:rPr>
      <w:rFonts w:ascii="Times New Roman" w:eastAsia="Batang" w:hAnsi="Times New Roman"/>
      <w:sz w:val="24"/>
    </w:rPr>
  </w:style>
  <w:style w:type="paragraph" w:customStyle="1" w:styleId="30">
    <w:name w:val="العنوان (3) ـ المطالعة"/>
    <w:basedOn w:val="ac"/>
    <w:qFormat/>
    <w:rsid w:val="007A2759"/>
  </w:style>
  <w:style w:type="paragraph" w:customStyle="1" w:styleId="40">
    <w:name w:val="العنوان (4) ـ المطالعة"/>
    <w:basedOn w:val="ac"/>
    <w:rsid w:val="007A2759"/>
  </w:style>
  <w:style w:type="character" w:customStyle="1" w:styleId="50">
    <w:name w:val="العنوان (5) ـ المطالعة"/>
    <w:rsid w:val="007A2759"/>
    <w:rPr>
      <w:rFonts w:ascii="Times New Roman" w:hAnsi="Times New Roman" w:cs="Mosawi"/>
      <w:b/>
      <w:bCs/>
      <w:sz w:val="28"/>
      <w:szCs w:val="28"/>
    </w:rPr>
  </w:style>
  <w:style w:type="paragraph" w:customStyle="1" w:styleId="31">
    <w:name w:val="عنوان3"/>
    <w:basedOn w:val="Heading3"/>
    <w:rsid w:val="007A2759"/>
    <w:pPr>
      <w:keepNext/>
      <w:spacing w:before="240" w:after="60" w:line="216" w:lineRule="auto"/>
      <w:ind w:left="720" w:hanging="432"/>
    </w:pPr>
    <w:rPr>
      <w:rFonts w:ascii="Cambria" w:eastAsia="Batang" w:hAnsi="Cambria" w:cs="Times New Roman"/>
      <w:b/>
      <w:bCs/>
      <w:color w:val="auto"/>
      <w:sz w:val="26"/>
      <w:szCs w:val="26"/>
    </w:rPr>
  </w:style>
  <w:style w:type="character" w:styleId="Emphasis">
    <w:name w:val="Emphasis"/>
    <w:qFormat/>
    <w:rsid w:val="007A2759"/>
    <w:rPr>
      <w:rFonts w:cs="Times New Roman"/>
      <w:b/>
      <w:bCs/>
    </w:rPr>
  </w:style>
  <w:style w:type="paragraph" w:styleId="Revision">
    <w:name w:val="Revision"/>
    <w:hidden/>
    <w:semiHidden/>
    <w:rsid w:val="007A2759"/>
    <w:rPr>
      <w:rFonts w:ascii="Times New Roman" w:eastAsia="Batang" w:hAnsi="Times New Roman" w:cs="Mosawi"/>
      <w:sz w:val="24"/>
      <w:szCs w:val="28"/>
    </w:rPr>
  </w:style>
  <w:style w:type="paragraph" w:customStyle="1" w:styleId="affff0">
    <w:name w:val="متن الهاش"/>
    <w:basedOn w:val="af0"/>
    <w:qFormat/>
    <w:rsid w:val="007A2759"/>
  </w:style>
  <w:style w:type="paragraph" w:customStyle="1" w:styleId="affff1">
    <w:name w:val="بسم الله الرحمن الرحيم"/>
    <w:basedOn w:val="Normal"/>
    <w:rsid w:val="007A2759"/>
    <w:pPr>
      <w:widowControl/>
      <w:spacing w:line="240" w:lineRule="auto"/>
      <w:ind w:firstLine="0"/>
      <w:jc w:val="center"/>
    </w:pPr>
    <w:rPr>
      <w:rFonts w:ascii="Traditional Arabic" w:eastAsia="Batang" w:hAnsi="Traditional Arabic" w:cs="Traditional Arabic"/>
      <w:bCs/>
      <w:sz w:val="20"/>
    </w:rPr>
  </w:style>
  <w:style w:type="paragraph" w:customStyle="1" w:styleId="affff2">
    <w:name w:val="كلمة المجلة"/>
    <w:basedOn w:val="Normal"/>
    <w:rsid w:val="007A2759"/>
    <w:pPr>
      <w:spacing w:line="460" w:lineRule="exact"/>
      <w:ind w:firstLine="0"/>
      <w:jc w:val="center"/>
      <w:outlineLvl w:val="0"/>
    </w:pPr>
    <w:rPr>
      <w:rFonts w:ascii="Times New Roman" w:eastAsia="Batang" w:hAnsi="Times New Roman" w:cs="Abz-3 (Yagut)"/>
      <w:bCs/>
      <w:szCs w:val="36"/>
      <w:lang w:eastAsia="ar-SA"/>
    </w:rPr>
  </w:style>
  <w:style w:type="paragraph" w:customStyle="1" w:styleId="102010">
    <w:name w:val="نمط نمط نمط نمط نمط عنوان 1 + قبل:  0 نقطة تباعد الأسطر:  تام 20 ...1"/>
    <w:basedOn w:val="Normal"/>
    <w:link w:val="10201Char0"/>
    <w:rsid w:val="007A2759"/>
    <w:pPr>
      <w:spacing w:line="418" w:lineRule="exact"/>
      <w:ind w:firstLine="0"/>
      <w:jc w:val="left"/>
      <w:outlineLvl w:val="0"/>
    </w:pPr>
    <w:rPr>
      <w:rFonts w:ascii="Times New Roman" w:eastAsia="Batang" w:hAnsi="Times New Roman" w:cs="Abz-3 (Yagut)"/>
      <w:bCs/>
      <w:color w:val="000000"/>
      <w:sz w:val="26"/>
      <w:szCs w:val="26"/>
    </w:rPr>
  </w:style>
  <w:style w:type="character" w:customStyle="1" w:styleId="10201Char0">
    <w:name w:val="نمط نمط نمط نمط نمط عنوان 1 + قبل:  0 نقطة تباعد الأسطر:  تام 20 ...1 Char"/>
    <w:link w:val="102010"/>
    <w:locked/>
    <w:rsid w:val="007A2759"/>
    <w:rPr>
      <w:rFonts w:ascii="Times New Roman" w:eastAsia="Batang" w:hAnsi="Times New Roman" w:cs="Abz-3 (Yagut)"/>
      <w:bCs/>
      <w:color w:val="000000"/>
      <w:sz w:val="26"/>
      <w:szCs w:val="26"/>
      <w:lang w:bidi="ar-SA"/>
    </w:rPr>
  </w:style>
  <w:style w:type="paragraph" w:customStyle="1" w:styleId="StyleStyleComplexSimplifiedArabic14ptFirstline05cm">
    <w:name w:val="Style Style (Complex) Simplified Arabic 14 pt First line:  0.5 cm +"/>
    <w:basedOn w:val="StyleComplexSimplifiedArabic14ptFirstline05cm"/>
    <w:rsid w:val="007A2759"/>
    <w:pPr>
      <w:widowControl w:val="0"/>
      <w:spacing w:line="400" w:lineRule="exact"/>
      <w:ind w:firstLine="510"/>
    </w:pPr>
    <w:rPr>
      <w:rFonts w:cs="AL-Mohanad"/>
      <w:noProof/>
      <w:spacing w:val="-4"/>
      <w:sz w:val="20"/>
      <w:lang w:eastAsia="ar-SA"/>
    </w:rPr>
  </w:style>
  <w:style w:type="paragraph" w:customStyle="1" w:styleId="StyleHeading1Before5pt">
    <w:name w:val="Style Heading 1 + Before:  5 pt"/>
    <w:basedOn w:val="Heading1"/>
    <w:rsid w:val="007A2759"/>
    <w:pPr>
      <w:keepLines w:val="0"/>
    </w:pPr>
    <w:rPr>
      <w:rFonts w:ascii="Times New Roman" w:eastAsia="Batang" w:hAnsi="Times New Roman" w:cs="Abz-3 (Yagut)"/>
      <w:bCs/>
      <w:kern w:val="32"/>
      <w:sz w:val="28"/>
      <w:szCs w:val="36"/>
    </w:rPr>
  </w:style>
  <w:style w:type="paragraph" w:customStyle="1" w:styleId="StyleStyleStyleComplexSimplifiedArabic14ptFirstline0">
    <w:name w:val="Style Style Style (Complex) Simplified Arabic 14 pt First line:  0...."/>
    <w:basedOn w:val="StyleStyleComplexSimplifiedArabic14ptFirstline05cm"/>
    <w:rsid w:val="007A2759"/>
    <w:pPr>
      <w:ind w:firstLine="0"/>
    </w:pPr>
  </w:style>
  <w:style w:type="paragraph" w:customStyle="1" w:styleId="Heading30">
    <w:name w:val="نمط Heading 3 + إلى اليسار"/>
    <w:basedOn w:val="Heading3"/>
    <w:rsid w:val="007A2759"/>
    <w:pPr>
      <w:keepNext/>
      <w:spacing w:before="240" w:after="60" w:line="216" w:lineRule="auto"/>
      <w:ind w:left="720" w:hanging="432"/>
    </w:pPr>
    <w:rPr>
      <w:rFonts w:ascii="Cambria" w:eastAsia="Batang" w:hAnsi="Cambria" w:cs="Times New Roman"/>
      <w:b/>
      <w:bCs/>
      <w:color w:val="auto"/>
      <w:sz w:val="26"/>
      <w:szCs w:val="26"/>
    </w:rPr>
  </w:style>
  <w:style w:type="paragraph" w:customStyle="1" w:styleId="Heading31">
    <w:name w:val="نمط نمط Heading 3 + إلى اليسار + إلى اليسار"/>
    <w:basedOn w:val="Heading30"/>
    <w:rsid w:val="007A2759"/>
  </w:style>
  <w:style w:type="paragraph" w:customStyle="1" w:styleId="Heading32">
    <w:name w:val="نمط نمط نمط Heading 3 + إلى اليسار + إلى اليسار +"/>
    <w:basedOn w:val="Heading31"/>
    <w:rsid w:val="007A2759"/>
  </w:style>
  <w:style w:type="paragraph" w:customStyle="1" w:styleId="Heading11314">
    <w:name w:val="نمط Heading 1 + (لاتيني) ‏13 نقطة (العربية وغيرها) ‏14 نقطة متو..."/>
    <w:basedOn w:val="Heading1"/>
    <w:rsid w:val="007A2759"/>
    <w:pPr>
      <w:keepLines w:val="0"/>
    </w:pPr>
    <w:rPr>
      <w:rFonts w:ascii="Times New Roman" w:eastAsia="Batang" w:hAnsi="Times New Roman" w:cs="Abz-3 (Yagut)"/>
      <w:bCs/>
      <w:kern w:val="32"/>
      <w:sz w:val="28"/>
      <w:szCs w:val="36"/>
    </w:rPr>
  </w:style>
  <w:style w:type="paragraph" w:customStyle="1" w:styleId="StyleComplexSimplifiedArabic14ptJustifyLowFirstline">
    <w:name w:val="Style (Complex) Simplified Arabic 14 pt Justify Low First line: ..."/>
    <w:basedOn w:val="Normal"/>
    <w:rsid w:val="007A2759"/>
    <w:pPr>
      <w:spacing w:line="400" w:lineRule="exact"/>
      <w:ind w:firstLine="510"/>
      <w:jc w:val="lowKashida"/>
    </w:pPr>
    <w:rPr>
      <w:rFonts w:ascii="Times New Roman" w:eastAsia="Batang" w:hAnsi="Times New Roman" w:cs="AL-Mohanad"/>
      <w:spacing w:val="-4"/>
      <w:sz w:val="20"/>
      <w:szCs w:val="27"/>
    </w:rPr>
  </w:style>
  <w:style w:type="paragraph" w:customStyle="1" w:styleId="19">
    <w:name w:val="نمط1"/>
    <w:basedOn w:val="10202"/>
    <w:link w:val="1Char1"/>
    <w:rsid w:val="007A2759"/>
    <w:pPr>
      <w:widowControl w:val="0"/>
    </w:pPr>
    <w:rPr>
      <w:rFonts w:ascii="DanaFajr" w:eastAsia="Batang" w:hAnsi="DanaFajr"/>
      <w:bCs w:val="0"/>
      <w:color w:val="auto"/>
      <w:kern w:val="0"/>
      <w:sz w:val="28"/>
      <w:szCs w:val="28"/>
      <w:lang w:eastAsia="ar-SA"/>
    </w:rPr>
  </w:style>
  <w:style w:type="character" w:customStyle="1" w:styleId="1Char1">
    <w:name w:val="نمط1 Char"/>
    <w:link w:val="19"/>
    <w:locked/>
    <w:rsid w:val="007A2759"/>
    <w:rPr>
      <w:rFonts w:ascii="DanaFajr" w:eastAsia="Batang" w:hAnsi="DanaFajr" w:cs="Arial"/>
      <w:b/>
      <w:sz w:val="28"/>
      <w:szCs w:val="28"/>
      <w:lang w:val="x-none" w:eastAsia="ar-SA" w:bidi="ar-SA"/>
    </w:rPr>
  </w:style>
  <w:style w:type="paragraph" w:customStyle="1" w:styleId="StyleComplexSimplifiedArabic14ptJustifiedFirstline0">
    <w:name w:val="Style (Complex) Simplified Arabic 14 pt Justified First line:  0..."/>
    <w:basedOn w:val="Normal"/>
    <w:rsid w:val="007A2759"/>
    <w:pPr>
      <w:spacing w:line="400" w:lineRule="exact"/>
      <w:ind w:firstLine="510"/>
      <w:jc w:val="lowKashida"/>
    </w:pPr>
    <w:rPr>
      <w:rFonts w:ascii="Times New Roman" w:eastAsia="Batang" w:hAnsi="Times New Roman" w:cs="AL-Mohanad"/>
      <w:noProof/>
      <w:spacing w:val="-4"/>
      <w:sz w:val="20"/>
      <w:szCs w:val="27"/>
      <w:lang w:eastAsia="ar-SA"/>
    </w:rPr>
  </w:style>
  <w:style w:type="character" w:styleId="LineNumber">
    <w:name w:val="line number"/>
    <w:rsid w:val="007A2759"/>
    <w:rPr>
      <w:rFonts w:cs="Times New Roman"/>
    </w:rPr>
  </w:style>
  <w:style w:type="paragraph" w:styleId="Index1">
    <w:name w:val="index 1"/>
    <w:basedOn w:val="Normal"/>
    <w:next w:val="Normal"/>
    <w:autoRedefine/>
    <w:rsid w:val="007A2759"/>
    <w:pPr>
      <w:spacing w:line="400" w:lineRule="exact"/>
      <w:ind w:left="200" w:hanging="200"/>
      <w:jc w:val="lowKashida"/>
    </w:pPr>
    <w:rPr>
      <w:rFonts w:ascii="Times New Roman" w:eastAsia="Batang" w:hAnsi="Times New Roman" w:cs="AL-Mohanad"/>
      <w:noProof/>
      <w:spacing w:val="-4"/>
      <w:sz w:val="20"/>
      <w:szCs w:val="27"/>
      <w:lang w:eastAsia="ar-SA"/>
    </w:rPr>
  </w:style>
  <w:style w:type="paragraph" w:customStyle="1" w:styleId="611950">
    <w:name w:val="نمط نمط عنوان 6 + السطر الأول:  1 سم تباعد الأسطر:  تام 19.5 نقطة..."/>
    <w:basedOn w:val="61195"/>
    <w:rsid w:val="007A2759"/>
    <w:pPr>
      <w:spacing w:line="390" w:lineRule="exact"/>
      <w:ind w:left="0" w:firstLine="0"/>
      <w:jc w:val="lowKashida"/>
    </w:pPr>
    <w:rPr>
      <w:rFonts w:cs="Simplified Arabic"/>
      <w:bCs w:val="0"/>
      <w:color w:val="FFFFFF"/>
      <w:szCs w:val="20"/>
    </w:rPr>
  </w:style>
  <w:style w:type="paragraph" w:customStyle="1" w:styleId="StyleComplexSimplifiedArabic14ptJustifiedFirs">
    <w:name w:val="نمط Style اصلى + (Complex) Simplified Arabic 14 pt Justified Firs..."/>
    <w:basedOn w:val="StyleComplexSimplifiedArabic14ptJustifiedFirstl"/>
    <w:rsid w:val="007A2759"/>
    <w:pPr>
      <w:spacing w:before="0" w:line="390" w:lineRule="exact"/>
      <w:ind w:firstLine="567"/>
    </w:pPr>
    <w:rPr>
      <w:szCs w:val="20"/>
    </w:rPr>
  </w:style>
  <w:style w:type="paragraph" w:customStyle="1" w:styleId="H2">
    <w:name w:val="H2"/>
    <w:rsid w:val="007A2759"/>
    <w:pPr>
      <w:bidi/>
    </w:pPr>
    <w:rPr>
      <w:rFonts w:ascii="Times New Roman" w:eastAsia="Batang" w:hAnsi="Times New Roman" w:cs="Wasit5 Normal"/>
      <w:sz w:val="36"/>
      <w:szCs w:val="56"/>
    </w:rPr>
  </w:style>
  <w:style w:type="paragraph" w:customStyle="1" w:styleId="H2DanaFajr1">
    <w:name w:val="نمط نمط نمط نمط H2 + (العربية وغيرها) DanaFajr + السطر الأول:  1 ..."/>
    <w:basedOn w:val="Normal"/>
    <w:rsid w:val="007A2759"/>
    <w:pPr>
      <w:widowControl/>
      <w:bidi w:val="0"/>
      <w:spacing w:line="420" w:lineRule="exact"/>
      <w:ind w:firstLine="567"/>
      <w:jc w:val="left"/>
    </w:pPr>
    <w:rPr>
      <w:rFonts w:ascii="Times New Roman" w:eastAsia="Batang" w:hAnsi="Times New Roman" w:cs="Simplified Arabic"/>
      <w:bCs/>
      <w:sz w:val="36"/>
      <w:szCs w:val="27"/>
    </w:rPr>
  </w:style>
  <w:style w:type="paragraph" w:customStyle="1" w:styleId="Heading3121">
    <w:name w:val="نمط نمط Heading 3 + السطر الأول:  1 سم تباعد الأسطر:  تام 21 نقطة +"/>
    <w:basedOn w:val="Normal"/>
    <w:rsid w:val="007A2759"/>
    <w:pPr>
      <w:keepNext/>
      <w:bidi w:val="0"/>
      <w:spacing w:line="420" w:lineRule="exact"/>
      <w:ind w:firstLine="567"/>
      <w:jc w:val="left"/>
      <w:outlineLvl w:val="2"/>
    </w:pPr>
    <w:rPr>
      <w:rFonts w:ascii="Times New Roman" w:eastAsia="Batang" w:hAnsi="Times New Roman" w:cs="Simplified Arabic"/>
      <w:bCs/>
      <w:szCs w:val="27"/>
    </w:rPr>
  </w:style>
  <w:style w:type="character" w:customStyle="1" w:styleId="CharChar25">
    <w:name w:val="Char Char25"/>
    <w:rsid w:val="007A2759"/>
    <w:rPr>
      <w:rFonts w:cs="Simplified Arabic"/>
      <w:bCs/>
      <w:sz w:val="28"/>
      <w:szCs w:val="28"/>
      <w:lang w:val="en-US" w:eastAsia="en-US" w:bidi="ar-SA"/>
    </w:rPr>
  </w:style>
  <w:style w:type="paragraph" w:customStyle="1" w:styleId="affff3">
    <w:name w:val="ÇÕáì"/>
    <w:rsid w:val="007A2759"/>
    <w:pPr>
      <w:widowControl w:val="0"/>
      <w:bidi/>
      <w:spacing w:line="398" w:lineRule="auto"/>
      <w:jc w:val="lowKashida"/>
    </w:pPr>
    <w:rPr>
      <w:rFonts w:ascii="Times New Roman" w:eastAsia="Batang" w:hAnsi="Times New Roman" w:cs="Times New Roman"/>
      <w:bCs/>
      <w:sz w:val="24"/>
      <w:szCs w:val="32"/>
      <w:lang w:eastAsia="ar-SA"/>
    </w:rPr>
  </w:style>
  <w:style w:type="paragraph" w:customStyle="1" w:styleId="affff4">
    <w:name w:val="فصل"/>
    <w:rsid w:val="007A2759"/>
    <w:pPr>
      <w:autoSpaceDE w:val="0"/>
      <w:autoSpaceDN w:val="0"/>
      <w:bidi/>
      <w:spacing w:line="567" w:lineRule="atLeast"/>
      <w:jc w:val="both"/>
    </w:pPr>
    <w:rPr>
      <w:rFonts w:ascii="Times New Roman" w:eastAsia="Batang" w:hAnsi="Times New Roman" w:cs="Times New Roman"/>
      <w:bCs/>
      <w:sz w:val="24"/>
      <w:szCs w:val="28"/>
      <w:lang w:eastAsia="ar-SA"/>
    </w:rPr>
  </w:style>
  <w:style w:type="paragraph" w:customStyle="1" w:styleId="23">
    <w:name w:val="تيتر2"/>
    <w:link w:val="24"/>
    <w:rsid w:val="007A2759"/>
    <w:pPr>
      <w:autoSpaceDE w:val="0"/>
      <w:autoSpaceDN w:val="0"/>
      <w:bidi/>
      <w:spacing w:line="567" w:lineRule="atLeast"/>
      <w:ind w:right="-284" w:firstLine="342"/>
      <w:jc w:val="both"/>
    </w:pPr>
    <w:rPr>
      <w:rFonts w:ascii="Times New Roman" w:eastAsia="Batang" w:hAnsi="Times New Roman" w:cs="Times New Roman"/>
      <w:b/>
      <w:bCs/>
      <w:sz w:val="24"/>
      <w:szCs w:val="28"/>
      <w:lang w:eastAsia="ar-SA"/>
    </w:rPr>
  </w:style>
  <w:style w:type="paragraph" w:customStyle="1" w:styleId="affff5">
    <w:name w:val="الأصـلـى"/>
    <w:rsid w:val="007A2759"/>
    <w:pPr>
      <w:autoSpaceDE w:val="0"/>
      <w:autoSpaceDN w:val="0"/>
      <w:bidi/>
      <w:spacing w:line="467" w:lineRule="atLeast"/>
      <w:ind w:firstLine="481"/>
      <w:jc w:val="both"/>
    </w:pPr>
    <w:rPr>
      <w:rFonts w:ascii="Times New Roman" w:eastAsia="Batang" w:hAnsi="Times New Roman" w:cs="Times New Roman"/>
      <w:sz w:val="24"/>
      <w:szCs w:val="24"/>
      <w:lang w:eastAsia="ar-SA"/>
    </w:rPr>
  </w:style>
  <w:style w:type="paragraph" w:customStyle="1" w:styleId="4000">
    <w:name w:val="نمط نمط عنوان 4 + السطر الأول:  0 سم قبل:  0 نقطة تباعد الأسطر:  ..."/>
    <w:basedOn w:val="400"/>
    <w:rsid w:val="007A2759"/>
    <w:pPr>
      <w:keepNext w:val="0"/>
      <w:spacing w:line="600" w:lineRule="exact"/>
      <w:jc w:val="center"/>
    </w:pPr>
    <w:rPr>
      <w:rFonts w:ascii="Times New Roman" w:hAnsi="Times New Roman" w:cs="SKR HEAD1"/>
      <w:b w:val="0"/>
      <w:bCs/>
      <w:color w:val="000000"/>
      <w:spacing w:val="-4"/>
      <w:sz w:val="26"/>
      <w:szCs w:val="48"/>
    </w:rPr>
  </w:style>
  <w:style w:type="paragraph" w:customStyle="1" w:styleId="713">
    <w:name w:val="نمط عنوان 7 + (لاتيني) ‏13 نقطة أبيض"/>
    <w:basedOn w:val="Heading7"/>
    <w:rsid w:val="007A2759"/>
  </w:style>
  <w:style w:type="paragraph" w:customStyle="1" w:styleId="3Abz-3Yagut1">
    <w:name w:val="نمط عنوان 3 + (العربية وغيرها) Abz-3 (Yagut) (العربية وغيرها) ‏1..."/>
    <w:basedOn w:val="Heading3"/>
    <w:rsid w:val="007A2759"/>
    <w:pPr>
      <w:keepNext/>
      <w:spacing w:before="240" w:after="60" w:line="216" w:lineRule="auto"/>
      <w:ind w:left="720" w:hanging="432"/>
    </w:pPr>
    <w:rPr>
      <w:rFonts w:ascii="Cambria" w:eastAsia="Batang" w:hAnsi="Cambria" w:cs="Times New Roman"/>
      <w:b/>
      <w:bCs/>
      <w:color w:val="auto"/>
      <w:sz w:val="26"/>
      <w:szCs w:val="26"/>
    </w:rPr>
  </w:style>
  <w:style w:type="paragraph" w:customStyle="1" w:styleId="7209">
    <w:name w:val="نمط عنوان 7 + تباعد الأسطر:  تام 20.9 نقطة"/>
    <w:basedOn w:val="Heading7"/>
    <w:rsid w:val="007A2759"/>
  </w:style>
  <w:style w:type="character" w:styleId="PlaceholderText">
    <w:name w:val="Placeholder Text"/>
    <w:semiHidden/>
    <w:rsid w:val="007A2759"/>
    <w:rPr>
      <w:rFonts w:cs="Times New Roman"/>
      <w:color w:val="808080"/>
    </w:rPr>
  </w:style>
  <w:style w:type="paragraph" w:customStyle="1" w:styleId="affff6">
    <w:name w:val="المتن"/>
    <w:basedOn w:val="StyleComplexSimplifiedArabic14ptJustifiedFirstl"/>
    <w:link w:val="Charf4"/>
    <w:qFormat/>
    <w:rsid w:val="007A2759"/>
    <w:pPr>
      <w:spacing w:before="0"/>
      <w:ind w:firstLine="567"/>
    </w:pPr>
    <w:rPr>
      <w:rFonts w:cs="AL-Mohanad"/>
      <w:sz w:val="26"/>
      <w:szCs w:val="27"/>
    </w:rPr>
  </w:style>
  <w:style w:type="character" w:customStyle="1" w:styleId="Charf4">
    <w:name w:val="المتن Char"/>
    <w:link w:val="affff6"/>
    <w:locked/>
    <w:rsid w:val="007A2759"/>
    <w:rPr>
      <w:rFonts w:ascii="Times New Roman" w:eastAsia="Batang" w:hAnsi="Times New Roman" w:cs="AL-Mohanad"/>
      <w:bCs/>
      <w:spacing w:val="-4"/>
      <w:sz w:val="27"/>
      <w:szCs w:val="27"/>
      <w:lang w:val="en-US" w:eastAsia="ar-SA" w:bidi="ar-SA"/>
    </w:rPr>
  </w:style>
  <w:style w:type="paragraph" w:styleId="ListParagraph">
    <w:name w:val="List Paragraph"/>
    <w:aliases w:val="5-موسع"/>
    <w:basedOn w:val="Normal"/>
    <w:qFormat/>
    <w:rsid w:val="007A2759"/>
    <w:pPr>
      <w:spacing w:line="400" w:lineRule="exact"/>
      <w:ind w:left="720" w:firstLine="567"/>
      <w:jc w:val="lowKashida"/>
    </w:pPr>
    <w:rPr>
      <w:rFonts w:ascii="Calibri" w:hAnsi="Calibri" w:cs="AL-Mohanad"/>
      <w:sz w:val="22"/>
      <w:szCs w:val="27"/>
    </w:rPr>
  </w:style>
  <w:style w:type="paragraph" w:customStyle="1" w:styleId="32">
    <w:name w:val="جديد3"/>
    <w:semiHidden/>
    <w:rsid w:val="007A2759"/>
    <w:pPr>
      <w:autoSpaceDE w:val="0"/>
      <w:autoSpaceDN w:val="0"/>
      <w:bidi/>
      <w:spacing w:line="399" w:lineRule="atLeast"/>
      <w:jc w:val="both"/>
    </w:pPr>
    <w:rPr>
      <w:rFonts w:ascii="Times New Roman" w:eastAsia="Batang" w:hAnsi="Times New Roman" w:cs="Times New Roman"/>
      <w:bCs/>
      <w:sz w:val="24"/>
      <w:szCs w:val="24"/>
    </w:rPr>
  </w:style>
  <w:style w:type="paragraph" w:customStyle="1" w:styleId="Arial13">
    <w:name w:val="نمط (العربية وغيرها) Arial (لاتيني) ‏13 نقطة (مركب) غامق مضبوط..."/>
    <w:basedOn w:val="Normal"/>
    <w:semiHidden/>
    <w:rsid w:val="007A2759"/>
    <w:pPr>
      <w:spacing w:line="370" w:lineRule="exact"/>
      <w:ind w:firstLine="567"/>
    </w:pPr>
    <w:rPr>
      <w:rFonts w:ascii="Times New Roman" w:eastAsia="Batang" w:hAnsi="Times New Roman" w:cs="Arial"/>
      <w:bCs/>
      <w:noProof/>
      <w:sz w:val="26"/>
      <w:szCs w:val="27"/>
      <w:lang w:eastAsia="ar-SA"/>
    </w:rPr>
  </w:style>
  <w:style w:type="paragraph" w:customStyle="1" w:styleId="affff7">
    <w:name w:val="م"/>
    <w:basedOn w:val="NormalIndent"/>
    <w:semiHidden/>
    <w:rsid w:val="007A2759"/>
    <w:pPr>
      <w:bidi w:val="0"/>
    </w:pPr>
    <w:rPr>
      <w:rFonts w:cs="Arial"/>
      <w:szCs w:val="28"/>
      <w:lang w:eastAsia="en-US"/>
    </w:rPr>
  </w:style>
  <w:style w:type="paragraph" w:styleId="NormalIndent">
    <w:name w:val="Normal Indent"/>
    <w:basedOn w:val="Normal"/>
    <w:rsid w:val="007A2759"/>
    <w:pPr>
      <w:widowControl/>
      <w:spacing w:line="240" w:lineRule="auto"/>
      <w:ind w:left="720" w:firstLine="567"/>
      <w:jc w:val="left"/>
    </w:pPr>
    <w:rPr>
      <w:rFonts w:ascii="Times New Roman" w:eastAsia="Batang" w:hAnsi="Times New Roman" w:cs="Times New Roman"/>
      <w:sz w:val="24"/>
      <w:szCs w:val="24"/>
      <w:lang w:eastAsia="ar-SA"/>
    </w:rPr>
  </w:style>
  <w:style w:type="paragraph" w:customStyle="1" w:styleId="affff8">
    <w:name w:val="مف"/>
    <w:basedOn w:val="FootnoteText"/>
    <w:semiHidden/>
    <w:rsid w:val="007A2759"/>
    <w:pPr>
      <w:widowControl/>
      <w:ind w:left="284" w:hanging="284"/>
    </w:pPr>
    <w:rPr>
      <w:rFonts w:ascii="Arial" w:eastAsia="Batang" w:hAnsi="Arial" w:cs="Arial"/>
      <w:sz w:val="24"/>
      <w:szCs w:val="24"/>
    </w:rPr>
  </w:style>
  <w:style w:type="paragraph" w:customStyle="1" w:styleId="affff9">
    <w:name w:val="مم"/>
    <w:basedOn w:val="affff7"/>
    <w:semiHidden/>
    <w:rsid w:val="007A2759"/>
    <w:pPr>
      <w:bidi/>
      <w:ind w:left="0"/>
      <w:jc w:val="both"/>
    </w:pPr>
    <w:rPr>
      <w:rFonts w:ascii="Arial" w:hAnsi="Arial"/>
      <w:szCs w:val="24"/>
    </w:rPr>
  </w:style>
  <w:style w:type="character" w:customStyle="1" w:styleId="4Char">
    <w:name w:val="عنوان 4 Char"/>
    <w:rsid w:val="007A2759"/>
    <w:rPr>
      <w:rFonts w:cs="ALAWI-3-62"/>
      <w:color w:val="008000"/>
      <w:sz w:val="28"/>
      <w:szCs w:val="28"/>
      <w:lang w:val="en-US" w:eastAsia="en-US" w:bidi="ar-SA"/>
    </w:rPr>
  </w:style>
  <w:style w:type="paragraph" w:customStyle="1" w:styleId="affffa">
    <w:name w:val="حاشية في المتن"/>
    <w:basedOn w:val="Normal"/>
    <w:rsid w:val="007A2759"/>
    <w:pPr>
      <w:widowControl/>
      <w:autoSpaceDE w:val="0"/>
      <w:autoSpaceDN w:val="0"/>
      <w:adjustRightInd w:val="0"/>
      <w:spacing w:line="418" w:lineRule="exact"/>
      <w:ind w:firstLine="567"/>
    </w:pPr>
    <w:rPr>
      <w:rFonts w:ascii="Times New Roman" w:eastAsia="Batang" w:hAnsi="Times New Roman" w:cs="Simplified Arabic"/>
      <w:bCs/>
      <w:color w:val="000000"/>
      <w:position w:val="4"/>
      <w:sz w:val="26"/>
      <w:szCs w:val="26"/>
      <w:vertAlign w:val="superscript"/>
    </w:rPr>
  </w:style>
  <w:style w:type="paragraph" w:customStyle="1" w:styleId="sub-title">
    <w:name w:val="sub-title"/>
    <w:basedOn w:val="Normal"/>
    <w:rsid w:val="007A2759"/>
    <w:pPr>
      <w:widowControl/>
      <w:bidi w:val="0"/>
      <w:spacing w:beforeAutospacing="1" w:after="100" w:afterAutospacing="1" w:line="240" w:lineRule="auto"/>
      <w:ind w:firstLine="567"/>
      <w:jc w:val="left"/>
    </w:pPr>
    <w:rPr>
      <w:rFonts w:ascii="Arial Unicode MS" w:eastAsia="Arial Unicode MS" w:hAnsi="Arial Unicode MS" w:cs="Arial Unicode MS"/>
      <w:sz w:val="24"/>
      <w:szCs w:val="24"/>
      <w:lang w:eastAsia="ar-SA"/>
    </w:rPr>
  </w:style>
  <w:style w:type="paragraph" w:customStyle="1" w:styleId="affffb">
    <w:name w:val="بلا لون"/>
    <w:basedOn w:val="19"/>
    <w:link w:val="CharChar1"/>
    <w:autoRedefine/>
    <w:semiHidden/>
    <w:rsid w:val="007A2759"/>
    <w:pPr>
      <w:keepNext/>
      <w:spacing w:line="240" w:lineRule="auto"/>
      <w:jc w:val="lowKashida"/>
      <w:outlineLvl w:val="1"/>
    </w:pPr>
    <w:rPr>
      <w:rFonts w:cs="بدر"/>
      <w:b w:val="0"/>
      <w:color w:val="FFFFFF"/>
      <w:sz w:val="24"/>
      <w:szCs w:val="4"/>
    </w:rPr>
  </w:style>
  <w:style w:type="character" w:customStyle="1" w:styleId="CharChar1">
    <w:name w:val="بلا لون Char Char"/>
    <w:link w:val="affffb"/>
    <w:semiHidden/>
    <w:locked/>
    <w:rsid w:val="007A2759"/>
    <w:rPr>
      <w:rFonts w:ascii="DanaFajr" w:eastAsia="Batang" w:hAnsi="DanaFajr" w:cs="بدر"/>
      <w:b/>
      <w:color w:val="FFFFFF"/>
      <w:sz w:val="4"/>
      <w:szCs w:val="4"/>
      <w:lang w:val="x-none" w:eastAsia="ar-SA" w:bidi="ar-SA"/>
    </w:rPr>
  </w:style>
  <w:style w:type="paragraph" w:customStyle="1" w:styleId="affffc">
    <w:name w:val="عنوان رئيسي"/>
    <w:basedOn w:val="400"/>
    <w:rsid w:val="007A2759"/>
    <w:pPr>
      <w:keepNext w:val="0"/>
      <w:spacing w:line="600" w:lineRule="exact"/>
      <w:jc w:val="center"/>
    </w:pPr>
    <w:rPr>
      <w:rFonts w:ascii="Times New Roman" w:hAnsi="Times New Roman" w:cs="SKR HEAD1"/>
      <w:b w:val="0"/>
      <w:bCs/>
      <w:color w:val="000000"/>
      <w:spacing w:val="-4"/>
      <w:sz w:val="48"/>
      <w:szCs w:val="48"/>
    </w:rPr>
  </w:style>
  <w:style w:type="character" w:customStyle="1" w:styleId="Charf5">
    <w:name w:val="نص حاشية سفلية Char"/>
    <w:rsid w:val="007A2759"/>
    <w:rPr>
      <w:rFonts w:cs="md_ameli"/>
      <w:noProof/>
      <w:spacing w:val="-4"/>
      <w:sz w:val="28"/>
      <w:szCs w:val="28"/>
      <w:lang w:val="en-US" w:eastAsia="ar-SA" w:bidi="ar-SA"/>
    </w:rPr>
  </w:style>
  <w:style w:type="paragraph" w:customStyle="1" w:styleId="25">
    <w:name w:val="پاورقى2"/>
    <w:rsid w:val="007A2759"/>
    <w:pPr>
      <w:autoSpaceDE w:val="0"/>
      <w:autoSpaceDN w:val="0"/>
      <w:bidi/>
      <w:spacing w:line="284" w:lineRule="atLeast"/>
      <w:jc w:val="both"/>
    </w:pPr>
    <w:rPr>
      <w:rFonts w:ascii="Times New Roman" w:eastAsia="Batang" w:hAnsi="Times New Roman" w:cs="Times New Roman"/>
      <w:sz w:val="16"/>
      <w:szCs w:val="24"/>
    </w:rPr>
  </w:style>
  <w:style w:type="paragraph" w:customStyle="1" w:styleId="33">
    <w:name w:val="پاورقى3"/>
    <w:rsid w:val="007A2759"/>
    <w:pPr>
      <w:autoSpaceDE w:val="0"/>
      <w:autoSpaceDN w:val="0"/>
      <w:spacing w:line="284" w:lineRule="atLeast"/>
      <w:ind w:hanging="284"/>
      <w:jc w:val="both"/>
    </w:pPr>
    <w:rPr>
      <w:rFonts w:ascii="Times New Roman" w:eastAsia="Batang" w:hAnsi="Times New Roman" w:cs="Times New Roman"/>
      <w:bCs/>
      <w:sz w:val="32"/>
      <w:szCs w:val="32"/>
    </w:rPr>
  </w:style>
  <w:style w:type="paragraph" w:customStyle="1" w:styleId="41">
    <w:name w:val="پاورقى4"/>
    <w:rsid w:val="007A2759"/>
    <w:pPr>
      <w:autoSpaceDE w:val="0"/>
      <w:autoSpaceDN w:val="0"/>
      <w:spacing w:line="284" w:lineRule="atLeast"/>
      <w:jc w:val="both"/>
    </w:pPr>
    <w:rPr>
      <w:rFonts w:ascii="Times New Roman" w:eastAsia="Batang" w:hAnsi="Times New Roman" w:cs="Times New Roman"/>
      <w:bCs/>
      <w:sz w:val="32"/>
      <w:szCs w:val="32"/>
    </w:rPr>
  </w:style>
  <w:style w:type="paragraph" w:customStyle="1" w:styleId="affffd">
    <w:name w:val="پاصفحه"/>
    <w:rsid w:val="007A2759"/>
    <w:pPr>
      <w:autoSpaceDE w:val="0"/>
      <w:autoSpaceDN w:val="0"/>
      <w:bidi/>
      <w:spacing w:line="399" w:lineRule="atLeast"/>
      <w:jc w:val="both"/>
    </w:pPr>
    <w:rPr>
      <w:rFonts w:ascii="Times New Roman" w:eastAsia="Batang" w:hAnsi="Times New Roman" w:cs="Times New Roman"/>
      <w:bCs/>
      <w:sz w:val="32"/>
      <w:szCs w:val="32"/>
    </w:rPr>
  </w:style>
  <w:style w:type="paragraph" w:customStyle="1" w:styleId="affffe">
    <w:name w:val="سرصفحه"/>
    <w:rsid w:val="007A2759"/>
    <w:pPr>
      <w:autoSpaceDE w:val="0"/>
      <w:autoSpaceDN w:val="0"/>
      <w:bidi/>
      <w:spacing w:line="399" w:lineRule="atLeast"/>
      <w:jc w:val="both"/>
    </w:pPr>
    <w:rPr>
      <w:rFonts w:ascii="Times New Roman" w:eastAsia="Batang" w:hAnsi="Times New Roman" w:cs="Times New Roman"/>
      <w:bCs/>
      <w:sz w:val="32"/>
      <w:szCs w:val="32"/>
    </w:rPr>
  </w:style>
  <w:style w:type="character" w:styleId="HTMLCode">
    <w:name w:val="HTML Code"/>
    <w:rsid w:val="007A2759"/>
    <w:rPr>
      <w:rFonts w:ascii="Courier New" w:hAnsi="Courier New" w:cs="Courier New"/>
      <w:sz w:val="20"/>
      <w:szCs w:val="20"/>
    </w:rPr>
  </w:style>
  <w:style w:type="paragraph" w:styleId="TableofFigures">
    <w:name w:val="table of figures"/>
    <w:basedOn w:val="Normal"/>
    <w:next w:val="Normal"/>
    <w:rsid w:val="007A2759"/>
    <w:pPr>
      <w:widowControl/>
      <w:bidi w:val="0"/>
      <w:spacing w:line="240" w:lineRule="auto"/>
      <w:ind w:left="480" w:hanging="480"/>
      <w:jc w:val="left"/>
    </w:pPr>
    <w:rPr>
      <w:rFonts w:ascii="Times New Roman" w:eastAsia="Batang" w:hAnsi="Times New Roman" w:cs="Times New Roman"/>
      <w:smallCaps/>
      <w:sz w:val="20"/>
      <w:szCs w:val="24"/>
    </w:rPr>
  </w:style>
  <w:style w:type="paragraph" w:styleId="Index2">
    <w:name w:val="index 2"/>
    <w:basedOn w:val="Normal"/>
    <w:next w:val="Normal"/>
    <w:autoRedefine/>
    <w:rsid w:val="007A2759"/>
    <w:pPr>
      <w:widowControl/>
      <w:bidi w:val="0"/>
      <w:spacing w:line="240" w:lineRule="auto"/>
      <w:ind w:left="480" w:hanging="240"/>
      <w:jc w:val="left"/>
    </w:pPr>
    <w:rPr>
      <w:rFonts w:ascii="Times New Roman" w:eastAsia="Batang" w:hAnsi="Times New Roman" w:cs="Times New Roman"/>
      <w:sz w:val="18"/>
      <w:szCs w:val="21"/>
    </w:rPr>
  </w:style>
  <w:style w:type="paragraph" w:styleId="Index3">
    <w:name w:val="index 3"/>
    <w:basedOn w:val="Normal"/>
    <w:next w:val="Normal"/>
    <w:autoRedefine/>
    <w:rsid w:val="007A2759"/>
    <w:pPr>
      <w:widowControl/>
      <w:bidi w:val="0"/>
      <w:spacing w:line="240" w:lineRule="auto"/>
      <w:ind w:left="720" w:hanging="240"/>
      <w:jc w:val="left"/>
    </w:pPr>
    <w:rPr>
      <w:rFonts w:ascii="Times New Roman" w:eastAsia="Batang" w:hAnsi="Times New Roman" w:cs="Times New Roman"/>
      <w:sz w:val="18"/>
      <w:szCs w:val="21"/>
    </w:rPr>
  </w:style>
  <w:style w:type="paragraph" w:styleId="Index4">
    <w:name w:val="index 4"/>
    <w:basedOn w:val="Normal"/>
    <w:next w:val="Normal"/>
    <w:autoRedefine/>
    <w:rsid w:val="007A2759"/>
    <w:pPr>
      <w:widowControl/>
      <w:bidi w:val="0"/>
      <w:spacing w:line="240" w:lineRule="auto"/>
      <w:ind w:left="960" w:hanging="240"/>
      <w:jc w:val="left"/>
    </w:pPr>
    <w:rPr>
      <w:rFonts w:ascii="Times New Roman" w:eastAsia="Batang" w:hAnsi="Times New Roman" w:cs="Times New Roman"/>
      <w:sz w:val="18"/>
      <w:szCs w:val="21"/>
    </w:rPr>
  </w:style>
  <w:style w:type="paragraph" w:styleId="Index5">
    <w:name w:val="index 5"/>
    <w:basedOn w:val="Normal"/>
    <w:next w:val="Normal"/>
    <w:autoRedefine/>
    <w:rsid w:val="007A2759"/>
    <w:pPr>
      <w:widowControl/>
      <w:bidi w:val="0"/>
      <w:spacing w:line="240" w:lineRule="auto"/>
      <w:ind w:left="1200" w:hanging="240"/>
      <w:jc w:val="left"/>
    </w:pPr>
    <w:rPr>
      <w:rFonts w:ascii="Times New Roman" w:eastAsia="Batang" w:hAnsi="Times New Roman" w:cs="Times New Roman"/>
      <w:sz w:val="18"/>
      <w:szCs w:val="21"/>
    </w:rPr>
  </w:style>
  <w:style w:type="paragraph" w:styleId="Index6">
    <w:name w:val="index 6"/>
    <w:basedOn w:val="Normal"/>
    <w:next w:val="Normal"/>
    <w:autoRedefine/>
    <w:rsid w:val="007A2759"/>
    <w:pPr>
      <w:widowControl/>
      <w:bidi w:val="0"/>
      <w:spacing w:line="240" w:lineRule="auto"/>
      <w:ind w:left="1440" w:hanging="240"/>
      <w:jc w:val="left"/>
    </w:pPr>
    <w:rPr>
      <w:rFonts w:ascii="Times New Roman" w:eastAsia="Batang" w:hAnsi="Times New Roman" w:cs="Times New Roman"/>
      <w:sz w:val="18"/>
      <w:szCs w:val="21"/>
    </w:rPr>
  </w:style>
  <w:style w:type="paragraph" w:styleId="Index7">
    <w:name w:val="index 7"/>
    <w:basedOn w:val="Normal"/>
    <w:next w:val="Normal"/>
    <w:autoRedefine/>
    <w:rsid w:val="007A2759"/>
    <w:pPr>
      <w:widowControl/>
      <w:bidi w:val="0"/>
      <w:spacing w:line="240" w:lineRule="auto"/>
      <w:ind w:left="1680" w:hanging="240"/>
      <w:jc w:val="left"/>
    </w:pPr>
    <w:rPr>
      <w:rFonts w:ascii="Times New Roman" w:eastAsia="Batang" w:hAnsi="Times New Roman" w:cs="Times New Roman"/>
      <w:sz w:val="18"/>
      <w:szCs w:val="21"/>
    </w:rPr>
  </w:style>
  <w:style w:type="paragraph" w:styleId="Index8">
    <w:name w:val="index 8"/>
    <w:basedOn w:val="Normal"/>
    <w:next w:val="Normal"/>
    <w:autoRedefine/>
    <w:rsid w:val="007A2759"/>
    <w:pPr>
      <w:widowControl/>
      <w:bidi w:val="0"/>
      <w:spacing w:line="240" w:lineRule="auto"/>
      <w:ind w:left="1920" w:hanging="240"/>
      <w:jc w:val="left"/>
    </w:pPr>
    <w:rPr>
      <w:rFonts w:ascii="Times New Roman" w:eastAsia="Batang" w:hAnsi="Times New Roman" w:cs="Times New Roman"/>
      <w:sz w:val="18"/>
      <w:szCs w:val="21"/>
    </w:rPr>
  </w:style>
  <w:style w:type="paragraph" w:styleId="Index9">
    <w:name w:val="index 9"/>
    <w:basedOn w:val="Normal"/>
    <w:next w:val="Normal"/>
    <w:autoRedefine/>
    <w:rsid w:val="007A2759"/>
    <w:pPr>
      <w:widowControl/>
      <w:bidi w:val="0"/>
      <w:spacing w:line="240" w:lineRule="auto"/>
      <w:ind w:left="2160" w:hanging="240"/>
      <w:jc w:val="left"/>
    </w:pPr>
    <w:rPr>
      <w:rFonts w:ascii="Times New Roman" w:eastAsia="Batang" w:hAnsi="Times New Roman" w:cs="Times New Roman"/>
      <w:sz w:val="18"/>
      <w:szCs w:val="21"/>
    </w:rPr>
  </w:style>
  <w:style w:type="paragraph" w:styleId="IndexHeading">
    <w:name w:val="index heading"/>
    <w:basedOn w:val="Normal"/>
    <w:next w:val="Index1"/>
    <w:rsid w:val="007A2759"/>
    <w:pPr>
      <w:widowControl/>
      <w:pBdr>
        <w:top w:val="double" w:sz="6" w:space="0" w:color="auto" w:shadow="1"/>
        <w:left w:val="double" w:sz="6" w:space="0" w:color="auto" w:shadow="1"/>
        <w:bottom w:val="double" w:sz="6" w:space="0" w:color="auto" w:shadow="1"/>
        <w:right w:val="double" w:sz="6" w:space="0" w:color="auto" w:shadow="1"/>
      </w:pBdr>
      <w:bidi w:val="0"/>
      <w:spacing w:before="240" w:after="120" w:line="240" w:lineRule="auto"/>
      <w:ind w:firstLine="0"/>
      <w:jc w:val="center"/>
    </w:pPr>
    <w:rPr>
      <w:rFonts w:ascii="Arial" w:eastAsia="Batang" w:hAnsi="Arial" w:cs="Arial"/>
      <w:b/>
      <w:bCs/>
      <w:sz w:val="22"/>
      <w:szCs w:val="26"/>
    </w:rPr>
  </w:style>
  <w:style w:type="character" w:styleId="HTMLDefinition">
    <w:name w:val="HTML Definition"/>
    <w:rsid w:val="007A2759"/>
    <w:rPr>
      <w:rFonts w:cs="Times New Roman"/>
      <w:i/>
      <w:iCs/>
    </w:rPr>
  </w:style>
  <w:style w:type="character" w:styleId="HTMLVariable">
    <w:name w:val="HTML Variable"/>
    <w:rsid w:val="007A2759"/>
    <w:rPr>
      <w:rFonts w:cs="Times New Roman"/>
      <w:i/>
      <w:iCs/>
    </w:rPr>
  </w:style>
  <w:style w:type="character" w:styleId="HTMLCite">
    <w:name w:val="HTML Cite"/>
    <w:rsid w:val="007A2759"/>
    <w:rPr>
      <w:rFonts w:cs="Times New Roman"/>
      <w:i/>
      <w:iCs/>
    </w:rPr>
  </w:style>
  <w:style w:type="table" w:styleId="TableColumns1">
    <w:name w:val="Table Columns 1"/>
    <w:basedOn w:val="TableNormal"/>
    <w:rsid w:val="007A2759"/>
    <w:rPr>
      <w:rFonts w:ascii="Times New Roman" w:eastAsia="Batang"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rsid w:val="007A2759"/>
    <w:rPr>
      <w:rFonts w:ascii="Times New Roman" w:eastAsia="Batang" w:hAnsi="Times New Roman"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rsid w:val="007A2759"/>
    <w:rPr>
      <w:rFonts w:ascii="Times New Roman" w:eastAsia="Batang"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rsid w:val="007A2759"/>
    <w:rPr>
      <w:rFonts w:ascii="Times New Roman" w:eastAsia="Batang" w:hAnsi="Times New Roman"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rsid w:val="007A2759"/>
    <w:rPr>
      <w:rFonts w:ascii="Times New Roman" w:eastAsia="Batang"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HTMLTypewriter">
    <w:name w:val="HTML Typewriter"/>
    <w:rsid w:val="007A2759"/>
    <w:rPr>
      <w:rFonts w:ascii="Courier New" w:hAnsi="Courier New" w:cs="Courier New"/>
      <w:sz w:val="20"/>
      <w:szCs w:val="20"/>
    </w:rPr>
  </w:style>
  <w:style w:type="paragraph" w:styleId="HTMLPreformatted">
    <w:name w:val="HTML Preformatted"/>
    <w:basedOn w:val="Normal"/>
    <w:link w:val="HTMLPreformattedChar"/>
    <w:rsid w:val="007A2759"/>
    <w:pPr>
      <w:widowControl/>
      <w:bidi w:val="0"/>
      <w:spacing w:line="240" w:lineRule="auto"/>
      <w:ind w:firstLine="0"/>
      <w:jc w:val="left"/>
    </w:pPr>
    <w:rPr>
      <w:rFonts w:ascii="Courier New" w:eastAsia="Batang" w:hAnsi="Courier New" w:cs="Courier New"/>
      <w:sz w:val="20"/>
      <w:szCs w:val="20"/>
    </w:rPr>
  </w:style>
  <w:style w:type="character" w:customStyle="1" w:styleId="HTMLPreformattedChar">
    <w:name w:val="HTML Preformatted Char"/>
    <w:link w:val="HTMLPreformatted"/>
    <w:locked/>
    <w:rsid w:val="007A2759"/>
    <w:rPr>
      <w:rFonts w:ascii="Courier New" w:eastAsia="Batang" w:hAnsi="Courier New" w:cs="Courier New"/>
      <w:sz w:val="20"/>
      <w:szCs w:val="20"/>
    </w:rPr>
  </w:style>
  <w:style w:type="paragraph" w:styleId="Date">
    <w:name w:val="Date"/>
    <w:basedOn w:val="Normal"/>
    <w:next w:val="Normal"/>
    <w:link w:val="DateChar"/>
    <w:rsid w:val="007A2759"/>
    <w:pPr>
      <w:widowControl/>
      <w:bidi w:val="0"/>
      <w:spacing w:line="240" w:lineRule="auto"/>
      <w:ind w:firstLine="0"/>
      <w:jc w:val="left"/>
    </w:pPr>
    <w:rPr>
      <w:rFonts w:ascii="Times New Roman" w:eastAsia="Batang" w:hAnsi="Times New Roman" w:cs="Times New Roman"/>
      <w:sz w:val="24"/>
      <w:szCs w:val="24"/>
    </w:rPr>
  </w:style>
  <w:style w:type="character" w:customStyle="1" w:styleId="DateChar">
    <w:name w:val="Date Char"/>
    <w:link w:val="Date"/>
    <w:locked/>
    <w:rsid w:val="007A2759"/>
    <w:rPr>
      <w:rFonts w:ascii="Times New Roman" w:eastAsia="Batang" w:hAnsi="Times New Roman" w:cs="Times New Roman"/>
      <w:sz w:val="24"/>
      <w:szCs w:val="24"/>
    </w:rPr>
  </w:style>
  <w:style w:type="paragraph" w:styleId="Salutation">
    <w:name w:val="Salutation"/>
    <w:basedOn w:val="Normal"/>
    <w:next w:val="Normal"/>
    <w:link w:val="SalutationChar"/>
    <w:rsid w:val="007A2759"/>
    <w:pPr>
      <w:widowControl/>
      <w:bidi w:val="0"/>
      <w:spacing w:line="240" w:lineRule="auto"/>
      <w:ind w:firstLine="0"/>
      <w:jc w:val="left"/>
    </w:pPr>
    <w:rPr>
      <w:rFonts w:ascii="Times New Roman" w:eastAsia="Batang" w:hAnsi="Times New Roman" w:cs="Times New Roman"/>
      <w:sz w:val="24"/>
      <w:szCs w:val="24"/>
    </w:rPr>
  </w:style>
  <w:style w:type="character" w:customStyle="1" w:styleId="SalutationChar">
    <w:name w:val="Salutation Char"/>
    <w:link w:val="Salutation"/>
    <w:locked/>
    <w:rsid w:val="007A2759"/>
    <w:rPr>
      <w:rFonts w:ascii="Times New Roman" w:eastAsia="Batang" w:hAnsi="Times New Roman" w:cs="Times New Roman"/>
      <w:sz w:val="24"/>
      <w:szCs w:val="24"/>
    </w:rPr>
  </w:style>
  <w:style w:type="character" w:styleId="HTMLAcronym">
    <w:name w:val="HTML Acronym"/>
    <w:rsid w:val="007A2759"/>
    <w:rPr>
      <w:rFonts w:cs="Times New Roman"/>
    </w:rPr>
  </w:style>
  <w:style w:type="paragraph" w:styleId="Signature">
    <w:name w:val="Signature"/>
    <w:basedOn w:val="Normal"/>
    <w:link w:val="SignatureChar"/>
    <w:rsid w:val="007A2759"/>
    <w:pPr>
      <w:widowControl/>
      <w:bidi w:val="0"/>
      <w:spacing w:line="240" w:lineRule="auto"/>
      <w:ind w:left="4320" w:firstLine="0"/>
      <w:jc w:val="left"/>
    </w:pPr>
    <w:rPr>
      <w:rFonts w:ascii="Times New Roman" w:eastAsia="Batang" w:hAnsi="Times New Roman" w:cs="Times New Roman"/>
      <w:sz w:val="24"/>
      <w:szCs w:val="24"/>
    </w:rPr>
  </w:style>
  <w:style w:type="character" w:customStyle="1" w:styleId="SignatureChar">
    <w:name w:val="Signature Char"/>
    <w:link w:val="Signature"/>
    <w:locked/>
    <w:rsid w:val="007A2759"/>
    <w:rPr>
      <w:rFonts w:ascii="Times New Roman" w:eastAsia="Batang" w:hAnsi="Times New Roman" w:cs="Times New Roman"/>
      <w:sz w:val="24"/>
      <w:szCs w:val="24"/>
    </w:rPr>
  </w:style>
  <w:style w:type="paragraph" w:styleId="E-mailSignature">
    <w:name w:val="E-mail Signature"/>
    <w:basedOn w:val="Normal"/>
    <w:link w:val="E-mailSignatureChar"/>
    <w:rsid w:val="007A2759"/>
    <w:pPr>
      <w:widowControl/>
      <w:bidi w:val="0"/>
      <w:spacing w:line="240" w:lineRule="auto"/>
      <w:ind w:firstLine="0"/>
      <w:jc w:val="left"/>
    </w:pPr>
    <w:rPr>
      <w:rFonts w:ascii="Times New Roman" w:eastAsia="Batang" w:hAnsi="Times New Roman" w:cs="Times New Roman"/>
      <w:sz w:val="24"/>
      <w:szCs w:val="24"/>
    </w:rPr>
  </w:style>
  <w:style w:type="character" w:customStyle="1" w:styleId="E-mailSignatureChar">
    <w:name w:val="E-mail Signature Char"/>
    <w:link w:val="E-mailSignature"/>
    <w:locked/>
    <w:rsid w:val="007A2759"/>
    <w:rPr>
      <w:rFonts w:ascii="Times New Roman" w:eastAsia="Batang" w:hAnsi="Times New Roman" w:cs="Times New Roman"/>
      <w:sz w:val="24"/>
      <w:szCs w:val="24"/>
    </w:rPr>
  </w:style>
  <w:style w:type="table" w:styleId="TableElegant">
    <w:name w:val="Table Elegant"/>
    <w:basedOn w:val="TableNormal"/>
    <w:rsid w:val="007A2759"/>
    <w:rPr>
      <w:rFonts w:ascii="Times New Roman" w:eastAsia="Batang"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3Deffects1">
    <w:name w:val="Table 3D effects 1"/>
    <w:basedOn w:val="TableNormal"/>
    <w:rsid w:val="007A2759"/>
    <w:rPr>
      <w:rFonts w:ascii="Times New Roman" w:eastAsia="Batang" w:hAnsi="Times New Roman"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7A2759"/>
    <w:rPr>
      <w:rFonts w:ascii="Times New Roman" w:eastAsia="Batang" w:hAnsi="Times New Roman"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rsid w:val="007A2759"/>
    <w:rPr>
      <w:rFonts w:ascii="Times New Roman" w:eastAsia="Batang" w:hAnsi="Times New Roman"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imple1">
    <w:name w:val="Table Simple 1"/>
    <w:basedOn w:val="TableNormal"/>
    <w:rsid w:val="007A2759"/>
    <w:rPr>
      <w:rFonts w:ascii="Times New Roman" w:eastAsia="Batang" w:hAnsi="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7A2759"/>
    <w:rPr>
      <w:rFonts w:ascii="Times New Roman" w:eastAsia="Batang" w:hAnsi="Times New Roman"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7A2759"/>
    <w:rPr>
      <w:rFonts w:ascii="Times New Roman" w:eastAsia="Batang" w:hAnsi="Times New Roman"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7A2759"/>
    <w:rPr>
      <w:rFonts w:ascii="Times New Roman" w:eastAsia="Batang" w:hAnsi="Times New Roman"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rsid w:val="007A2759"/>
    <w:rPr>
      <w:rFonts w:ascii="Times New Roman" w:eastAsia="Batang" w:hAnsi="Times New Roman"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Professional">
    <w:name w:val="Table Professional"/>
    <w:basedOn w:val="TableNormal"/>
    <w:rsid w:val="007A2759"/>
    <w:rPr>
      <w:rFonts w:ascii="Times New Roman" w:eastAsia="Batang"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Classic1">
    <w:name w:val="Table Classic 1"/>
    <w:basedOn w:val="TableNormal"/>
    <w:rsid w:val="007A2759"/>
    <w:rPr>
      <w:rFonts w:ascii="Times New Roman" w:eastAsia="Batang" w:hAnsi="Times New Roman"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rsid w:val="007A2759"/>
    <w:rPr>
      <w:rFonts w:ascii="Times New Roman" w:eastAsia="Batang"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rsid w:val="007A2759"/>
    <w:rPr>
      <w:rFonts w:ascii="Times New Roman" w:eastAsia="Batang"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rsid w:val="007A2759"/>
    <w:rPr>
      <w:rFonts w:ascii="Times New Roman" w:eastAsia="Batang" w:hAnsi="Times New Roman"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ntemporary">
    <w:name w:val="Table Contemporary"/>
    <w:basedOn w:val="TableNormal"/>
    <w:rsid w:val="007A2759"/>
    <w:rPr>
      <w:rFonts w:ascii="Times New Roman" w:eastAsia="Batang" w:hAnsi="Times New Roman"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Colorful1">
    <w:name w:val="Table Colorful 1"/>
    <w:basedOn w:val="TableNormal"/>
    <w:rsid w:val="007A2759"/>
    <w:rPr>
      <w:rFonts w:ascii="Times New Roman" w:eastAsia="Batang"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rsid w:val="007A2759"/>
    <w:rPr>
      <w:rFonts w:ascii="Times New Roman" w:eastAsia="Batang" w:hAnsi="Times New Roman"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rsid w:val="007A2759"/>
    <w:rPr>
      <w:rFonts w:ascii="Times New Roman" w:eastAsia="Batang"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Web1">
    <w:name w:val="Table Web 1"/>
    <w:basedOn w:val="TableNormal"/>
    <w:rsid w:val="007A2759"/>
    <w:rPr>
      <w:rFonts w:ascii="Times New Roman" w:eastAsia="Batang"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rsid w:val="007A2759"/>
    <w:rPr>
      <w:rFonts w:ascii="Times New Roman" w:eastAsia="Batang"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rsid w:val="007A2759"/>
    <w:rPr>
      <w:rFonts w:ascii="Times New Roman" w:eastAsia="Batang"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Closing">
    <w:name w:val="Closing"/>
    <w:basedOn w:val="Normal"/>
    <w:link w:val="ClosingChar"/>
    <w:rsid w:val="007A2759"/>
    <w:pPr>
      <w:widowControl/>
      <w:bidi w:val="0"/>
      <w:spacing w:line="240" w:lineRule="auto"/>
      <w:ind w:left="4320" w:firstLine="0"/>
      <w:jc w:val="left"/>
    </w:pPr>
    <w:rPr>
      <w:rFonts w:ascii="Times New Roman" w:eastAsia="Batang" w:hAnsi="Times New Roman" w:cs="Times New Roman"/>
      <w:sz w:val="24"/>
      <w:szCs w:val="24"/>
    </w:rPr>
  </w:style>
  <w:style w:type="character" w:customStyle="1" w:styleId="ClosingChar">
    <w:name w:val="Closing Char"/>
    <w:link w:val="Closing"/>
    <w:locked/>
    <w:rsid w:val="007A2759"/>
    <w:rPr>
      <w:rFonts w:ascii="Times New Roman" w:eastAsia="Batang" w:hAnsi="Times New Roman" w:cs="Times New Roman"/>
      <w:sz w:val="24"/>
      <w:szCs w:val="24"/>
    </w:rPr>
  </w:style>
  <w:style w:type="paragraph" w:styleId="MessageHeader">
    <w:name w:val="Message Header"/>
    <w:basedOn w:val="Normal"/>
    <w:link w:val="MessageHeaderChar"/>
    <w:rsid w:val="007A2759"/>
    <w:pPr>
      <w:widowControl/>
      <w:pBdr>
        <w:top w:val="single" w:sz="6" w:space="1" w:color="auto"/>
        <w:left w:val="single" w:sz="6" w:space="1" w:color="auto"/>
        <w:bottom w:val="single" w:sz="6" w:space="1" w:color="auto"/>
        <w:right w:val="single" w:sz="6" w:space="1" w:color="auto"/>
      </w:pBdr>
      <w:shd w:val="pct20" w:color="auto" w:fill="auto"/>
      <w:bidi w:val="0"/>
      <w:spacing w:line="240" w:lineRule="auto"/>
      <w:ind w:left="1080" w:hanging="1080"/>
      <w:jc w:val="left"/>
    </w:pPr>
    <w:rPr>
      <w:rFonts w:ascii="Arial" w:eastAsia="Batang" w:hAnsi="Arial" w:cs="Arial"/>
      <w:sz w:val="24"/>
      <w:szCs w:val="24"/>
    </w:rPr>
  </w:style>
  <w:style w:type="character" w:customStyle="1" w:styleId="MessageHeaderChar">
    <w:name w:val="Message Header Char"/>
    <w:link w:val="MessageHeader"/>
    <w:locked/>
    <w:rsid w:val="007A2759"/>
    <w:rPr>
      <w:rFonts w:ascii="Arial" w:eastAsia="Batang" w:hAnsi="Arial" w:cs="Arial"/>
      <w:sz w:val="24"/>
      <w:szCs w:val="24"/>
      <w:shd w:val="pct20" w:color="auto" w:fill="auto"/>
    </w:rPr>
  </w:style>
  <w:style w:type="table" w:styleId="TableTheme">
    <w:name w:val="Table Theme"/>
    <w:basedOn w:val="TableNormal"/>
    <w:rsid w:val="007A2759"/>
    <w:rPr>
      <w:rFonts w:ascii="Times New Roman" w:eastAsia="Batang"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7A2759"/>
    <w:rPr>
      <w:rFonts w:ascii="Times New Roman" w:eastAsia="Batang"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rsid w:val="007A2759"/>
    <w:rPr>
      <w:rFonts w:ascii="Times New Roman" w:eastAsia="Batang" w:hAnsi="Times New Roman"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rsid w:val="007A2759"/>
    <w:rPr>
      <w:rFonts w:ascii="Times New Roman" w:eastAsia="Batang"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rsid w:val="007A2759"/>
    <w:rPr>
      <w:rFonts w:ascii="Times New Roman" w:eastAsia="Batang" w:hAnsi="Times New Roman"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rsid w:val="007A2759"/>
    <w:rPr>
      <w:rFonts w:ascii="Times New Roman" w:eastAsia="Batang"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rsid w:val="007A2759"/>
    <w:rPr>
      <w:rFonts w:ascii="Times New Roman" w:eastAsia="Batang"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rsid w:val="007A2759"/>
    <w:rPr>
      <w:rFonts w:ascii="Times New Roman" w:eastAsia="Batang"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rsid w:val="007A2759"/>
    <w:rPr>
      <w:rFonts w:ascii="Times New Roman" w:eastAsia="Batang"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styleId="HTMLAddress">
    <w:name w:val="HTML Address"/>
    <w:basedOn w:val="Normal"/>
    <w:link w:val="HTMLAddressChar"/>
    <w:rsid w:val="007A2759"/>
    <w:pPr>
      <w:widowControl/>
      <w:bidi w:val="0"/>
      <w:spacing w:line="240" w:lineRule="auto"/>
      <w:ind w:firstLine="0"/>
      <w:jc w:val="left"/>
    </w:pPr>
    <w:rPr>
      <w:rFonts w:ascii="Times New Roman" w:eastAsia="Batang" w:hAnsi="Times New Roman" w:cs="Times New Roman"/>
      <w:i/>
      <w:iCs/>
      <w:sz w:val="24"/>
      <w:szCs w:val="24"/>
    </w:rPr>
  </w:style>
  <w:style w:type="character" w:customStyle="1" w:styleId="HTMLAddressChar">
    <w:name w:val="HTML Address Char"/>
    <w:link w:val="HTMLAddress"/>
    <w:locked/>
    <w:rsid w:val="007A2759"/>
    <w:rPr>
      <w:rFonts w:ascii="Times New Roman" w:eastAsia="Batang" w:hAnsi="Times New Roman" w:cs="Times New Roman"/>
      <w:i/>
      <w:iCs/>
      <w:sz w:val="24"/>
      <w:szCs w:val="24"/>
    </w:rPr>
  </w:style>
  <w:style w:type="paragraph" w:styleId="EnvelopeAddress">
    <w:name w:val="envelope address"/>
    <w:basedOn w:val="Normal"/>
    <w:rsid w:val="007A2759"/>
    <w:pPr>
      <w:framePr w:w="7920" w:h="1980" w:hRule="exact" w:hSpace="180" w:wrap="auto" w:hAnchor="page" w:xAlign="center" w:yAlign="bottom"/>
      <w:widowControl/>
      <w:bidi w:val="0"/>
      <w:spacing w:line="240" w:lineRule="auto"/>
      <w:ind w:left="2880" w:firstLine="0"/>
      <w:jc w:val="left"/>
    </w:pPr>
    <w:rPr>
      <w:rFonts w:ascii="Arial" w:eastAsia="Batang" w:hAnsi="Arial" w:cs="Arial"/>
      <w:sz w:val="24"/>
      <w:szCs w:val="24"/>
    </w:rPr>
  </w:style>
  <w:style w:type="paragraph" w:styleId="NoteHeading">
    <w:name w:val="Note Heading"/>
    <w:basedOn w:val="Normal"/>
    <w:next w:val="Normal"/>
    <w:link w:val="NoteHeadingChar"/>
    <w:rsid w:val="007A2759"/>
    <w:pPr>
      <w:widowControl/>
      <w:bidi w:val="0"/>
      <w:spacing w:line="240" w:lineRule="auto"/>
      <w:ind w:firstLine="0"/>
      <w:jc w:val="left"/>
    </w:pPr>
    <w:rPr>
      <w:rFonts w:ascii="Times New Roman" w:eastAsia="Batang" w:hAnsi="Times New Roman" w:cs="Times New Roman"/>
      <w:sz w:val="24"/>
      <w:szCs w:val="24"/>
    </w:rPr>
  </w:style>
  <w:style w:type="character" w:customStyle="1" w:styleId="NoteHeadingChar">
    <w:name w:val="Note Heading Char"/>
    <w:link w:val="NoteHeading"/>
    <w:locked/>
    <w:rsid w:val="007A2759"/>
    <w:rPr>
      <w:rFonts w:ascii="Times New Roman" w:eastAsia="Batang" w:hAnsi="Times New Roman" w:cs="Times New Roman"/>
      <w:sz w:val="24"/>
      <w:szCs w:val="24"/>
    </w:rPr>
  </w:style>
  <w:style w:type="paragraph" w:styleId="List">
    <w:name w:val="List"/>
    <w:basedOn w:val="Normal"/>
    <w:rsid w:val="007A2759"/>
    <w:pPr>
      <w:widowControl/>
      <w:bidi w:val="0"/>
      <w:spacing w:line="240" w:lineRule="auto"/>
      <w:ind w:left="360" w:hanging="360"/>
      <w:jc w:val="left"/>
    </w:pPr>
    <w:rPr>
      <w:rFonts w:ascii="Times New Roman" w:eastAsia="Batang" w:hAnsi="Times New Roman" w:cs="Times New Roman"/>
      <w:sz w:val="24"/>
      <w:szCs w:val="24"/>
    </w:rPr>
  </w:style>
  <w:style w:type="paragraph" w:styleId="List2">
    <w:name w:val="List 2"/>
    <w:basedOn w:val="Normal"/>
    <w:rsid w:val="007A2759"/>
    <w:pPr>
      <w:widowControl/>
      <w:bidi w:val="0"/>
      <w:spacing w:line="240" w:lineRule="auto"/>
      <w:ind w:left="720" w:hanging="360"/>
      <w:jc w:val="left"/>
    </w:pPr>
    <w:rPr>
      <w:rFonts w:ascii="Times New Roman" w:eastAsia="Batang" w:hAnsi="Times New Roman" w:cs="Times New Roman"/>
      <w:sz w:val="24"/>
      <w:szCs w:val="24"/>
    </w:rPr>
  </w:style>
  <w:style w:type="paragraph" w:styleId="List3">
    <w:name w:val="List 3"/>
    <w:basedOn w:val="Normal"/>
    <w:rsid w:val="007A2759"/>
    <w:pPr>
      <w:widowControl/>
      <w:bidi w:val="0"/>
      <w:spacing w:line="240" w:lineRule="auto"/>
      <w:ind w:left="1080" w:hanging="360"/>
      <w:jc w:val="left"/>
    </w:pPr>
    <w:rPr>
      <w:rFonts w:ascii="Times New Roman" w:eastAsia="Batang" w:hAnsi="Times New Roman" w:cs="Times New Roman"/>
      <w:sz w:val="24"/>
      <w:szCs w:val="24"/>
    </w:rPr>
  </w:style>
  <w:style w:type="paragraph" w:styleId="List4">
    <w:name w:val="List 4"/>
    <w:basedOn w:val="Normal"/>
    <w:rsid w:val="007A2759"/>
    <w:pPr>
      <w:widowControl/>
      <w:bidi w:val="0"/>
      <w:spacing w:line="240" w:lineRule="auto"/>
      <w:ind w:left="1440" w:hanging="360"/>
      <w:jc w:val="left"/>
    </w:pPr>
    <w:rPr>
      <w:rFonts w:ascii="Times New Roman" w:eastAsia="Batang" w:hAnsi="Times New Roman" w:cs="Times New Roman"/>
      <w:sz w:val="24"/>
      <w:szCs w:val="24"/>
    </w:rPr>
  </w:style>
  <w:style w:type="paragraph" w:styleId="List5">
    <w:name w:val="List 5"/>
    <w:basedOn w:val="Normal"/>
    <w:rsid w:val="007A2759"/>
    <w:pPr>
      <w:widowControl/>
      <w:bidi w:val="0"/>
      <w:spacing w:line="240" w:lineRule="auto"/>
      <w:ind w:left="1800" w:hanging="360"/>
      <w:jc w:val="left"/>
    </w:pPr>
    <w:rPr>
      <w:rFonts w:ascii="Times New Roman" w:eastAsia="Batang" w:hAnsi="Times New Roman" w:cs="Times New Roman"/>
      <w:sz w:val="24"/>
      <w:szCs w:val="24"/>
    </w:rPr>
  </w:style>
  <w:style w:type="table" w:styleId="TableList1">
    <w:name w:val="Table List 1"/>
    <w:basedOn w:val="TableNormal"/>
    <w:rsid w:val="007A2759"/>
    <w:rPr>
      <w:rFonts w:ascii="Times New Roman" w:eastAsia="Batang"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rsid w:val="007A2759"/>
    <w:rPr>
      <w:rFonts w:ascii="Times New Roman" w:eastAsia="Batang" w:hAnsi="Times New Roman"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rsid w:val="007A2759"/>
    <w:rPr>
      <w:rFonts w:ascii="Times New Roman" w:eastAsia="Batang" w:hAnsi="Times New Roman"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rsid w:val="007A2759"/>
    <w:rPr>
      <w:rFonts w:ascii="Times New Roman" w:eastAsia="Batang"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7A2759"/>
    <w:rPr>
      <w:rFonts w:ascii="Times New Roman" w:eastAsia="Batang"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rsid w:val="007A2759"/>
    <w:rPr>
      <w:rFonts w:ascii="Times New Roman" w:eastAsia="Batang"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rsid w:val="007A2759"/>
    <w:rPr>
      <w:rFonts w:ascii="Times New Roman" w:eastAsia="Batang"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rsid w:val="007A2759"/>
    <w:rPr>
      <w:rFonts w:ascii="Times New Roman" w:eastAsia="Batang"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ListNumber">
    <w:name w:val="List Number"/>
    <w:basedOn w:val="Normal"/>
    <w:rsid w:val="007A2759"/>
    <w:pPr>
      <w:widowControl/>
      <w:numPr>
        <w:numId w:val="24"/>
      </w:numPr>
      <w:bidi w:val="0"/>
      <w:spacing w:line="240" w:lineRule="auto"/>
      <w:jc w:val="left"/>
    </w:pPr>
    <w:rPr>
      <w:rFonts w:ascii="Times New Roman" w:eastAsia="Batang" w:hAnsi="Times New Roman" w:cs="Times New Roman"/>
      <w:sz w:val="24"/>
      <w:szCs w:val="24"/>
    </w:rPr>
  </w:style>
  <w:style w:type="paragraph" w:styleId="ListNumber2">
    <w:name w:val="List Number 2"/>
    <w:basedOn w:val="Normal"/>
    <w:rsid w:val="007A2759"/>
    <w:pPr>
      <w:widowControl/>
      <w:numPr>
        <w:numId w:val="25"/>
      </w:numPr>
      <w:bidi w:val="0"/>
      <w:spacing w:line="240" w:lineRule="auto"/>
      <w:jc w:val="left"/>
    </w:pPr>
    <w:rPr>
      <w:rFonts w:ascii="Times New Roman" w:eastAsia="Batang" w:hAnsi="Times New Roman" w:cs="Times New Roman"/>
      <w:sz w:val="24"/>
      <w:szCs w:val="24"/>
    </w:rPr>
  </w:style>
  <w:style w:type="paragraph" w:styleId="ListNumber3">
    <w:name w:val="List Number 3"/>
    <w:basedOn w:val="Normal"/>
    <w:rsid w:val="007A2759"/>
    <w:pPr>
      <w:widowControl/>
      <w:numPr>
        <w:numId w:val="26"/>
      </w:numPr>
      <w:bidi w:val="0"/>
      <w:spacing w:line="240" w:lineRule="auto"/>
      <w:jc w:val="left"/>
    </w:pPr>
    <w:rPr>
      <w:rFonts w:ascii="Times New Roman" w:eastAsia="Batang" w:hAnsi="Times New Roman" w:cs="Times New Roman"/>
      <w:sz w:val="24"/>
      <w:szCs w:val="24"/>
    </w:rPr>
  </w:style>
  <w:style w:type="paragraph" w:styleId="ListNumber4">
    <w:name w:val="List Number 4"/>
    <w:basedOn w:val="Normal"/>
    <w:rsid w:val="007A2759"/>
    <w:pPr>
      <w:widowControl/>
      <w:numPr>
        <w:numId w:val="27"/>
      </w:numPr>
      <w:bidi w:val="0"/>
      <w:spacing w:line="240" w:lineRule="auto"/>
      <w:jc w:val="left"/>
    </w:pPr>
    <w:rPr>
      <w:rFonts w:ascii="Times New Roman" w:eastAsia="Batang" w:hAnsi="Times New Roman" w:cs="Times New Roman"/>
      <w:sz w:val="24"/>
      <w:szCs w:val="24"/>
    </w:rPr>
  </w:style>
  <w:style w:type="paragraph" w:styleId="ListNumber5">
    <w:name w:val="List Number 5"/>
    <w:basedOn w:val="Normal"/>
    <w:rsid w:val="007A2759"/>
    <w:pPr>
      <w:widowControl/>
      <w:numPr>
        <w:numId w:val="28"/>
      </w:numPr>
      <w:bidi w:val="0"/>
      <w:spacing w:line="240" w:lineRule="auto"/>
      <w:jc w:val="left"/>
    </w:pPr>
    <w:rPr>
      <w:rFonts w:ascii="Times New Roman" w:eastAsia="Batang" w:hAnsi="Times New Roman" w:cs="Times New Roman"/>
      <w:sz w:val="24"/>
      <w:szCs w:val="24"/>
    </w:rPr>
  </w:style>
  <w:style w:type="paragraph" w:styleId="ListContinue">
    <w:name w:val="List Continue"/>
    <w:basedOn w:val="Normal"/>
    <w:rsid w:val="007A2759"/>
    <w:pPr>
      <w:widowControl/>
      <w:bidi w:val="0"/>
      <w:spacing w:after="120" w:line="240" w:lineRule="auto"/>
      <w:ind w:left="360" w:firstLine="0"/>
      <w:jc w:val="left"/>
    </w:pPr>
    <w:rPr>
      <w:rFonts w:ascii="Times New Roman" w:eastAsia="Batang" w:hAnsi="Times New Roman" w:cs="Times New Roman"/>
      <w:sz w:val="24"/>
      <w:szCs w:val="24"/>
    </w:rPr>
  </w:style>
  <w:style w:type="paragraph" w:styleId="ListContinue2">
    <w:name w:val="List Continue 2"/>
    <w:basedOn w:val="Normal"/>
    <w:rsid w:val="007A2759"/>
    <w:pPr>
      <w:widowControl/>
      <w:bidi w:val="0"/>
      <w:spacing w:after="120" w:line="240" w:lineRule="auto"/>
      <w:ind w:left="720" w:firstLine="0"/>
      <w:jc w:val="left"/>
    </w:pPr>
    <w:rPr>
      <w:rFonts w:ascii="Times New Roman" w:eastAsia="Batang" w:hAnsi="Times New Roman" w:cs="Times New Roman"/>
      <w:sz w:val="24"/>
      <w:szCs w:val="24"/>
    </w:rPr>
  </w:style>
  <w:style w:type="paragraph" w:styleId="ListContinue3">
    <w:name w:val="List Continue 3"/>
    <w:basedOn w:val="Normal"/>
    <w:rsid w:val="007A2759"/>
    <w:pPr>
      <w:widowControl/>
      <w:bidi w:val="0"/>
      <w:spacing w:after="120" w:line="240" w:lineRule="auto"/>
      <w:ind w:left="1080" w:firstLine="0"/>
      <w:jc w:val="left"/>
    </w:pPr>
    <w:rPr>
      <w:rFonts w:ascii="Times New Roman" w:eastAsia="Batang" w:hAnsi="Times New Roman" w:cs="Times New Roman"/>
      <w:sz w:val="24"/>
      <w:szCs w:val="24"/>
    </w:rPr>
  </w:style>
  <w:style w:type="paragraph" w:styleId="ListContinue4">
    <w:name w:val="List Continue 4"/>
    <w:basedOn w:val="Normal"/>
    <w:rsid w:val="007A2759"/>
    <w:pPr>
      <w:widowControl/>
      <w:bidi w:val="0"/>
      <w:spacing w:after="120" w:line="240" w:lineRule="auto"/>
      <w:ind w:left="1440" w:firstLine="0"/>
      <w:jc w:val="left"/>
    </w:pPr>
    <w:rPr>
      <w:rFonts w:ascii="Times New Roman" w:eastAsia="Batang" w:hAnsi="Times New Roman" w:cs="Times New Roman"/>
      <w:sz w:val="24"/>
      <w:szCs w:val="24"/>
    </w:rPr>
  </w:style>
  <w:style w:type="paragraph" w:styleId="ListContinue5">
    <w:name w:val="List Continue 5"/>
    <w:basedOn w:val="Normal"/>
    <w:rsid w:val="007A2759"/>
    <w:pPr>
      <w:widowControl/>
      <w:bidi w:val="0"/>
      <w:spacing w:after="120" w:line="240" w:lineRule="auto"/>
      <w:ind w:left="1800" w:firstLine="0"/>
      <w:jc w:val="left"/>
    </w:pPr>
    <w:rPr>
      <w:rFonts w:ascii="Times New Roman" w:eastAsia="Batang" w:hAnsi="Times New Roman" w:cs="Times New Roman"/>
      <w:sz w:val="24"/>
      <w:szCs w:val="24"/>
    </w:rPr>
  </w:style>
  <w:style w:type="paragraph" w:styleId="ListBullet">
    <w:name w:val="List Bullet"/>
    <w:basedOn w:val="Normal"/>
    <w:rsid w:val="007A2759"/>
    <w:pPr>
      <w:widowControl/>
      <w:numPr>
        <w:numId w:val="29"/>
      </w:numPr>
      <w:bidi w:val="0"/>
      <w:spacing w:line="240" w:lineRule="auto"/>
      <w:jc w:val="left"/>
    </w:pPr>
    <w:rPr>
      <w:rFonts w:ascii="Times New Roman" w:eastAsia="Batang" w:hAnsi="Times New Roman" w:cs="Times New Roman"/>
      <w:sz w:val="24"/>
      <w:szCs w:val="24"/>
    </w:rPr>
  </w:style>
  <w:style w:type="paragraph" w:styleId="ListBullet2">
    <w:name w:val="List Bullet 2"/>
    <w:basedOn w:val="Normal"/>
    <w:rsid w:val="007A2759"/>
    <w:pPr>
      <w:widowControl/>
      <w:numPr>
        <w:numId w:val="30"/>
      </w:numPr>
      <w:bidi w:val="0"/>
      <w:spacing w:line="240" w:lineRule="auto"/>
      <w:jc w:val="left"/>
    </w:pPr>
    <w:rPr>
      <w:rFonts w:ascii="Times New Roman" w:eastAsia="Batang" w:hAnsi="Times New Roman" w:cs="Times New Roman"/>
      <w:sz w:val="24"/>
      <w:szCs w:val="24"/>
    </w:rPr>
  </w:style>
  <w:style w:type="paragraph" w:styleId="ListBullet3">
    <w:name w:val="List Bullet 3"/>
    <w:basedOn w:val="Normal"/>
    <w:rsid w:val="007A2759"/>
    <w:pPr>
      <w:widowControl/>
      <w:numPr>
        <w:numId w:val="31"/>
      </w:numPr>
      <w:bidi w:val="0"/>
      <w:spacing w:line="240" w:lineRule="auto"/>
      <w:jc w:val="left"/>
    </w:pPr>
    <w:rPr>
      <w:rFonts w:ascii="Times New Roman" w:eastAsia="Batang" w:hAnsi="Times New Roman" w:cs="Times New Roman"/>
      <w:sz w:val="24"/>
      <w:szCs w:val="24"/>
    </w:rPr>
  </w:style>
  <w:style w:type="paragraph" w:styleId="ListBullet4">
    <w:name w:val="List Bullet 4"/>
    <w:basedOn w:val="Normal"/>
    <w:rsid w:val="007A2759"/>
    <w:pPr>
      <w:widowControl/>
      <w:numPr>
        <w:numId w:val="32"/>
      </w:numPr>
      <w:bidi w:val="0"/>
      <w:spacing w:line="240" w:lineRule="auto"/>
      <w:jc w:val="left"/>
    </w:pPr>
    <w:rPr>
      <w:rFonts w:ascii="Times New Roman" w:eastAsia="Batang" w:hAnsi="Times New Roman" w:cs="Times New Roman"/>
      <w:sz w:val="24"/>
      <w:szCs w:val="24"/>
    </w:rPr>
  </w:style>
  <w:style w:type="paragraph" w:styleId="ListBullet5">
    <w:name w:val="List Bullet 5"/>
    <w:basedOn w:val="Normal"/>
    <w:rsid w:val="007A2759"/>
    <w:pPr>
      <w:widowControl/>
      <w:numPr>
        <w:numId w:val="33"/>
      </w:numPr>
      <w:bidi w:val="0"/>
      <w:spacing w:line="240" w:lineRule="auto"/>
      <w:jc w:val="left"/>
    </w:pPr>
    <w:rPr>
      <w:rFonts w:ascii="Times New Roman" w:eastAsia="Batang" w:hAnsi="Times New Roman" w:cs="Times New Roman"/>
      <w:sz w:val="24"/>
      <w:szCs w:val="24"/>
    </w:rPr>
  </w:style>
  <w:style w:type="character" w:styleId="HTMLKeyboard">
    <w:name w:val="HTML Keyboard"/>
    <w:rsid w:val="007A2759"/>
    <w:rPr>
      <w:rFonts w:ascii="Courier New" w:hAnsi="Courier New" w:cs="Courier New"/>
      <w:sz w:val="20"/>
      <w:szCs w:val="20"/>
    </w:rPr>
  </w:style>
  <w:style w:type="paragraph" w:styleId="EnvelopeReturn">
    <w:name w:val="envelope return"/>
    <w:basedOn w:val="Normal"/>
    <w:rsid w:val="007A2759"/>
    <w:pPr>
      <w:widowControl/>
      <w:bidi w:val="0"/>
      <w:spacing w:line="240" w:lineRule="auto"/>
      <w:ind w:firstLine="0"/>
      <w:jc w:val="left"/>
    </w:pPr>
    <w:rPr>
      <w:rFonts w:ascii="Arial" w:eastAsia="Batang" w:hAnsi="Arial" w:cs="Arial"/>
      <w:sz w:val="20"/>
      <w:szCs w:val="20"/>
    </w:rPr>
  </w:style>
  <w:style w:type="paragraph" w:styleId="BodyTextFirstIndent">
    <w:name w:val="Body Text First Indent"/>
    <w:basedOn w:val="BodyText"/>
    <w:link w:val="BodyTextFirstIndentChar"/>
    <w:rsid w:val="007A2759"/>
    <w:pPr>
      <w:bidi w:val="0"/>
      <w:spacing w:after="120"/>
      <w:ind w:firstLine="210"/>
      <w:jc w:val="left"/>
    </w:pPr>
    <w:rPr>
      <w:rFonts w:cs="Times New Roman"/>
      <w:sz w:val="24"/>
      <w:szCs w:val="24"/>
      <w:lang w:eastAsia="en-US"/>
    </w:rPr>
  </w:style>
  <w:style w:type="character" w:customStyle="1" w:styleId="BodyTextFirstIndentChar">
    <w:name w:val="Body Text First Indent Char"/>
    <w:link w:val="BodyTextFirstIndent"/>
    <w:locked/>
    <w:rsid w:val="007A2759"/>
    <w:rPr>
      <w:rFonts w:ascii="Times New Roman" w:eastAsia="Batang" w:hAnsi="Times New Roman" w:cs="Times New Roman"/>
      <w:sz w:val="24"/>
      <w:szCs w:val="24"/>
      <w:lang w:val="x-none" w:eastAsia="ar-SA" w:bidi="ar-SA"/>
    </w:rPr>
  </w:style>
  <w:style w:type="paragraph" w:styleId="BodyTextFirstIndent2">
    <w:name w:val="Body Text First Indent 2"/>
    <w:basedOn w:val="BodyTextIndent"/>
    <w:link w:val="BodyTextFirstIndent2Char"/>
    <w:rsid w:val="007A2759"/>
    <w:pPr>
      <w:widowControl/>
      <w:bidi w:val="0"/>
      <w:spacing w:after="120"/>
      <w:ind w:left="360" w:firstLine="210"/>
      <w:jc w:val="left"/>
    </w:pPr>
    <w:rPr>
      <w:color w:val="auto"/>
      <w:sz w:val="24"/>
      <w:szCs w:val="24"/>
    </w:rPr>
  </w:style>
  <w:style w:type="character" w:customStyle="1" w:styleId="BodyTextFirstIndent2Char">
    <w:name w:val="Body Text First Indent 2 Char"/>
    <w:link w:val="BodyTextFirstIndent2"/>
    <w:locked/>
    <w:rsid w:val="007A2759"/>
    <w:rPr>
      <w:rFonts w:ascii="Times New Roman" w:eastAsia="Batang" w:hAnsi="Times New Roman" w:cs="Times New Roman"/>
      <w:color w:val="800000"/>
      <w:sz w:val="24"/>
      <w:szCs w:val="24"/>
    </w:rPr>
  </w:style>
  <w:style w:type="character" w:styleId="HTMLSample">
    <w:name w:val="HTML Sample"/>
    <w:rsid w:val="007A2759"/>
    <w:rPr>
      <w:rFonts w:ascii="Courier New" w:hAnsi="Courier New" w:cs="Courier New"/>
    </w:rPr>
  </w:style>
  <w:style w:type="paragraph" w:customStyle="1" w:styleId="afffff">
    <w:name w:val="الهامــش"/>
    <w:rsid w:val="007A2759"/>
    <w:pPr>
      <w:autoSpaceDE w:val="0"/>
      <w:autoSpaceDN w:val="0"/>
      <w:bidi/>
      <w:spacing w:line="399" w:lineRule="atLeast"/>
      <w:ind w:right="255" w:firstLine="255"/>
      <w:jc w:val="both"/>
    </w:pPr>
    <w:rPr>
      <w:rFonts w:ascii="Times New Roman" w:eastAsia="Batang" w:hAnsi="Times New Roman" w:cs="Times New Roman"/>
      <w:bCs/>
      <w:sz w:val="22"/>
      <w:szCs w:val="22"/>
    </w:rPr>
  </w:style>
  <w:style w:type="character" w:customStyle="1" w:styleId="Heading1CharChar0">
    <w:name w:val="Heading 1 Char Char"/>
    <w:rsid w:val="007A2759"/>
    <w:rPr>
      <w:rFonts w:ascii="Arial" w:eastAsia="Times New Roman" w:hAnsi="Arial" w:cs="AA  Safwa"/>
      <w:sz w:val="40"/>
      <w:szCs w:val="40"/>
      <w:lang w:val="en-US" w:eastAsia="ar-SA" w:bidi="ar-SA"/>
    </w:rPr>
  </w:style>
  <w:style w:type="paragraph" w:customStyle="1" w:styleId="afffff0">
    <w:name w:val="سرد الفقرات"/>
    <w:basedOn w:val="Normal"/>
    <w:rsid w:val="007A2759"/>
    <w:pPr>
      <w:widowControl/>
      <w:spacing w:after="200" w:line="276" w:lineRule="auto"/>
      <w:ind w:left="720" w:firstLine="0"/>
      <w:jc w:val="left"/>
    </w:pPr>
    <w:rPr>
      <w:rFonts w:ascii="Calibri" w:hAnsi="Calibri" w:cs="Arial"/>
      <w:sz w:val="22"/>
      <w:szCs w:val="22"/>
    </w:rPr>
  </w:style>
  <w:style w:type="character" w:customStyle="1" w:styleId="EndnoteTextCharChar">
    <w:name w:val="Endnote Text Char Char"/>
    <w:rsid w:val="007A2759"/>
    <w:rPr>
      <w:rFonts w:cs="Lotus Linotype"/>
      <w:sz w:val="28"/>
      <w:szCs w:val="28"/>
      <w:lang w:val="en-US" w:eastAsia="ar-SA" w:bidi="ar-SA"/>
    </w:rPr>
  </w:style>
  <w:style w:type="paragraph" w:customStyle="1" w:styleId="15001">
    <w:name w:val="نمط نمط نمط عنوان جانبي + ‏15 نقطة قبل:  0 نقطة بعد:  0 نقطة + ‏1..."/>
    <w:basedOn w:val="Normal"/>
    <w:rsid w:val="007A2759"/>
    <w:pPr>
      <w:spacing w:before="80" w:after="40"/>
      <w:ind w:firstLine="0"/>
    </w:pPr>
    <w:rPr>
      <w:rFonts w:ascii="Lotus Linotype" w:eastAsia="Batang" w:hAnsi="Lotus Linotype" w:cs="MCS Taybah S_U normal."/>
      <w:sz w:val="27"/>
      <w:szCs w:val="27"/>
    </w:rPr>
  </w:style>
  <w:style w:type="paragraph" w:customStyle="1" w:styleId="afffff1">
    <w:name w:val="عنوان كبير"/>
    <w:basedOn w:val="Normal"/>
    <w:rsid w:val="007A2759"/>
    <w:pPr>
      <w:suppressLineNumbers/>
      <w:overflowPunct w:val="0"/>
      <w:autoSpaceDE w:val="0"/>
      <w:autoSpaceDN w:val="0"/>
      <w:adjustRightInd w:val="0"/>
      <w:spacing w:before="1080" w:after="1080" w:line="204" w:lineRule="auto"/>
      <w:ind w:firstLine="340"/>
      <w:jc w:val="center"/>
      <w:textAlignment w:val="baseline"/>
    </w:pPr>
    <w:rPr>
      <w:rFonts w:ascii="Times New Roman" w:eastAsia="Batang" w:hAnsi="Times New Roman" w:cs="Al-SandHigh"/>
      <w:sz w:val="31"/>
      <w:szCs w:val="52"/>
      <w:lang w:eastAsia="ar-SA"/>
    </w:rPr>
  </w:style>
  <w:style w:type="paragraph" w:customStyle="1" w:styleId="611951">
    <w:name w:val="نمط نمط عنوان 6 + السطر الأول:  1 سم تباعد الأسطر:  تام 19.5 نقطة...1"/>
    <w:basedOn w:val="61195"/>
    <w:rsid w:val="007A2759"/>
    <w:pPr>
      <w:spacing w:line="390" w:lineRule="exact"/>
      <w:ind w:left="0" w:firstLine="0"/>
      <w:jc w:val="lowKashida"/>
    </w:pPr>
    <w:rPr>
      <w:rFonts w:cs="Simplified Arabic"/>
      <w:bCs w:val="0"/>
      <w:color w:val="FFFFFF"/>
      <w:sz w:val="20"/>
      <w:szCs w:val="26"/>
    </w:rPr>
  </w:style>
  <w:style w:type="paragraph" w:customStyle="1" w:styleId="26">
    <w:name w:val="نمط نمط2 + أبيض"/>
    <w:basedOn w:val="20"/>
    <w:rsid w:val="007A2759"/>
    <w:rPr>
      <w:color w:val="FFFFFF"/>
    </w:rPr>
  </w:style>
  <w:style w:type="paragraph" w:customStyle="1" w:styleId="611952">
    <w:name w:val="نمط نمط عنوان 6 + السطر الأول:  1 سم تباعد الأسطر:  تام 19.5 نقطة...2"/>
    <w:basedOn w:val="61195"/>
    <w:rsid w:val="007A2759"/>
    <w:pPr>
      <w:spacing w:line="418" w:lineRule="exact"/>
      <w:ind w:left="0" w:firstLine="0"/>
      <w:jc w:val="lowKashida"/>
    </w:pPr>
    <w:rPr>
      <w:rFonts w:cs="Simplified Arabic"/>
      <w:bCs w:val="0"/>
      <w:color w:val="FFFFFF"/>
      <w:sz w:val="26"/>
      <w:szCs w:val="28"/>
    </w:rPr>
  </w:style>
  <w:style w:type="paragraph" w:customStyle="1" w:styleId="611953">
    <w:name w:val="نمط نمط عنوان 6 + السطر الأول:  1 سم تباعد الأسطر:  تام 19.5 نقطة...3"/>
    <w:basedOn w:val="61195"/>
    <w:rsid w:val="007A2759"/>
    <w:pPr>
      <w:spacing w:line="418" w:lineRule="exact"/>
      <w:ind w:left="0" w:firstLine="0"/>
      <w:jc w:val="lowKashida"/>
    </w:pPr>
    <w:rPr>
      <w:rFonts w:cs="Simplified Arabic"/>
      <w:bCs w:val="0"/>
      <w:color w:val="FFFFFF"/>
      <w:sz w:val="34"/>
      <w:szCs w:val="24"/>
    </w:rPr>
  </w:style>
  <w:style w:type="paragraph" w:customStyle="1" w:styleId="611954">
    <w:name w:val="نمط نمط عنوان 6 + السطر الأول:  1 سم تباعد الأسطر:  تام 19.5 نقطة...4"/>
    <w:basedOn w:val="61195"/>
    <w:link w:val="611954Char"/>
    <w:rsid w:val="007A2759"/>
    <w:pPr>
      <w:spacing w:line="390" w:lineRule="exact"/>
      <w:ind w:left="0" w:firstLine="0"/>
      <w:jc w:val="lowKashida"/>
    </w:pPr>
    <w:rPr>
      <w:rFonts w:cs="Simplified Arabic"/>
      <w:bCs w:val="0"/>
      <w:color w:val="FFFFFF"/>
      <w:sz w:val="26"/>
      <w:szCs w:val="28"/>
    </w:rPr>
  </w:style>
  <w:style w:type="character" w:customStyle="1" w:styleId="611954Char">
    <w:name w:val="نمط نمط عنوان 6 + السطر الأول:  1 سم تباعد الأسطر:  تام 19.5 نقطة...4 Char"/>
    <w:link w:val="611954"/>
    <w:locked/>
    <w:rsid w:val="007A2759"/>
    <w:rPr>
      <w:rFonts w:ascii="Times New Roman" w:eastAsia="Batang" w:hAnsi="Times New Roman" w:cs="Simplified Arabic"/>
      <w:b/>
      <w:bCs/>
      <w:color w:val="FFFFFF"/>
      <w:sz w:val="28"/>
      <w:szCs w:val="28"/>
      <w:lang w:bidi="ar-SA"/>
    </w:rPr>
  </w:style>
  <w:style w:type="character" w:customStyle="1" w:styleId="Abz-3Yagut13">
    <w:name w:val="نمط (العربية وغيرها) Abz-3 (Yagut) ‏13 نقطة (مركب) غامق أسود ..."/>
    <w:rsid w:val="007A2759"/>
    <w:rPr>
      <w:rFonts w:cs="Abz-3 (Yagut)"/>
      <w:bCs/>
      <w:color w:val="000000"/>
      <w:spacing w:val="0"/>
      <w:sz w:val="26"/>
      <w:szCs w:val="26"/>
      <w:lang w:bidi="ar-SA"/>
    </w:rPr>
  </w:style>
  <w:style w:type="paragraph" w:customStyle="1" w:styleId="afffff2">
    <w:name w:val="تحت الرئيسي"/>
    <w:basedOn w:val="400"/>
    <w:link w:val="Charf6"/>
    <w:rsid w:val="007A2759"/>
    <w:pPr>
      <w:keepNext w:val="0"/>
      <w:spacing w:line="600" w:lineRule="exact"/>
      <w:jc w:val="center"/>
    </w:pPr>
    <w:rPr>
      <w:rFonts w:cs="SKR HEAD1"/>
      <w:b w:val="0"/>
      <w:bCs/>
      <w:color w:val="000000"/>
      <w:spacing w:val="-4"/>
      <w:sz w:val="36"/>
      <w:szCs w:val="36"/>
    </w:rPr>
  </w:style>
  <w:style w:type="character" w:customStyle="1" w:styleId="Charf6">
    <w:name w:val="تحت الرئيسي Char"/>
    <w:link w:val="afffff2"/>
    <w:locked/>
    <w:rsid w:val="007A2759"/>
    <w:rPr>
      <w:rFonts w:ascii="Calibri" w:eastAsia="Batang" w:hAnsi="Calibri" w:cs="SKR HEAD1"/>
      <w:b/>
      <w:bCs/>
      <w:color w:val="000000"/>
      <w:spacing w:val="-4"/>
      <w:sz w:val="36"/>
      <w:szCs w:val="36"/>
      <w:lang w:bidi="ar-SA"/>
    </w:rPr>
  </w:style>
  <w:style w:type="paragraph" w:customStyle="1" w:styleId="afffff3">
    <w:name w:val="عنوان في المتن"/>
    <w:basedOn w:val="1020"/>
    <w:link w:val="Charf7"/>
    <w:rsid w:val="007A2759"/>
    <w:pPr>
      <w:spacing w:before="240" w:after="60"/>
    </w:pPr>
  </w:style>
  <w:style w:type="paragraph" w:customStyle="1" w:styleId="1a">
    <w:name w:val="عنوان داخل المتن 1"/>
    <w:basedOn w:val="af2"/>
    <w:link w:val="1Char2"/>
    <w:rsid w:val="007A2759"/>
    <w:pPr>
      <w:autoSpaceDE/>
      <w:autoSpaceDN/>
      <w:spacing w:line="400" w:lineRule="exact"/>
      <w:jc w:val="left"/>
      <w:outlineLvl w:val="0"/>
    </w:pPr>
    <w:rPr>
      <w:rFonts w:eastAsia="SimSun" w:cs="Abz-3 (Yagut)"/>
      <w:bCs/>
      <w:color w:val="000000"/>
      <w:sz w:val="26"/>
      <w:szCs w:val="26"/>
    </w:rPr>
  </w:style>
  <w:style w:type="character" w:customStyle="1" w:styleId="1Char2">
    <w:name w:val="عنوان داخل المتن 1 Char"/>
    <w:link w:val="1a"/>
    <w:locked/>
    <w:rsid w:val="007A2759"/>
    <w:rPr>
      <w:rFonts w:ascii="Times New Roman" w:eastAsia="SimSun" w:hAnsi="Times New Roman" w:cs="Abz-3 (Yagut)"/>
      <w:bCs/>
      <w:color w:val="000000"/>
      <w:sz w:val="26"/>
      <w:szCs w:val="26"/>
      <w:lang w:val="x-none" w:eastAsia="ar-SA" w:bidi="ar-SA"/>
    </w:rPr>
  </w:style>
  <w:style w:type="character" w:customStyle="1" w:styleId="CharChar5">
    <w:name w:val="Char Char5"/>
    <w:rsid w:val="007A2759"/>
    <w:rPr>
      <w:rFonts w:cs="SKR HEAD1"/>
      <w:color w:val="000000"/>
      <w:spacing w:val="-4"/>
      <w:sz w:val="48"/>
      <w:szCs w:val="48"/>
      <w:lang w:val="en-US" w:eastAsia="en-US" w:bidi="ar-SA"/>
    </w:rPr>
  </w:style>
  <w:style w:type="character" w:customStyle="1" w:styleId="CharChar3">
    <w:name w:val="Char Char3"/>
    <w:rsid w:val="007A2759"/>
    <w:rPr>
      <w:rFonts w:cs="Arial"/>
      <w:bCs/>
      <w:sz w:val="28"/>
      <w:szCs w:val="28"/>
      <w:lang w:val="en-US" w:eastAsia="en-US" w:bidi="ar-SA"/>
    </w:rPr>
  </w:style>
  <w:style w:type="character" w:customStyle="1" w:styleId="CharChar2">
    <w:name w:val="Char Char2"/>
    <w:rsid w:val="007A2759"/>
    <w:rPr>
      <w:rFonts w:cs="Simplified Arabic"/>
      <w:b/>
      <w:color w:val="FFFFFF"/>
      <w:sz w:val="28"/>
      <w:szCs w:val="28"/>
      <w:lang w:val="en-US" w:eastAsia="en-US" w:bidi="ar-SA"/>
    </w:rPr>
  </w:style>
  <w:style w:type="character" w:customStyle="1" w:styleId="CharChar10">
    <w:name w:val="Char Char1"/>
    <w:link w:val="1b"/>
    <w:semiHidden/>
    <w:locked/>
    <w:rsid w:val="007A2759"/>
    <w:rPr>
      <w:rFonts w:cs="md_ameli"/>
      <w:noProof/>
      <w:spacing w:val="-4"/>
      <w:sz w:val="26"/>
      <w:szCs w:val="26"/>
      <w:lang w:val="en-US" w:eastAsia="ar-SA" w:bidi="ar-SA"/>
    </w:rPr>
  </w:style>
  <w:style w:type="paragraph" w:customStyle="1" w:styleId="1c">
    <w:name w:val="موضوع تعليق1"/>
    <w:basedOn w:val="CommentText"/>
    <w:next w:val="CommentText"/>
    <w:semiHidden/>
    <w:rsid w:val="007A2759"/>
    <w:pPr>
      <w:widowControl w:val="0"/>
      <w:spacing w:before="100" w:line="400" w:lineRule="exact"/>
      <w:jc w:val="lowKashida"/>
    </w:pPr>
    <w:rPr>
      <w:rFonts w:cs="md_ameli"/>
      <w:b/>
      <w:bCs/>
      <w:spacing w:val="-4"/>
      <w:sz w:val="24"/>
      <w:lang w:eastAsia="en-US"/>
    </w:rPr>
  </w:style>
  <w:style w:type="paragraph" w:customStyle="1" w:styleId="1d">
    <w:name w:val="نص في بالون1"/>
    <w:basedOn w:val="Normal"/>
    <w:semiHidden/>
    <w:rsid w:val="007A2759"/>
    <w:pPr>
      <w:widowControl/>
      <w:spacing w:line="240" w:lineRule="auto"/>
      <w:ind w:firstLine="0"/>
    </w:pPr>
    <w:rPr>
      <w:rFonts w:ascii="Tahoma" w:eastAsia="Batang" w:hAnsi="Tahoma" w:cs="Tahoma"/>
      <w:sz w:val="16"/>
      <w:szCs w:val="16"/>
    </w:rPr>
  </w:style>
  <w:style w:type="paragraph" w:customStyle="1" w:styleId="afffff4">
    <w:name w:val="مجلة"/>
    <w:rsid w:val="007A2759"/>
    <w:pPr>
      <w:bidi/>
      <w:spacing w:line="471" w:lineRule="atLeast"/>
      <w:jc w:val="lowKashida"/>
    </w:pPr>
    <w:rPr>
      <w:rFonts w:ascii="Times New Roman" w:eastAsia="Batang" w:hAnsi="Times New Roman" w:cs="Times New Roman"/>
      <w:sz w:val="24"/>
      <w:szCs w:val="22"/>
      <w:lang w:eastAsia="ar-SA"/>
    </w:rPr>
  </w:style>
  <w:style w:type="character" w:customStyle="1" w:styleId="afffff5">
    <w:name w:val="هامش فوق"/>
    <w:uiPriority w:val="1"/>
    <w:qFormat/>
    <w:rsid w:val="007A2759"/>
    <w:rPr>
      <w:rFonts w:ascii="Taher" w:hAnsi="Taher" w:cs="Taher"/>
      <w:sz w:val="30"/>
      <w:szCs w:val="30"/>
      <w:vertAlign w:val="superscript"/>
      <w:lang w:bidi="ar-SA"/>
    </w:rPr>
  </w:style>
  <w:style w:type="character" w:customStyle="1" w:styleId="Char7">
    <w:name w:val="اسم الكاتب Char"/>
    <w:link w:val="af6"/>
    <w:locked/>
    <w:rsid w:val="007A2759"/>
    <w:rPr>
      <w:rFonts w:ascii="Times New Roman" w:eastAsia="Batang" w:hAnsi="Times New Roman" w:cs="AF_Najed"/>
      <w:sz w:val="30"/>
      <w:szCs w:val="30"/>
      <w:lang w:val="x-none" w:eastAsia="ar-SA" w:bidi="ar-SA"/>
    </w:rPr>
  </w:style>
  <w:style w:type="paragraph" w:customStyle="1" w:styleId="afffff6">
    <w:name w:val="نمط جديد جدا"/>
    <w:basedOn w:val="af2"/>
    <w:link w:val="Charf8"/>
    <w:rsid w:val="007A2759"/>
    <w:rPr>
      <w:rFonts w:eastAsia="Times New Roman" w:cs="Sultan Medium"/>
    </w:rPr>
  </w:style>
  <w:style w:type="character" w:customStyle="1" w:styleId="Charf8">
    <w:name w:val="نمط جديد جدا Char"/>
    <w:link w:val="afffff6"/>
    <w:locked/>
    <w:rsid w:val="007A2759"/>
    <w:rPr>
      <w:rFonts w:ascii="Times New Roman" w:eastAsia="Batang" w:hAnsi="Times New Roman" w:cs="Sultan Medium"/>
      <w:sz w:val="28"/>
      <w:szCs w:val="28"/>
      <w:lang w:val="x-none" w:eastAsia="ar-SA" w:bidi="ar-SA"/>
    </w:rPr>
  </w:style>
  <w:style w:type="paragraph" w:customStyle="1" w:styleId="afffff7">
    <w:name w:val="متن (كتب)"/>
    <w:basedOn w:val="Normal"/>
    <w:rsid w:val="007A2759"/>
    <w:pPr>
      <w:autoSpaceDE w:val="0"/>
      <w:autoSpaceDN w:val="0"/>
      <w:adjustRightInd w:val="0"/>
      <w:spacing w:line="418" w:lineRule="exact"/>
      <w:ind w:firstLine="567"/>
    </w:pPr>
    <w:rPr>
      <w:rFonts w:ascii="Times New Roman" w:eastAsia="SimSun" w:hAnsi="Times New Roman" w:cs="AL-Mohanad"/>
      <w:sz w:val="26"/>
      <w:szCs w:val="27"/>
      <w:lang w:eastAsia="ar-SA"/>
    </w:rPr>
  </w:style>
  <w:style w:type="character" w:customStyle="1" w:styleId="CharChar9">
    <w:name w:val="Char Char9"/>
    <w:rsid w:val="007A2759"/>
    <w:rPr>
      <w:rFonts w:cs="Arabic Transparent"/>
      <w:sz w:val="28"/>
      <w:szCs w:val="28"/>
      <w:lang w:val="en-US" w:eastAsia="ar-SA" w:bidi="ar-SA"/>
    </w:rPr>
  </w:style>
  <w:style w:type="character" w:customStyle="1" w:styleId="CharChar8">
    <w:name w:val="Char Char8"/>
    <w:rsid w:val="007A2759"/>
    <w:rPr>
      <w:rFonts w:cs="Arabic Transparent"/>
      <w:b/>
      <w:bCs/>
      <w:sz w:val="28"/>
      <w:szCs w:val="28"/>
      <w:lang w:val="en-US" w:eastAsia="ar-SA" w:bidi="ar-SA"/>
    </w:rPr>
  </w:style>
  <w:style w:type="character" w:customStyle="1" w:styleId="CharChar7">
    <w:name w:val="Char Char7"/>
    <w:rsid w:val="007A2759"/>
    <w:rPr>
      <w:rFonts w:ascii="Arial" w:hAnsi="Arial" w:cs="Arial"/>
      <w:b/>
      <w:bCs/>
      <w:sz w:val="26"/>
      <w:szCs w:val="26"/>
      <w:lang w:val="en-US" w:eastAsia="ar-SA" w:bidi="ar-SA"/>
    </w:rPr>
  </w:style>
  <w:style w:type="character" w:customStyle="1" w:styleId="CharChar6">
    <w:name w:val="Char Char6"/>
    <w:rsid w:val="007A2759"/>
    <w:rPr>
      <w:rFonts w:cs="ALAWI-3-62"/>
      <w:color w:val="008000"/>
      <w:sz w:val="28"/>
      <w:szCs w:val="28"/>
      <w:lang w:val="en-US" w:eastAsia="en-US" w:bidi="ar-SA"/>
    </w:rPr>
  </w:style>
  <w:style w:type="character" w:customStyle="1" w:styleId="Charf9">
    <w:name w:val="هوامش Char"/>
    <w:rsid w:val="007A2759"/>
    <w:rPr>
      <w:rFonts w:cs="K Sina"/>
      <w:spacing w:val="-4"/>
      <w:sz w:val="24"/>
      <w:szCs w:val="24"/>
      <w:lang w:val="en-US" w:eastAsia="ar-SA" w:bidi="ar-SA"/>
    </w:rPr>
  </w:style>
  <w:style w:type="character" w:customStyle="1" w:styleId="KSina13Char0">
    <w:name w:val="نمط نمط بقلم وترجمة + (العربية وغيرها) K Sina (لاتيني) ‏13 نقطة د... Char"/>
    <w:rsid w:val="007A2759"/>
    <w:rPr>
      <w:rFonts w:ascii="Times New Roman" w:eastAsia="SimSun" w:hAnsi="Times New Roman" w:cs="K Sina"/>
      <w:b/>
      <w:bCs/>
      <w:sz w:val="20"/>
      <w:szCs w:val="20"/>
      <w:lang w:val="en-US" w:eastAsia="ar-SA" w:bidi="ar-SA"/>
    </w:rPr>
  </w:style>
  <w:style w:type="paragraph" w:customStyle="1" w:styleId="AL-Mohanad13">
    <w:name w:val="نمط اصلى + (العربية وغيرها) AL-Mohanad (لاتيني) ‏13 نقطة (العرب..."/>
    <w:basedOn w:val="af8"/>
    <w:semiHidden/>
    <w:rsid w:val="007A2759"/>
    <w:rPr>
      <w:rFonts w:eastAsia="SimSun" w:cs="AL-Mohanad"/>
      <w:b/>
      <w:bCs w:val="0"/>
      <w:sz w:val="26"/>
      <w:szCs w:val="27"/>
    </w:rPr>
  </w:style>
  <w:style w:type="character" w:customStyle="1" w:styleId="Arial18">
    <w:name w:val="نمط (لاتيني) Arial (لاتيني) ‏18 نقطة (لاتيني) غامق أسود"/>
    <w:semiHidden/>
    <w:rsid w:val="007A2759"/>
    <w:rPr>
      <w:rFonts w:ascii="Arial" w:hAnsi="Arial" w:cs="Times New Roman"/>
      <w:color w:val="000000"/>
      <w:sz w:val="28"/>
    </w:rPr>
  </w:style>
  <w:style w:type="paragraph" w:customStyle="1" w:styleId="34">
    <w:name w:val="نمط3"/>
    <w:basedOn w:val="af0"/>
    <w:rsid w:val="007A2759"/>
    <w:pPr>
      <w:spacing w:line="380" w:lineRule="exact"/>
      <w:ind w:left="284" w:hanging="284"/>
      <w:outlineLvl w:val="9"/>
    </w:pPr>
    <w:rPr>
      <w:rFonts w:eastAsia="SimSun" w:cs="DanaFajr"/>
      <w:position w:val="4"/>
      <w:sz w:val="24"/>
      <w:szCs w:val="28"/>
      <w:lang w:eastAsia="ar-SA"/>
    </w:rPr>
  </w:style>
  <w:style w:type="paragraph" w:customStyle="1" w:styleId="afffff8">
    <w:name w:val="حاشية ملسي يساكمنلتسيمنت"/>
    <w:basedOn w:val="af0"/>
    <w:rsid w:val="007A2759"/>
    <w:pPr>
      <w:spacing w:line="380" w:lineRule="exact"/>
      <w:ind w:left="284" w:hanging="284"/>
      <w:outlineLvl w:val="9"/>
    </w:pPr>
    <w:rPr>
      <w:rFonts w:eastAsia="SimSun" w:cs="DanaFajr"/>
      <w:position w:val="4"/>
      <w:sz w:val="24"/>
      <w:szCs w:val="28"/>
      <w:lang w:eastAsia="ar-SA"/>
    </w:rPr>
  </w:style>
  <w:style w:type="character" w:customStyle="1" w:styleId="Charfa">
    <w:name w:val="تعداد فرعي Char"/>
    <w:rsid w:val="007A2759"/>
    <w:rPr>
      <w:rFonts w:ascii="Times New Roman" w:eastAsia="SimSun" w:hAnsi="Times New Roman" w:cs="AL-Mohanad"/>
      <w:bCs/>
      <w:sz w:val="27"/>
      <w:szCs w:val="27"/>
      <w:lang w:val="en-US" w:eastAsia="ar-SA" w:bidi="ar-SA"/>
    </w:rPr>
  </w:style>
  <w:style w:type="character" w:customStyle="1" w:styleId="Charfb">
    <w:name w:val="الحاشية Char"/>
    <w:rsid w:val="007A2759"/>
    <w:rPr>
      <w:rFonts w:cs="md_ameli"/>
      <w:noProof/>
      <w:spacing w:val="-6"/>
      <w:sz w:val="22"/>
      <w:szCs w:val="22"/>
      <w:lang w:val="en-US" w:eastAsia="ar-SA" w:bidi="ar-SA"/>
    </w:rPr>
  </w:style>
  <w:style w:type="paragraph" w:customStyle="1" w:styleId="afffff9">
    <w:name w:val="الحاشية"/>
    <w:basedOn w:val="Normal"/>
    <w:rsid w:val="007A2759"/>
    <w:pPr>
      <w:spacing w:line="320" w:lineRule="exact"/>
      <w:ind w:firstLine="0"/>
      <w:jc w:val="lowKashida"/>
    </w:pPr>
    <w:rPr>
      <w:rFonts w:ascii="Times New Roman" w:eastAsia="SimSun" w:hAnsi="Times New Roman" w:cs="md_ameli"/>
      <w:noProof/>
      <w:spacing w:val="-6"/>
      <w:sz w:val="22"/>
      <w:szCs w:val="22"/>
      <w:lang w:eastAsia="ar-SA"/>
    </w:rPr>
  </w:style>
  <w:style w:type="character" w:customStyle="1" w:styleId="CharChara">
    <w:name w:val="پا ورقي Char Char"/>
    <w:semiHidden/>
    <w:rsid w:val="007A2759"/>
    <w:rPr>
      <w:rFonts w:cs="Times New Roman"/>
      <w:lang w:val="en-US" w:eastAsia="ar-SA" w:bidi="ar-SA"/>
    </w:rPr>
  </w:style>
  <w:style w:type="paragraph" w:customStyle="1" w:styleId="1b">
    <w:name w:val="عادي1"/>
    <w:link w:val="CharChar10"/>
    <w:semiHidden/>
    <w:rsid w:val="007A2759"/>
    <w:pPr>
      <w:spacing w:line="400" w:lineRule="exact"/>
    </w:pPr>
    <w:rPr>
      <w:rFonts w:cs="md_ameli"/>
      <w:noProof/>
      <w:spacing w:val="-4"/>
      <w:sz w:val="22"/>
      <w:szCs w:val="26"/>
      <w:lang w:eastAsia="ar-SA"/>
    </w:rPr>
  </w:style>
  <w:style w:type="character" w:customStyle="1" w:styleId="Charf7">
    <w:name w:val="عنوان في المتن Char"/>
    <w:basedOn w:val="1020Char"/>
    <w:link w:val="afffff3"/>
    <w:locked/>
    <w:rsid w:val="007A2759"/>
    <w:rPr>
      <w:rFonts w:ascii="Times New Roman" w:eastAsia="Batang" w:hAnsi="Times New Roman" w:cs="Abz-3 (Yagut)"/>
      <w:b/>
      <w:bCs w:val="0"/>
      <w:color w:val="000000"/>
      <w:kern w:val="32"/>
      <w:sz w:val="26"/>
      <w:szCs w:val="26"/>
      <w:lang w:bidi="ar-SA"/>
    </w:rPr>
  </w:style>
  <w:style w:type="character" w:customStyle="1" w:styleId="CharChar24">
    <w:name w:val="Char Char24"/>
    <w:rsid w:val="007A2759"/>
    <w:rPr>
      <w:rFonts w:cs="Simplified Arabic"/>
      <w:bCs/>
      <w:sz w:val="28"/>
      <w:szCs w:val="28"/>
      <w:lang w:val="en-US" w:eastAsia="en-US" w:bidi="ar-SA"/>
    </w:rPr>
  </w:style>
  <w:style w:type="paragraph" w:customStyle="1" w:styleId="42">
    <w:name w:val="سرد الفقرات4"/>
    <w:basedOn w:val="Normal"/>
    <w:rsid w:val="007A2759"/>
    <w:pPr>
      <w:widowControl/>
      <w:spacing w:after="200" w:line="276" w:lineRule="auto"/>
      <w:ind w:left="720" w:firstLine="0"/>
      <w:jc w:val="left"/>
    </w:pPr>
    <w:rPr>
      <w:rFonts w:ascii="Calibri" w:hAnsi="Calibri" w:cs="Arial"/>
      <w:sz w:val="22"/>
      <w:szCs w:val="22"/>
    </w:rPr>
  </w:style>
  <w:style w:type="paragraph" w:customStyle="1" w:styleId="newsb">
    <w:name w:val="newsb"/>
    <w:basedOn w:val="Normal"/>
    <w:rsid w:val="007A2759"/>
    <w:pPr>
      <w:widowControl/>
      <w:shd w:val="clear" w:color="auto" w:fill="FFFFFF"/>
      <w:bidi w:val="0"/>
      <w:spacing w:before="100" w:beforeAutospacing="1" w:after="100" w:afterAutospacing="1" w:line="236" w:lineRule="atLeast"/>
      <w:ind w:left="354" w:right="354" w:firstLine="0"/>
    </w:pPr>
    <w:rPr>
      <w:rFonts w:ascii="Times New Roman" w:hAnsi="Times New Roman" w:cs="Simplified Arabic"/>
      <w:b/>
      <w:bCs/>
      <w:color w:val="000000"/>
      <w:sz w:val="19"/>
      <w:szCs w:val="19"/>
      <w:lang w:bidi="ar-LB"/>
    </w:rPr>
  </w:style>
  <w:style w:type="character" w:customStyle="1" w:styleId="Hyperlink1">
    <w:name w:val="Hyperlink1"/>
    <w:rsid w:val="007A2759"/>
    <w:rPr>
      <w:rFonts w:cs="Times New Roman"/>
      <w:color w:val="CC6600"/>
      <w:u w:val="none"/>
      <w:effect w:val="none"/>
    </w:rPr>
  </w:style>
  <w:style w:type="character" w:customStyle="1" w:styleId="Taher">
    <w:name w:val="نمط (العربية وغيرها) Taher"/>
    <w:rsid w:val="007A2759"/>
    <w:rPr>
      <w:rFonts w:ascii="Arial" w:hAnsi="Arial" w:cs="Taher"/>
      <w:lang w:bidi="ar-SA"/>
    </w:rPr>
  </w:style>
  <w:style w:type="character" w:customStyle="1" w:styleId="24">
    <w:name w:val="تيتر2 نویسه"/>
    <w:link w:val="23"/>
    <w:locked/>
    <w:rsid w:val="007A2759"/>
    <w:rPr>
      <w:rFonts w:ascii="Times New Roman" w:eastAsia="Batang" w:hAnsi="Times New Roman" w:cs="Times New Roman"/>
      <w:b/>
      <w:bCs/>
      <w:sz w:val="28"/>
      <w:szCs w:val="28"/>
      <w:lang w:val="en-US" w:eastAsia="ar-SA" w:bidi="ar-SA"/>
    </w:rPr>
  </w:style>
  <w:style w:type="character" w:customStyle="1" w:styleId="CharChar23">
    <w:name w:val="Char Char23"/>
    <w:rsid w:val="007A2759"/>
    <w:rPr>
      <w:rFonts w:eastAsia="PMingLiU" w:cs="DanaFajr"/>
      <w:sz w:val="28"/>
      <w:szCs w:val="28"/>
      <w:lang w:val="en-US" w:eastAsia="ar-SA" w:bidi="ar-SA"/>
    </w:rPr>
  </w:style>
  <w:style w:type="paragraph" w:customStyle="1" w:styleId="afffffa">
    <w:name w:val="المتن كتب"/>
    <w:basedOn w:val="Normal"/>
    <w:rsid w:val="007A2759"/>
    <w:pPr>
      <w:spacing w:line="480" w:lineRule="exact"/>
    </w:pPr>
    <w:rPr>
      <w:rFonts w:ascii="Times New Roman" w:eastAsia="PMingLiU" w:hAnsi="Times New Roman"/>
      <w:sz w:val="32"/>
      <w:szCs w:val="32"/>
      <w:lang w:eastAsia="ar-SA"/>
    </w:rPr>
  </w:style>
  <w:style w:type="character" w:customStyle="1" w:styleId="FootnoteTextChar1">
    <w:name w:val="Footnote Text Char1"/>
    <w:aliases w:val="پا ورقي Char1,هامش Char1,نص حاشية سفلية Char Char Char Char1,نص حاشية سفلية1 Char Char2,نص حاشية سفلية1 Char Char Char2,نص حاشية سفلية1 Char Char Char Char1,هامش سفلي Char1,Char Char13,Char Char Char Char1,Footnote Text Char Char"/>
    <w:semiHidden/>
    <w:locked/>
    <w:rsid w:val="00D530F6"/>
    <w:rPr>
      <w:sz w:val="20"/>
    </w:rPr>
  </w:style>
  <w:style w:type="paragraph" w:customStyle="1" w:styleId="Heading111">
    <w:name w:val="Heading 111"/>
    <w:basedOn w:val="Normal"/>
    <w:rsid w:val="00D530F6"/>
    <w:pPr>
      <w:widowControl/>
      <w:spacing w:before="120" w:line="460" w:lineRule="exact"/>
      <w:ind w:firstLine="0"/>
    </w:pPr>
    <w:rPr>
      <w:rFonts w:ascii="Times New Roman" w:eastAsia="Batang" w:hAnsi="Times New Roman"/>
      <w:color w:val="FFFFFF"/>
      <w:sz w:val="24"/>
      <w:szCs w:val="20"/>
      <w:lang w:eastAsia="ar-SA"/>
    </w:rPr>
  </w:style>
  <w:style w:type="character" w:customStyle="1" w:styleId="CharChar12">
    <w:name w:val="Char Char12"/>
    <w:rsid w:val="00D530F6"/>
    <w:rPr>
      <w:sz w:val="28"/>
      <w:lang w:val="en-US" w:eastAsia="en-US"/>
    </w:rPr>
  </w:style>
  <w:style w:type="character" w:customStyle="1" w:styleId="CharChar42">
    <w:name w:val="Char Char42"/>
    <w:rsid w:val="00D530F6"/>
    <w:rPr>
      <w:color w:val="000000"/>
      <w:sz w:val="28"/>
      <w:lang w:val="en-US" w:eastAsia="en-US"/>
    </w:rPr>
  </w:style>
  <w:style w:type="character" w:customStyle="1" w:styleId="CharChar51">
    <w:name w:val="Char Char51"/>
    <w:rsid w:val="00D530F6"/>
    <w:rPr>
      <w:b/>
      <w:color w:val="000000"/>
      <w:sz w:val="40"/>
      <w:lang w:val="en-US" w:eastAsia="en-US"/>
    </w:rPr>
  </w:style>
  <w:style w:type="character" w:customStyle="1" w:styleId="CharChar31">
    <w:name w:val="Char Char31"/>
    <w:rsid w:val="00D530F6"/>
    <w:rPr>
      <w:b/>
      <w:sz w:val="40"/>
      <w:lang w:val="en-US" w:eastAsia="ar-SA" w:bidi="ar-SA"/>
    </w:rPr>
  </w:style>
  <w:style w:type="character" w:customStyle="1" w:styleId="CharChar21">
    <w:name w:val="Char Char21"/>
    <w:semiHidden/>
    <w:rsid w:val="00D530F6"/>
    <w:rPr>
      <w:sz w:val="28"/>
      <w:lang w:val="x-none" w:eastAsia="ar-SA" w:bidi="ar-SA"/>
    </w:rPr>
  </w:style>
  <w:style w:type="character" w:customStyle="1" w:styleId="CharChar11">
    <w:name w:val="Char Char11"/>
    <w:rsid w:val="00D530F6"/>
    <w:rPr>
      <w:lang w:val="en-US" w:eastAsia="ar-SA" w:bidi="ar-SA"/>
    </w:rPr>
  </w:style>
  <w:style w:type="character" w:customStyle="1" w:styleId="CharChar100">
    <w:name w:val="Char Char10"/>
    <w:semiHidden/>
    <w:rsid w:val="00D530F6"/>
    <w:rPr>
      <w:color w:val="800000"/>
      <w:sz w:val="28"/>
    </w:rPr>
  </w:style>
  <w:style w:type="character" w:customStyle="1" w:styleId="CharChar41">
    <w:name w:val="Char Char41"/>
    <w:rsid w:val="00D530F6"/>
    <w:rPr>
      <w:color w:val="000000"/>
      <w:sz w:val="28"/>
      <w:lang w:val="en-US" w:eastAsia="en-US"/>
    </w:rPr>
  </w:style>
  <w:style w:type="paragraph" w:customStyle="1" w:styleId="124">
    <w:name w:val="نمط عنوان 1 + تباعد الأسطر:  تام 24 نقطة"/>
    <w:basedOn w:val="Heading1"/>
    <w:link w:val="124Char"/>
    <w:rsid w:val="00D530F6"/>
    <w:pPr>
      <w:keepLines w:val="0"/>
    </w:pPr>
    <w:rPr>
      <w:rFonts w:ascii="Times New Roman" w:eastAsia="Batang" w:hAnsi="Times New Roman" w:cs="Times New Roman"/>
      <w:bCs/>
      <w:kern w:val="32"/>
      <w:sz w:val="28"/>
      <w:szCs w:val="36"/>
    </w:rPr>
  </w:style>
  <w:style w:type="character" w:customStyle="1" w:styleId="HEADING1Char2">
    <w:name w:val="HEADING 1 Char2"/>
    <w:link w:val="Heading12"/>
    <w:semiHidden/>
    <w:locked/>
    <w:rsid w:val="00D530F6"/>
    <w:rPr>
      <w:color w:val="FFFFFF"/>
      <w:sz w:val="24"/>
      <w:lang w:val="x-none" w:eastAsia="ar-SA" w:bidi="ar-SA"/>
    </w:rPr>
  </w:style>
  <w:style w:type="character" w:customStyle="1" w:styleId="130Char0">
    <w:name w:val="نمط نمط العنوان الجانبي اساس + (لاتيني) ‏13 نقطة قبل:  0 نقطة تبا... Char"/>
    <w:link w:val="1301"/>
    <w:locked/>
    <w:rsid w:val="00D530F6"/>
    <w:rPr>
      <w:rFonts w:ascii="Times New Roman" w:eastAsia="Batang" w:hAnsi="Times New Roman"/>
      <w:color w:val="000000"/>
      <w:sz w:val="30"/>
      <w:lang w:val="x-none" w:eastAsia="ar-SA" w:bidi="ar-SA"/>
    </w:rPr>
  </w:style>
  <w:style w:type="paragraph" w:customStyle="1" w:styleId="Char225">
    <w:name w:val="نمط عنوان المقال Char + تباعد الأسطر:  تام 22.5 نقطة"/>
    <w:basedOn w:val="Chard"/>
    <w:rsid w:val="00D530F6"/>
    <w:pPr>
      <w:spacing w:line="450" w:lineRule="exact"/>
      <w:jc w:val="center"/>
    </w:pPr>
    <w:rPr>
      <w:rFonts w:cs="Mosawi"/>
      <w:b/>
      <w:sz w:val="50"/>
      <w:szCs w:val="40"/>
    </w:rPr>
  </w:style>
  <w:style w:type="paragraph" w:customStyle="1" w:styleId="afffffb">
    <w:name w:val="الايسر"/>
    <w:basedOn w:val="KSina13"/>
    <w:rsid w:val="00D530F6"/>
    <w:pPr>
      <w:ind w:left="0"/>
      <w:jc w:val="right"/>
    </w:pPr>
    <w:rPr>
      <w:rFonts w:cs="Mosawi"/>
      <w:sz w:val="20"/>
      <w:szCs w:val="22"/>
    </w:rPr>
  </w:style>
  <w:style w:type="paragraph" w:customStyle="1" w:styleId="Char2250">
    <w:name w:val="نمط نمط عنوان المقال Char + تباعد الأسطر:  تام 22.5 نقطة + تباعد ..."/>
    <w:basedOn w:val="Char225"/>
    <w:rsid w:val="00D530F6"/>
    <w:pPr>
      <w:spacing w:line="240" w:lineRule="auto"/>
    </w:pPr>
  </w:style>
  <w:style w:type="paragraph" w:customStyle="1" w:styleId="220">
    <w:name w:val="نمط الايسر + تباعد الأسطر:  تام 22 نقطة"/>
    <w:basedOn w:val="afffffb"/>
    <w:rsid w:val="00D530F6"/>
    <w:pPr>
      <w:spacing w:line="240" w:lineRule="auto"/>
    </w:pPr>
  </w:style>
  <w:style w:type="paragraph" w:customStyle="1" w:styleId="1302">
    <w:name w:val="نمط نمط نمط العنوان الجانبي اساس + (لاتيني) ‏13 نقطة قبل:  0 نقطة..."/>
    <w:basedOn w:val="1301"/>
    <w:link w:val="130Char1"/>
    <w:rsid w:val="00D530F6"/>
    <w:pPr>
      <w:spacing w:line="240" w:lineRule="auto"/>
      <w:jc w:val="left"/>
    </w:pPr>
    <w:rPr>
      <w:sz w:val="28"/>
      <w:szCs w:val="20"/>
    </w:rPr>
  </w:style>
  <w:style w:type="character" w:customStyle="1" w:styleId="130Char1">
    <w:name w:val="نمط نمط نمط العنوان الجانبي اساس + (لاتيني) ‏13 نقطة قبل:  0 نقطة... Char"/>
    <w:link w:val="1302"/>
    <w:locked/>
    <w:rsid w:val="00D530F6"/>
    <w:rPr>
      <w:rFonts w:ascii="Times New Roman" w:eastAsia="Batang" w:hAnsi="Times New Roman"/>
      <w:color w:val="000000"/>
      <w:sz w:val="20"/>
      <w:lang w:val="x-none" w:eastAsia="ar-SA" w:bidi="ar-SA"/>
    </w:rPr>
  </w:style>
  <w:style w:type="paragraph" w:customStyle="1" w:styleId="35">
    <w:name w:val="3"/>
    <w:basedOn w:val="Normal"/>
    <w:semiHidden/>
    <w:rsid w:val="00D530F6"/>
    <w:pPr>
      <w:widowControl/>
      <w:spacing w:line="390" w:lineRule="exact"/>
      <w:ind w:left="284" w:hanging="284"/>
    </w:pPr>
    <w:rPr>
      <w:rFonts w:ascii="MS Sans Serif" w:eastAsia="Batang" w:hAnsi="MS Sans Serif" w:cs="Traditional Arabic"/>
      <w:b/>
      <w:noProof/>
      <w:sz w:val="26"/>
      <w:szCs w:val="26"/>
      <w:lang w:eastAsia="ar-SA"/>
    </w:rPr>
  </w:style>
  <w:style w:type="paragraph" w:customStyle="1" w:styleId="1Al-Hussain19">
    <w:name w:val="نمط نمط عنوان 1 + (العربية وغيرها) Al-Hussain (لاتيني) ‏19 نقطة (..."/>
    <w:basedOn w:val="Normal"/>
    <w:rsid w:val="00D530F6"/>
    <w:pPr>
      <w:keepNext/>
      <w:widowControl/>
      <w:spacing w:line="560" w:lineRule="exact"/>
      <w:ind w:firstLine="0"/>
      <w:jc w:val="left"/>
      <w:outlineLvl w:val="0"/>
    </w:pPr>
    <w:rPr>
      <w:rFonts w:ascii="Times New Roman" w:eastAsia="Batang" w:hAnsi="Times New Roman" w:cs="Al-Hussain"/>
      <w:b/>
      <w:bCs/>
      <w:color w:val="000000"/>
      <w:sz w:val="38"/>
      <w:szCs w:val="36"/>
      <w:lang w:eastAsia="ar-SA"/>
    </w:rPr>
  </w:style>
  <w:style w:type="paragraph" w:customStyle="1" w:styleId="3Abz-3Yagut">
    <w:name w:val="نمط عنوان 3 + (العربية وغيرها) Abz-3 (Yagut)"/>
    <w:basedOn w:val="Heading3"/>
    <w:link w:val="3Abz-3YagutChar"/>
    <w:rsid w:val="00D530F6"/>
    <w:pPr>
      <w:keepNext/>
      <w:spacing w:before="240" w:after="60" w:line="216" w:lineRule="auto"/>
      <w:ind w:left="720" w:hanging="432"/>
    </w:pPr>
    <w:rPr>
      <w:rFonts w:ascii="Cambria" w:eastAsia="Batang" w:hAnsi="Cambria" w:cs="Times New Roman"/>
      <w:b/>
      <w:bCs/>
      <w:color w:val="auto"/>
      <w:sz w:val="26"/>
      <w:szCs w:val="26"/>
    </w:rPr>
  </w:style>
  <w:style w:type="character" w:customStyle="1" w:styleId="3Abz-3YagutChar">
    <w:name w:val="نمط عنوان 3 + (العربية وغيرها) Abz-3 (Yagut) Char"/>
    <w:link w:val="3Abz-3Yagut"/>
    <w:locked/>
    <w:rsid w:val="00D530F6"/>
    <w:rPr>
      <w:rFonts w:ascii="Cambria" w:eastAsia="Batang" w:hAnsi="Cambria"/>
      <w:b/>
      <w:sz w:val="26"/>
    </w:rPr>
  </w:style>
  <w:style w:type="paragraph" w:customStyle="1" w:styleId="9">
    <w:name w:val="نمط عنوان 9 + (مركب) غامق"/>
    <w:basedOn w:val="Heading9"/>
    <w:rsid w:val="00D530F6"/>
    <w:rPr>
      <w:rFonts w:cs="Times New Roman"/>
      <w:szCs w:val="20"/>
    </w:rPr>
  </w:style>
  <w:style w:type="paragraph" w:customStyle="1" w:styleId="3Abz-3Yagut0">
    <w:name w:val="نمط نمط عنوان 3 + (العربية وغيرها) Abz-3 (Yagut) + تباعد الأسطر: ..."/>
    <w:basedOn w:val="3Abz-3Yagut"/>
    <w:rsid w:val="00D530F6"/>
  </w:style>
  <w:style w:type="paragraph" w:customStyle="1" w:styleId="afffffc">
    <w:name w:val="الفاصلة بين العنوان"/>
    <w:basedOn w:val="afffff7"/>
    <w:rsid w:val="00D530F6"/>
    <w:pPr>
      <w:spacing w:line="240" w:lineRule="auto"/>
    </w:pPr>
    <w:rPr>
      <w:rFonts w:cs="Mosawi"/>
      <w:szCs w:val="24"/>
    </w:rPr>
  </w:style>
  <w:style w:type="paragraph" w:customStyle="1" w:styleId="1e">
    <w:name w:val="عنوان البحث 1"/>
    <w:basedOn w:val="Normal"/>
    <w:rsid w:val="00D530F6"/>
    <w:pPr>
      <w:spacing w:after="60" w:line="460" w:lineRule="exact"/>
      <w:ind w:firstLine="0"/>
      <w:jc w:val="center"/>
      <w:outlineLvl w:val="0"/>
    </w:pPr>
    <w:rPr>
      <w:rFonts w:ascii="Times New Roman" w:eastAsia="Batang" w:hAnsi="Times New Roman" w:cs="Abz-3 (Yagut)"/>
      <w:bCs/>
      <w:sz w:val="36"/>
      <w:szCs w:val="36"/>
      <w:lang w:eastAsia="ar-SA"/>
    </w:rPr>
  </w:style>
  <w:style w:type="paragraph" w:customStyle="1" w:styleId="afffffd">
    <w:name w:val="المدخل"/>
    <w:basedOn w:val="Normal"/>
    <w:rsid w:val="00D530F6"/>
    <w:pPr>
      <w:spacing w:line="460" w:lineRule="exact"/>
      <w:ind w:firstLine="539"/>
      <w:jc w:val="center"/>
    </w:pPr>
    <w:rPr>
      <w:rFonts w:ascii="Times New Roman" w:eastAsia="Batang" w:hAnsi="Times New Roman" w:cs="AGA Juhyna Regular"/>
      <w:b/>
      <w:bCs/>
      <w:sz w:val="48"/>
      <w:szCs w:val="48"/>
      <w:lang w:eastAsia="ar-SA"/>
    </w:rPr>
  </w:style>
  <w:style w:type="paragraph" w:customStyle="1" w:styleId="Heading12">
    <w:name w:val="Heading 12"/>
    <w:basedOn w:val="Normal"/>
    <w:link w:val="HEADING1Char2"/>
    <w:semiHidden/>
    <w:rsid w:val="00D530F6"/>
    <w:pPr>
      <w:widowControl/>
      <w:spacing w:before="120" w:line="480" w:lineRule="exact"/>
      <w:ind w:firstLine="0"/>
      <w:jc w:val="left"/>
    </w:pPr>
    <w:rPr>
      <w:rFonts w:ascii="Calibri" w:hAnsi="Calibri" w:cs="Times New Roman"/>
      <w:color w:val="FFFFFF"/>
      <w:sz w:val="24"/>
      <w:szCs w:val="20"/>
      <w:lang w:eastAsia="ar-SA"/>
    </w:rPr>
  </w:style>
  <w:style w:type="paragraph" w:customStyle="1" w:styleId="1f">
    <w:name w:val="عنوان الكتاب1"/>
    <w:basedOn w:val="Normal"/>
    <w:rsid w:val="00D530F6"/>
    <w:pPr>
      <w:spacing w:line="240" w:lineRule="auto"/>
      <w:ind w:firstLine="0"/>
      <w:jc w:val="center"/>
    </w:pPr>
    <w:rPr>
      <w:rFonts w:ascii="Times New Roman" w:eastAsia="Batang" w:hAnsi="Times New Roman" w:cs="Bader"/>
      <w:sz w:val="76"/>
      <w:szCs w:val="71"/>
      <w:lang w:eastAsia="ar-SA"/>
    </w:rPr>
  </w:style>
  <w:style w:type="paragraph" w:customStyle="1" w:styleId="afffffe">
    <w:name w:val="اسم المؤلف"/>
    <w:basedOn w:val="Normal"/>
    <w:rsid w:val="00D530F6"/>
    <w:pPr>
      <w:spacing w:line="240" w:lineRule="auto"/>
      <w:ind w:left="284" w:right="284" w:firstLine="0"/>
      <w:jc w:val="lowKashida"/>
    </w:pPr>
    <w:rPr>
      <w:rFonts w:ascii="Times New Roman" w:eastAsia="Batang" w:hAnsi="Times New Roman" w:cs="Ya-Ali"/>
      <w:sz w:val="32"/>
      <w:szCs w:val="32"/>
      <w:lang w:eastAsia="ar-SA"/>
    </w:rPr>
  </w:style>
  <w:style w:type="paragraph" w:customStyle="1" w:styleId="affffff">
    <w:name w:val="عنوان المقال"/>
    <w:basedOn w:val="Title"/>
    <w:rsid w:val="00D530F6"/>
    <w:pPr>
      <w:widowControl w:val="0"/>
      <w:spacing w:line="480" w:lineRule="exact"/>
      <w:jc w:val="left"/>
    </w:pPr>
    <w:rPr>
      <w:rFonts w:cs="HeshamNormal"/>
      <w:b w:val="0"/>
      <w:bCs w:val="0"/>
      <w:sz w:val="26"/>
      <w:szCs w:val="50"/>
    </w:rPr>
  </w:style>
  <w:style w:type="paragraph" w:customStyle="1" w:styleId="affffff0">
    <w:name w:val="تحت البحث"/>
    <w:basedOn w:val="124"/>
    <w:link w:val="Charfc"/>
    <w:rsid w:val="00D530F6"/>
  </w:style>
  <w:style w:type="paragraph" w:customStyle="1" w:styleId="1f0">
    <w:name w:val="اسم المؤلف1"/>
    <w:basedOn w:val="KSina130"/>
    <w:link w:val="1Char3"/>
    <w:rsid w:val="00D530F6"/>
    <w:pPr>
      <w:widowControl w:val="0"/>
      <w:spacing w:line="460" w:lineRule="exact"/>
      <w:ind w:left="4282"/>
      <w:jc w:val="right"/>
    </w:pPr>
    <w:rPr>
      <w:rFonts w:eastAsia="SimSun"/>
      <w:sz w:val="20"/>
    </w:rPr>
  </w:style>
  <w:style w:type="character" w:customStyle="1" w:styleId="124Char">
    <w:name w:val="نمط عنوان 1 + تباعد الأسطر:  تام 24 نقطة Char"/>
    <w:link w:val="124"/>
    <w:locked/>
    <w:rsid w:val="00D530F6"/>
    <w:rPr>
      <w:rFonts w:ascii="Times New Roman" w:eastAsia="Batang" w:hAnsi="Times New Roman" w:cs="Times New Roman"/>
      <w:b/>
      <w:bCs/>
      <w:kern w:val="32"/>
      <w:sz w:val="36"/>
      <w:szCs w:val="36"/>
      <w:lang w:bidi="ar-SA"/>
    </w:rPr>
  </w:style>
  <w:style w:type="character" w:customStyle="1" w:styleId="Charfc">
    <w:name w:val="تحت البحث Char"/>
    <w:basedOn w:val="124Char"/>
    <w:link w:val="affffff0"/>
    <w:locked/>
    <w:rsid w:val="00D530F6"/>
    <w:rPr>
      <w:rFonts w:ascii="Times New Roman" w:eastAsia="Batang" w:hAnsi="Times New Roman" w:cs="Times New Roman"/>
      <w:b/>
      <w:bCs/>
      <w:kern w:val="32"/>
      <w:sz w:val="36"/>
      <w:szCs w:val="36"/>
      <w:lang w:bidi="ar-SA"/>
    </w:rPr>
  </w:style>
  <w:style w:type="paragraph" w:customStyle="1" w:styleId="affffff1">
    <w:name w:val="متن اسود"/>
    <w:basedOn w:val="ac"/>
    <w:link w:val="Charfd"/>
    <w:rsid w:val="00D530F6"/>
    <w:pPr>
      <w:spacing w:before="80" w:line="420" w:lineRule="exact"/>
      <w:ind w:firstLine="539"/>
    </w:pPr>
    <w:rPr>
      <w:rFonts w:cs="Abz-3 (Yagut)"/>
      <w:b/>
      <w:bCs/>
      <w:sz w:val="25"/>
      <w:szCs w:val="23"/>
      <w:lang w:eastAsia="ar-SA"/>
    </w:rPr>
  </w:style>
  <w:style w:type="character" w:customStyle="1" w:styleId="1Char3">
    <w:name w:val="اسم المؤلف1 Char"/>
    <w:basedOn w:val="KSina13Char0"/>
    <w:link w:val="1f0"/>
    <w:locked/>
    <w:rsid w:val="00D530F6"/>
    <w:rPr>
      <w:rFonts w:ascii="Times New Roman" w:eastAsia="SimSun" w:hAnsi="Times New Roman" w:cs="K Sina"/>
      <w:b/>
      <w:bCs/>
      <w:sz w:val="20"/>
      <w:szCs w:val="20"/>
      <w:lang w:val="en-US" w:eastAsia="ar-SA" w:bidi="ar-SA"/>
    </w:rPr>
  </w:style>
  <w:style w:type="character" w:customStyle="1" w:styleId="Charfd">
    <w:name w:val="متن اسود Char"/>
    <w:link w:val="affffff1"/>
    <w:locked/>
    <w:rsid w:val="00D530F6"/>
    <w:rPr>
      <w:rFonts w:ascii="Arno Pro Display" w:eastAsia="Batang" w:hAnsi="Arno Pro Display" w:cs="Abz-3 (Yagut)"/>
      <w:b/>
      <w:bCs/>
      <w:sz w:val="23"/>
      <w:szCs w:val="23"/>
      <w:lang w:val="x-none" w:eastAsia="ar-SA" w:bidi="ar-SA"/>
    </w:rPr>
  </w:style>
  <w:style w:type="paragraph" w:customStyle="1" w:styleId="affffff2">
    <w:name w:val="تعداد"/>
    <w:basedOn w:val="afffff3"/>
    <w:rsid w:val="00D530F6"/>
    <w:pPr>
      <w:spacing w:before="60" w:after="0" w:line="460" w:lineRule="exact"/>
      <w:jc w:val="lowKashida"/>
      <w:outlineLvl w:val="2"/>
    </w:pPr>
    <w:rPr>
      <w:rFonts w:ascii="Arial" w:hAnsi="Arial" w:cs="Ya-Ali"/>
      <w:color w:val="auto"/>
      <w:sz w:val="24"/>
      <w:szCs w:val="24"/>
      <w:lang w:eastAsia="ar-SA"/>
    </w:rPr>
  </w:style>
  <w:style w:type="paragraph" w:customStyle="1" w:styleId="Anmat">
    <w:name w:val="Anmat"/>
    <w:basedOn w:val="1e"/>
    <w:semiHidden/>
    <w:rsid w:val="00D530F6"/>
  </w:style>
  <w:style w:type="paragraph" w:customStyle="1" w:styleId="Anmat2">
    <w:name w:val="Anmat2"/>
    <w:basedOn w:val="1e"/>
    <w:semiHidden/>
    <w:rsid w:val="00D530F6"/>
    <w:rPr>
      <w:rFonts w:cs="Ya-Ali"/>
      <w:b/>
      <w:bCs w:val="0"/>
      <w:sz w:val="32"/>
      <w:szCs w:val="32"/>
    </w:rPr>
  </w:style>
  <w:style w:type="paragraph" w:customStyle="1" w:styleId="affffff3">
    <w:name w:val="عناوين فرعية"/>
    <w:basedOn w:val="affffff2"/>
    <w:rsid w:val="00D530F6"/>
    <w:pPr>
      <w:spacing w:before="140" w:line="440" w:lineRule="exact"/>
    </w:pPr>
    <w:rPr>
      <w:sz w:val="28"/>
      <w:szCs w:val="27"/>
    </w:rPr>
  </w:style>
  <w:style w:type="character" w:customStyle="1" w:styleId="Charfe">
    <w:name w:val="رابع Char"/>
    <w:link w:val="affffff4"/>
    <w:locked/>
    <w:rsid w:val="00D530F6"/>
    <w:rPr>
      <w:rFonts w:cs="K Farnaz"/>
      <w:b/>
      <w:sz w:val="24"/>
      <w:szCs w:val="24"/>
      <w:lang w:bidi="ar-SA"/>
    </w:rPr>
  </w:style>
  <w:style w:type="paragraph" w:customStyle="1" w:styleId="affffff4">
    <w:name w:val="رابع"/>
    <w:basedOn w:val="Normal"/>
    <w:link w:val="Charfe"/>
    <w:rsid w:val="00D530F6"/>
    <w:pPr>
      <w:widowControl/>
      <w:spacing w:before="60" w:line="240" w:lineRule="auto"/>
      <w:ind w:firstLine="397"/>
      <w:jc w:val="lowKashida"/>
    </w:pPr>
    <w:rPr>
      <w:rFonts w:ascii="Calibri" w:hAnsi="Calibri" w:cs="K Farnaz"/>
      <w:b/>
      <w:sz w:val="24"/>
      <w:szCs w:val="24"/>
    </w:rPr>
  </w:style>
  <w:style w:type="character" w:customStyle="1" w:styleId="affffff5">
    <w:name w:val="ثالث"/>
    <w:rsid w:val="00D530F6"/>
    <w:rPr>
      <w:rFonts w:cs="SKR HEAD1"/>
      <w:b/>
      <w:sz w:val="28"/>
      <w:szCs w:val="28"/>
      <w:lang w:bidi="ar-SA"/>
    </w:rPr>
  </w:style>
  <w:style w:type="character" w:customStyle="1" w:styleId="CharChar19">
    <w:name w:val="Char Char19"/>
    <w:rsid w:val="00D530F6"/>
    <w:rPr>
      <w:rFonts w:cs="Simplified Arabic"/>
      <w:bCs/>
      <w:sz w:val="28"/>
      <w:szCs w:val="28"/>
      <w:lang w:val="en-US" w:eastAsia="en-US" w:bidi="ar-SA"/>
    </w:rPr>
  </w:style>
  <w:style w:type="character" w:customStyle="1" w:styleId="CharChar18">
    <w:name w:val="Char Char18"/>
    <w:rsid w:val="00D530F6"/>
    <w:rPr>
      <w:rFonts w:cs="Simplified Arabic"/>
      <w:bCs/>
      <w:sz w:val="28"/>
      <w:szCs w:val="28"/>
      <w:lang w:val="en-US" w:eastAsia="en-US" w:bidi="ar-SA"/>
    </w:rPr>
  </w:style>
  <w:style w:type="paragraph" w:customStyle="1" w:styleId="affffff6">
    <w:name w:val="عنوان المقالة"/>
    <w:basedOn w:val="Chard"/>
    <w:link w:val="Charff"/>
    <w:rsid w:val="00D530F6"/>
    <w:pPr>
      <w:spacing w:line="418" w:lineRule="exact"/>
      <w:ind w:right="539"/>
    </w:pPr>
    <w:rPr>
      <w:sz w:val="50"/>
      <w:szCs w:val="20"/>
    </w:rPr>
  </w:style>
  <w:style w:type="character" w:customStyle="1" w:styleId="Charff">
    <w:name w:val="عنوان المقالة Char"/>
    <w:link w:val="affffff6"/>
    <w:locked/>
    <w:rsid w:val="00D530F6"/>
    <w:rPr>
      <w:rFonts w:ascii="Times New Roman" w:eastAsia="Batang" w:hAnsi="Times New Roman" w:cs="HeshamNormal"/>
      <w:b/>
      <w:bCs/>
      <w:sz w:val="20"/>
      <w:szCs w:val="20"/>
      <w:lang w:val="x-none" w:eastAsia="ar-SA" w:bidi="ar-SA"/>
    </w:rPr>
  </w:style>
  <w:style w:type="paragraph" w:customStyle="1" w:styleId="affffff7">
    <w:name w:val="اسم الكاتب والمؤلف"/>
    <w:basedOn w:val="KSina130"/>
    <w:link w:val="Charff0"/>
    <w:rsid w:val="00D530F6"/>
    <w:pPr>
      <w:widowControl w:val="0"/>
      <w:spacing w:line="418" w:lineRule="exact"/>
      <w:ind w:left="567"/>
      <w:jc w:val="right"/>
    </w:pPr>
    <w:rPr>
      <w:rFonts w:cs="Ya-Ali"/>
      <w:sz w:val="20"/>
      <w:szCs w:val="30"/>
    </w:rPr>
  </w:style>
  <w:style w:type="character" w:customStyle="1" w:styleId="Charff0">
    <w:name w:val="اسم الكاتب والمؤلف Char"/>
    <w:link w:val="affffff7"/>
    <w:locked/>
    <w:rsid w:val="00D530F6"/>
    <w:rPr>
      <w:rFonts w:ascii="Times New Roman" w:eastAsia="Batang" w:hAnsi="Times New Roman" w:cs="Ya-Ali"/>
      <w:sz w:val="30"/>
      <w:szCs w:val="30"/>
      <w:lang w:val="x-none" w:eastAsia="ar-SA" w:bidi="ar-SA"/>
    </w:rPr>
  </w:style>
  <w:style w:type="paragraph" w:customStyle="1" w:styleId="affffff8">
    <w:name w:val="تكملة عنوان المقالة"/>
    <w:basedOn w:val="Normal"/>
    <w:link w:val="Charff1"/>
    <w:rsid w:val="00D530F6"/>
    <w:pPr>
      <w:spacing w:line="600" w:lineRule="exact"/>
      <w:ind w:firstLine="0"/>
      <w:jc w:val="center"/>
    </w:pPr>
    <w:rPr>
      <w:rFonts w:ascii="Times New Roman" w:eastAsia="Batang" w:hAnsi="Times New Roman" w:cs="SKR HEAD1"/>
      <w:sz w:val="6"/>
      <w:szCs w:val="32"/>
    </w:rPr>
  </w:style>
  <w:style w:type="character" w:customStyle="1" w:styleId="Charff1">
    <w:name w:val="تكملة عنوان المقالة Char"/>
    <w:link w:val="affffff8"/>
    <w:locked/>
    <w:rsid w:val="00D530F6"/>
    <w:rPr>
      <w:rFonts w:ascii="Times New Roman" w:eastAsia="Batang" w:hAnsi="Times New Roman" w:cs="SKR HEAD1"/>
      <w:sz w:val="32"/>
      <w:szCs w:val="32"/>
      <w:lang w:bidi="ar-SA"/>
    </w:rPr>
  </w:style>
  <w:style w:type="paragraph" w:customStyle="1" w:styleId="1f1">
    <w:name w:val="عنوان 1 ـ داخل المقالة"/>
    <w:basedOn w:val="Heading1"/>
    <w:rsid w:val="00D530F6"/>
    <w:pPr>
      <w:keepLines w:val="0"/>
    </w:pPr>
    <w:rPr>
      <w:rFonts w:ascii="Times New Roman" w:eastAsia="Batang" w:hAnsi="Times New Roman" w:cs="Times New Roman"/>
      <w:bCs/>
      <w:kern w:val="32"/>
      <w:sz w:val="28"/>
      <w:szCs w:val="36"/>
    </w:rPr>
  </w:style>
  <w:style w:type="character" w:customStyle="1" w:styleId="affffff9">
    <w:name w:val="الكليشات"/>
    <w:rsid w:val="00D530F6"/>
    <w:rPr>
      <w:rFonts w:cs="md_ameli"/>
      <w:sz w:val="27"/>
      <w:szCs w:val="27"/>
      <w:lang w:bidi="ar-SA"/>
    </w:rPr>
  </w:style>
  <w:style w:type="paragraph" w:styleId="TOCHeading">
    <w:name w:val="TOC Heading"/>
    <w:basedOn w:val="Heading1"/>
    <w:next w:val="Normal"/>
    <w:qFormat/>
    <w:rsid w:val="00D530F6"/>
    <w:pPr>
      <w:spacing w:before="480" w:line="216" w:lineRule="auto"/>
      <w:ind w:firstLine="284"/>
      <w:jc w:val="both"/>
      <w:outlineLvl w:val="9"/>
    </w:pPr>
    <w:rPr>
      <w:rFonts w:ascii="Cambria" w:hAnsi="Cambria" w:cs="Times New Roman"/>
      <w:bCs/>
      <w:color w:val="365F91"/>
      <w:sz w:val="28"/>
      <w:szCs w:val="28"/>
    </w:rPr>
  </w:style>
  <w:style w:type="paragraph" w:customStyle="1" w:styleId="36">
    <w:name w:val="سرد الفقرات3"/>
    <w:basedOn w:val="Normal"/>
    <w:rsid w:val="00D530F6"/>
    <w:pPr>
      <w:widowControl/>
      <w:spacing w:after="200" w:line="276" w:lineRule="auto"/>
      <w:ind w:left="720" w:firstLine="0"/>
      <w:jc w:val="left"/>
    </w:pPr>
    <w:rPr>
      <w:rFonts w:ascii="Calibri" w:eastAsia="Batang" w:hAnsi="Calibri" w:cs="Arial"/>
      <w:sz w:val="22"/>
      <w:szCs w:val="22"/>
    </w:rPr>
  </w:style>
  <w:style w:type="character" w:customStyle="1" w:styleId="CharChar17">
    <w:name w:val="Char Char17"/>
    <w:semiHidden/>
    <w:rsid w:val="00D530F6"/>
    <w:rPr>
      <w:rFonts w:cs="Simplified Arabic"/>
      <w:bCs/>
      <w:sz w:val="28"/>
      <w:szCs w:val="28"/>
      <w:lang w:val="en-US" w:eastAsia="en-US" w:bidi="ar-SA"/>
    </w:rPr>
  </w:style>
  <w:style w:type="paragraph" w:customStyle="1" w:styleId="27">
    <w:name w:val="سرد الفقرات2"/>
    <w:basedOn w:val="Normal"/>
    <w:rsid w:val="00D530F6"/>
    <w:pPr>
      <w:widowControl/>
      <w:spacing w:after="200" w:line="276" w:lineRule="auto"/>
      <w:ind w:left="720" w:firstLine="0"/>
      <w:jc w:val="left"/>
    </w:pPr>
    <w:rPr>
      <w:rFonts w:ascii="Calibri" w:eastAsia="Batang" w:hAnsi="Calibri" w:cs="Arial"/>
      <w:sz w:val="22"/>
      <w:szCs w:val="22"/>
    </w:rPr>
  </w:style>
  <w:style w:type="paragraph" w:customStyle="1" w:styleId="Heading13">
    <w:name w:val="Heading 13"/>
    <w:basedOn w:val="Normal"/>
    <w:semiHidden/>
    <w:rsid w:val="00D530F6"/>
    <w:pPr>
      <w:widowControl/>
      <w:spacing w:before="120" w:line="460" w:lineRule="exact"/>
      <w:ind w:firstLine="0"/>
    </w:pPr>
    <w:rPr>
      <w:rFonts w:ascii="Times New Roman" w:eastAsia="Batang" w:hAnsi="Times New Roman" w:cs="Simplified Arabic"/>
      <w:bCs/>
      <w:color w:val="FFFFFF"/>
      <w:sz w:val="24"/>
      <w:szCs w:val="24"/>
      <w:lang w:eastAsia="ar-SA"/>
    </w:rPr>
  </w:style>
  <w:style w:type="character" w:customStyle="1" w:styleId="CharChar16">
    <w:name w:val="Char Char16"/>
    <w:semiHidden/>
    <w:rsid w:val="00D530F6"/>
    <w:rPr>
      <w:sz w:val="28"/>
      <w:lang w:val="en-US" w:eastAsia="en-US"/>
    </w:rPr>
  </w:style>
  <w:style w:type="paragraph" w:customStyle="1" w:styleId="1f2">
    <w:name w:val="سرد الفقرات1"/>
    <w:basedOn w:val="Normal"/>
    <w:rsid w:val="00D530F6"/>
    <w:pPr>
      <w:widowControl/>
      <w:spacing w:after="200" w:line="276" w:lineRule="auto"/>
      <w:ind w:left="720" w:firstLine="0"/>
      <w:jc w:val="left"/>
    </w:pPr>
    <w:rPr>
      <w:rFonts w:ascii="Calibri" w:eastAsia="Batang" w:hAnsi="Calibri" w:cs="Arial"/>
      <w:sz w:val="22"/>
      <w:szCs w:val="22"/>
    </w:rPr>
  </w:style>
  <w:style w:type="character" w:customStyle="1" w:styleId="CharChar91">
    <w:name w:val="Char Char91"/>
    <w:rsid w:val="00D530F6"/>
    <w:rPr>
      <w:rFonts w:cs="Arabic Transparent"/>
      <w:sz w:val="28"/>
      <w:szCs w:val="28"/>
      <w:lang w:val="en-US" w:eastAsia="ar-SA" w:bidi="ar-SA"/>
    </w:rPr>
  </w:style>
  <w:style w:type="character" w:customStyle="1" w:styleId="CharChar81">
    <w:name w:val="Char Char81"/>
    <w:rsid w:val="00D530F6"/>
    <w:rPr>
      <w:rFonts w:cs="Arabic Transparent"/>
      <w:b/>
      <w:bCs/>
      <w:sz w:val="28"/>
      <w:szCs w:val="28"/>
      <w:lang w:val="en-US" w:eastAsia="ar-SA" w:bidi="ar-SA"/>
    </w:rPr>
  </w:style>
  <w:style w:type="character" w:customStyle="1" w:styleId="CharChar71">
    <w:name w:val="Char Char71"/>
    <w:rsid w:val="00D530F6"/>
    <w:rPr>
      <w:rFonts w:ascii="Arial" w:hAnsi="Arial" w:cs="Arial"/>
      <w:b/>
      <w:bCs/>
      <w:sz w:val="26"/>
      <w:szCs w:val="26"/>
      <w:lang w:val="en-US" w:eastAsia="ar-SA" w:bidi="ar-SA"/>
    </w:rPr>
  </w:style>
  <w:style w:type="character" w:customStyle="1" w:styleId="CharChar61">
    <w:name w:val="Char Char61"/>
    <w:rsid w:val="00D530F6"/>
    <w:rPr>
      <w:rFonts w:cs="ALAWI-3-62"/>
      <w:color w:val="008000"/>
      <w:sz w:val="28"/>
      <w:szCs w:val="28"/>
      <w:lang w:val="en-US" w:eastAsia="en-US" w:bidi="ar-SA"/>
    </w:rPr>
  </w:style>
  <w:style w:type="character" w:customStyle="1" w:styleId="CharChar52">
    <w:name w:val="Char Char52"/>
    <w:rsid w:val="00D530F6"/>
    <w:rPr>
      <w:rFonts w:cs="AL-Mohanad"/>
      <w:b/>
      <w:bCs/>
      <w:color w:val="000000"/>
      <w:sz w:val="40"/>
      <w:szCs w:val="40"/>
      <w:lang w:val="en-US" w:eastAsia="en-US" w:bidi="ar-SA"/>
    </w:rPr>
  </w:style>
  <w:style w:type="character" w:customStyle="1" w:styleId="CharChar32">
    <w:name w:val="Char Char32"/>
    <w:rsid w:val="00D530F6"/>
    <w:rPr>
      <w:rFonts w:cs="PT Bold Broken"/>
      <w:b/>
      <w:bCs/>
      <w:sz w:val="40"/>
      <w:szCs w:val="40"/>
      <w:lang w:val="en-US" w:eastAsia="ar-SA" w:bidi="ar-SA"/>
    </w:rPr>
  </w:style>
  <w:style w:type="character" w:customStyle="1" w:styleId="CharChar22">
    <w:name w:val="Char Char22"/>
    <w:semiHidden/>
    <w:rsid w:val="00D530F6"/>
    <w:rPr>
      <w:rFonts w:cs="Arabic Transparent"/>
      <w:sz w:val="28"/>
      <w:szCs w:val="28"/>
      <w:lang w:val="x-none" w:eastAsia="ar-SA" w:bidi="ar-SA"/>
    </w:rPr>
  </w:style>
  <w:style w:type="character" w:customStyle="1" w:styleId="CharChar15">
    <w:name w:val="Char Char15"/>
    <w:rsid w:val="00D530F6"/>
    <w:rPr>
      <w:rFonts w:cs="Times New Roman"/>
      <w:lang w:val="en-US" w:eastAsia="ar-SA" w:bidi="ar-SA"/>
    </w:rPr>
  </w:style>
  <w:style w:type="character" w:customStyle="1" w:styleId="CharChar14">
    <w:name w:val="Char Char14"/>
    <w:semiHidden/>
    <w:rsid w:val="00D530F6"/>
    <w:rPr>
      <w:rFonts w:cs="Times New Roman"/>
      <w:color w:val="800000"/>
      <w:sz w:val="28"/>
      <w:szCs w:val="28"/>
      <w:lang w:bidi="ar-SA"/>
    </w:rPr>
  </w:style>
  <w:style w:type="paragraph" w:customStyle="1" w:styleId="Heading14">
    <w:name w:val="Heading 14"/>
    <w:basedOn w:val="Normal"/>
    <w:semiHidden/>
    <w:rsid w:val="00D530F6"/>
    <w:pPr>
      <w:widowControl/>
      <w:spacing w:before="120" w:line="460" w:lineRule="exact"/>
      <w:ind w:firstLine="0"/>
    </w:pPr>
    <w:rPr>
      <w:rFonts w:ascii="Times New Roman" w:eastAsia="SimSun" w:hAnsi="Times New Roman" w:cs="Simplified Arabic"/>
      <w:bCs/>
      <w:color w:val="FFFFFF"/>
      <w:sz w:val="24"/>
      <w:szCs w:val="24"/>
      <w:lang w:eastAsia="ar-SA"/>
    </w:rPr>
  </w:style>
  <w:style w:type="character" w:customStyle="1" w:styleId="CharChar43">
    <w:name w:val="Char Char43"/>
    <w:rsid w:val="00D530F6"/>
    <w:rPr>
      <w:rFonts w:cs="Simplified Arabic"/>
      <w:color w:val="000000"/>
      <w:sz w:val="28"/>
      <w:szCs w:val="28"/>
      <w:lang w:val="en-US" w:eastAsia="en-US" w:bidi="ar-SA"/>
    </w:rPr>
  </w:style>
  <w:style w:type="paragraph" w:customStyle="1" w:styleId="StyleLatinTimesNewRomanComplexTimesNewRoman">
    <w:name w:val="Style نص + (Latin) Times New Roman (Complex) Times New Roman"/>
    <w:basedOn w:val="aff8"/>
    <w:link w:val="StyleLatinTimesNewRomanComplexTimesNewRomanChar"/>
    <w:rsid w:val="002535A4"/>
    <w:pPr>
      <w:spacing w:before="120" w:line="440" w:lineRule="exact"/>
      <w:ind w:firstLine="284"/>
      <w:outlineLvl w:val="2"/>
    </w:pPr>
    <w:rPr>
      <w:rFonts w:ascii="JALAL" w:eastAsia="Times New Roman" w:hAnsi="JALAL" w:cs="Muna"/>
      <w:b w:val="0"/>
      <w:bCs w:val="0"/>
      <w:sz w:val="22"/>
      <w:szCs w:val="28"/>
      <w:lang w:eastAsia="en-US"/>
    </w:rPr>
  </w:style>
  <w:style w:type="character" w:customStyle="1" w:styleId="StyleLatinTimesNewRomanComplexTimesNewRomanChar">
    <w:name w:val="Style نص + (Latin) Times New Roman (Complex) Times New Roman Char"/>
    <w:link w:val="StyleLatinTimesNewRomanComplexTimesNewRoman"/>
    <w:locked/>
    <w:rsid w:val="002535A4"/>
    <w:rPr>
      <w:rFonts w:ascii="JALAL" w:hAnsi="JALAL" w:cs="Muna"/>
      <w:sz w:val="28"/>
      <w:szCs w:val="28"/>
      <w:lang w:bidi="ar-SA"/>
    </w:rPr>
  </w:style>
  <w:style w:type="paragraph" w:customStyle="1" w:styleId="ArabicTransparent11">
    <w:name w:val="عادي + (العربية وغيرها) Arabic Transparent، ‏11 نقطة"/>
    <w:basedOn w:val="Normal"/>
    <w:rsid w:val="002535A4"/>
    <w:pPr>
      <w:widowControl/>
      <w:spacing w:line="360" w:lineRule="auto"/>
      <w:ind w:firstLine="0"/>
      <w:jc w:val="lowKashida"/>
    </w:pPr>
    <w:rPr>
      <w:rFonts w:cs="Arabic Transparent"/>
      <w:sz w:val="24"/>
      <w:szCs w:val="24"/>
    </w:rPr>
  </w:style>
  <w:style w:type="paragraph" w:customStyle="1" w:styleId="90">
    <w:name w:val="نمط عنوان 9"/>
    <w:basedOn w:val="Heading9"/>
    <w:rsid w:val="002535A4"/>
    <w:rPr>
      <w:rFonts w:ascii="Times" w:eastAsia="Times New Roman" w:hAnsi="Times"/>
    </w:rPr>
  </w:style>
  <w:style w:type="paragraph" w:customStyle="1" w:styleId="MonotypeKoufi20">
    <w:name w:val="نمط نمط اصلى + (العربية وغيرها) Monotype Koufi ‏20 نقطة دون (مركب..."/>
    <w:basedOn w:val="Normal"/>
    <w:rsid w:val="002535A4"/>
    <w:pPr>
      <w:widowControl/>
      <w:autoSpaceDE w:val="0"/>
      <w:autoSpaceDN w:val="0"/>
      <w:spacing w:line="240" w:lineRule="auto"/>
      <w:ind w:firstLine="0"/>
      <w:jc w:val="center"/>
    </w:pPr>
    <w:rPr>
      <w:rFonts w:cs="PT Bold Heading"/>
      <w:b/>
      <w:sz w:val="40"/>
      <w:szCs w:val="48"/>
      <w:lang w:eastAsia="ar-SA"/>
    </w:rPr>
  </w:style>
  <w:style w:type="paragraph" w:customStyle="1" w:styleId="330">
    <w:name w:val="نمط نمط عنوان 3 3"/>
    <w:basedOn w:val="Normal"/>
    <w:rsid w:val="002535A4"/>
    <w:pPr>
      <w:keepNext/>
      <w:bidi w:val="0"/>
      <w:spacing w:line="440" w:lineRule="exact"/>
      <w:ind w:firstLine="0"/>
      <w:jc w:val="right"/>
      <w:outlineLvl w:val="2"/>
    </w:pPr>
    <w:rPr>
      <w:rFonts w:cs="Abz-3 (Yagut)"/>
      <w:bCs/>
      <w:iCs/>
      <w:szCs w:val="32"/>
    </w:rPr>
  </w:style>
  <w:style w:type="paragraph" w:customStyle="1" w:styleId="1f3">
    <w:name w:val="متن 1"/>
    <w:basedOn w:val="Normal"/>
    <w:link w:val="1Char4"/>
    <w:semiHidden/>
    <w:rsid w:val="002535A4"/>
    <w:pPr>
      <w:widowControl/>
      <w:spacing w:line="400" w:lineRule="exact"/>
      <w:jc w:val="left"/>
    </w:pPr>
    <w:rPr>
      <w:rFonts w:cs="Times New Roman"/>
    </w:rPr>
  </w:style>
  <w:style w:type="character" w:customStyle="1" w:styleId="1Char4">
    <w:name w:val="متن 1 Char"/>
    <w:link w:val="1f3"/>
    <w:semiHidden/>
    <w:locked/>
    <w:rsid w:val="002535A4"/>
    <w:rPr>
      <w:rFonts w:ascii="Times" w:hAnsi="Times"/>
      <w:sz w:val="28"/>
    </w:rPr>
  </w:style>
  <w:style w:type="paragraph" w:customStyle="1" w:styleId="affffffa">
    <w:name w:val="عنوان عمل"/>
    <w:basedOn w:val="Normal"/>
    <w:link w:val="Charff2"/>
    <w:rsid w:val="002535A4"/>
    <w:pPr>
      <w:widowControl/>
      <w:spacing w:before="240" w:after="120" w:line="400" w:lineRule="exact"/>
      <w:ind w:firstLine="0"/>
      <w:jc w:val="lowKashida"/>
    </w:pPr>
    <w:rPr>
      <w:rFonts w:cs="Times New Roman"/>
      <w:sz w:val="36"/>
      <w:szCs w:val="36"/>
    </w:rPr>
  </w:style>
  <w:style w:type="paragraph" w:customStyle="1" w:styleId="affffffb">
    <w:name w:val="متن أساسي مهم"/>
    <w:basedOn w:val="Normal"/>
    <w:link w:val="Charff3"/>
    <w:rsid w:val="002535A4"/>
    <w:pPr>
      <w:spacing w:line="400" w:lineRule="exact"/>
      <w:jc w:val="lowKashida"/>
    </w:pPr>
    <w:rPr>
      <w:rFonts w:cs="Times New Roman"/>
    </w:rPr>
  </w:style>
  <w:style w:type="character" w:customStyle="1" w:styleId="Charff2">
    <w:name w:val="عنوان عمل Char"/>
    <w:link w:val="affffffa"/>
    <w:locked/>
    <w:rsid w:val="002535A4"/>
    <w:rPr>
      <w:rFonts w:ascii="Times" w:hAnsi="Times"/>
      <w:sz w:val="36"/>
    </w:rPr>
  </w:style>
  <w:style w:type="paragraph" w:customStyle="1" w:styleId="affffffc">
    <w:name w:val="سبيسلبسبيببيس"/>
    <w:basedOn w:val="1f3"/>
    <w:link w:val="Charff4"/>
    <w:rsid w:val="002535A4"/>
    <w:pPr>
      <w:jc w:val="lowKashida"/>
    </w:pPr>
  </w:style>
  <w:style w:type="character" w:customStyle="1" w:styleId="Charff4">
    <w:name w:val="سبيسلبسبيببيس Char"/>
    <w:link w:val="affffffc"/>
    <w:locked/>
    <w:rsid w:val="002535A4"/>
    <w:rPr>
      <w:rFonts w:ascii="Times" w:hAnsi="Times"/>
      <w:sz w:val="28"/>
    </w:rPr>
  </w:style>
  <w:style w:type="character" w:customStyle="1" w:styleId="Charff3">
    <w:name w:val="متن أساسي مهم Char"/>
    <w:link w:val="affffffb"/>
    <w:locked/>
    <w:rsid w:val="002535A4"/>
    <w:rPr>
      <w:rFonts w:ascii="Times" w:hAnsi="Times"/>
      <w:sz w:val="28"/>
    </w:rPr>
  </w:style>
  <w:style w:type="paragraph" w:customStyle="1" w:styleId="affffffd">
    <w:name w:val="ترقيم"/>
    <w:basedOn w:val="affffffe"/>
    <w:link w:val="Charff5"/>
    <w:rsid w:val="002535A4"/>
    <w:rPr>
      <w:sz w:val="26"/>
      <w:szCs w:val="24"/>
    </w:rPr>
  </w:style>
  <w:style w:type="paragraph" w:customStyle="1" w:styleId="affffffe">
    <w:name w:val="لوتوس اسود"/>
    <w:basedOn w:val="Normal"/>
    <w:link w:val="Charff6"/>
    <w:rsid w:val="002535A4"/>
    <w:pPr>
      <w:spacing w:line="240" w:lineRule="auto"/>
      <w:ind w:firstLine="432"/>
    </w:pPr>
    <w:rPr>
      <w:rFonts w:ascii="Yagut-s" w:hAnsi="Yagut-s" w:cs="Times New Roman"/>
      <w:b/>
      <w:bCs/>
      <w:sz w:val="32"/>
    </w:rPr>
  </w:style>
  <w:style w:type="character" w:customStyle="1" w:styleId="Charff6">
    <w:name w:val="لوتوس اسود Char"/>
    <w:link w:val="affffffe"/>
    <w:locked/>
    <w:rsid w:val="002535A4"/>
    <w:rPr>
      <w:rFonts w:ascii="Yagut-s" w:hAnsi="Yagut-s"/>
      <w:b/>
      <w:sz w:val="30"/>
    </w:rPr>
  </w:style>
  <w:style w:type="character" w:customStyle="1" w:styleId="Charff5">
    <w:name w:val="ترقيم Char"/>
    <w:link w:val="affffffd"/>
    <w:locked/>
    <w:rsid w:val="002535A4"/>
    <w:rPr>
      <w:rFonts w:ascii="Yagut-s" w:hAnsi="Yagut-s"/>
      <w:b/>
      <w:sz w:val="24"/>
    </w:rPr>
  </w:style>
  <w:style w:type="character" w:customStyle="1" w:styleId="28">
    <w:name w:val="المهند2"/>
    <w:rsid w:val="002535A4"/>
    <w:rPr>
      <w:sz w:val="32"/>
      <w:lang w:val="en-US" w:eastAsia="en-US"/>
    </w:rPr>
  </w:style>
  <w:style w:type="character" w:customStyle="1" w:styleId="afffffff">
    <w:name w:val="كليشة"/>
    <w:rsid w:val="002535A4"/>
    <w:rPr>
      <w:sz w:val="38"/>
      <w:lang w:val="en-US" w:eastAsia="en-US"/>
    </w:rPr>
  </w:style>
  <w:style w:type="paragraph" w:customStyle="1" w:styleId="afffffff0">
    <w:name w:val="غفورى"/>
    <w:rsid w:val="002535A4"/>
    <w:pPr>
      <w:autoSpaceDE w:val="0"/>
      <w:autoSpaceDN w:val="0"/>
      <w:bidi/>
      <w:spacing w:line="399" w:lineRule="atLeast"/>
      <w:ind w:right="284" w:hanging="399"/>
      <w:jc w:val="both"/>
    </w:pPr>
    <w:rPr>
      <w:rFonts w:ascii="Times" w:hAnsi="Times" w:cs="Traditional Arabic"/>
      <w:bCs/>
      <w:sz w:val="24"/>
      <w:szCs w:val="32"/>
    </w:rPr>
  </w:style>
  <w:style w:type="paragraph" w:customStyle="1" w:styleId="afffffff1">
    <w:name w:val="العنوان الرئيسي"/>
    <w:basedOn w:val="Normal"/>
    <w:rsid w:val="002535A4"/>
    <w:pPr>
      <w:suppressLineNumbers/>
      <w:spacing w:before="1920" w:after="720"/>
      <w:jc w:val="center"/>
    </w:pPr>
    <w:rPr>
      <w:rFonts w:ascii="Lotus Linotype" w:hAnsi="Lotus Linotype" w:cs="Traditional Arabic"/>
      <w:b/>
      <w:bCs/>
      <w:sz w:val="36"/>
      <w:szCs w:val="36"/>
      <w:lang w:bidi="ar-YE"/>
    </w:rPr>
  </w:style>
  <w:style w:type="paragraph" w:customStyle="1" w:styleId="1f4">
    <w:name w:val="رفرنس1"/>
    <w:basedOn w:val="FootnoteText"/>
    <w:link w:val="1f5"/>
    <w:rsid w:val="002535A4"/>
    <w:pPr>
      <w:widowControl/>
      <w:jc w:val="lowKashida"/>
    </w:pPr>
    <w:rPr>
      <w:rFonts w:cs="Times New Roman"/>
      <w:sz w:val="18"/>
      <w:szCs w:val="18"/>
    </w:rPr>
  </w:style>
  <w:style w:type="character" w:customStyle="1" w:styleId="1f5">
    <w:name w:val="رفرنس1 نویÓå"/>
    <w:link w:val="1f4"/>
    <w:locked/>
    <w:rsid w:val="002535A4"/>
    <w:rPr>
      <w:rFonts w:ascii="Times" w:hAnsi="Times"/>
      <w:sz w:val="18"/>
    </w:rPr>
  </w:style>
  <w:style w:type="paragraph" w:customStyle="1" w:styleId="afffffff2">
    <w:name w:val="ترجمه"/>
    <w:basedOn w:val="Normal"/>
    <w:link w:val="afffffff3"/>
    <w:rsid w:val="002535A4"/>
    <w:pPr>
      <w:widowControl/>
      <w:spacing w:line="240" w:lineRule="auto"/>
      <w:ind w:firstLine="0"/>
      <w:jc w:val="center"/>
    </w:pPr>
    <w:rPr>
      <w:rFonts w:cs="Times New Roman"/>
      <w:sz w:val="24"/>
      <w:szCs w:val="24"/>
    </w:rPr>
  </w:style>
  <w:style w:type="character" w:customStyle="1" w:styleId="afffffff3">
    <w:name w:val="ترجمه نویÓå"/>
    <w:link w:val="afffffff2"/>
    <w:locked/>
    <w:rsid w:val="002535A4"/>
    <w:rPr>
      <w:rFonts w:ascii="Times" w:hAnsi="Times"/>
      <w:sz w:val="24"/>
    </w:rPr>
  </w:style>
  <w:style w:type="character" w:customStyle="1" w:styleId="15">
    <w:name w:val="تيتر1 نویÓå"/>
    <w:link w:val="14"/>
    <w:locked/>
    <w:rsid w:val="002535A4"/>
    <w:rPr>
      <w:rFonts w:ascii="Times New Roman" w:eastAsia="Batang" w:hAnsi="Times New Roman"/>
      <w:sz w:val="32"/>
      <w:lang w:val="x-none" w:eastAsia="ar-SA" w:bidi="ar-SA"/>
    </w:rPr>
  </w:style>
  <w:style w:type="paragraph" w:customStyle="1" w:styleId="afffffff4">
    <w:name w:val="تيتر"/>
    <w:basedOn w:val="Heading1"/>
    <w:rsid w:val="002535A4"/>
    <w:rPr>
      <w:szCs w:val="48"/>
    </w:rPr>
  </w:style>
  <w:style w:type="paragraph" w:customStyle="1" w:styleId="51">
    <w:name w:val="نمط5"/>
    <w:basedOn w:val="Normal"/>
    <w:rsid w:val="002535A4"/>
    <w:pPr>
      <w:widowControl/>
      <w:spacing w:line="420" w:lineRule="exact"/>
      <w:ind w:firstLine="567"/>
    </w:pPr>
    <w:rPr>
      <w:rFonts w:cs="md_ameli"/>
      <w:sz w:val="24"/>
      <w:szCs w:val="32"/>
    </w:rPr>
  </w:style>
  <w:style w:type="paragraph" w:customStyle="1" w:styleId="6">
    <w:name w:val="نمط6"/>
    <w:basedOn w:val="19"/>
    <w:rsid w:val="002535A4"/>
    <w:pPr>
      <w:widowControl/>
      <w:spacing w:before="240" w:after="120"/>
    </w:pPr>
    <w:rPr>
      <w:rFonts w:ascii="Calibri" w:eastAsia="Times New Roman" w:hAnsi="Calibri" w:cs="Ya-Ali"/>
      <w:b w:val="0"/>
      <w:color w:val="000000"/>
      <w:spacing w:val="-10"/>
      <w:sz w:val="20"/>
      <w:lang w:eastAsia="en-US"/>
    </w:rPr>
  </w:style>
  <w:style w:type="paragraph" w:customStyle="1" w:styleId="70">
    <w:name w:val="نمط7"/>
    <w:basedOn w:val="Normal"/>
    <w:rsid w:val="002535A4"/>
    <w:pPr>
      <w:widowControl/>
      <w:spacing w:line="240" w:lineRule="auto"/>
      <w:ind w:firstLine="0"/>
      <w:jc w:val="center"/>
    </w:pPr>
    <w:rPr>
      <w:rFonts w:cs="SKR HEAD1"/>
      <w:sz w:val="32"/>
      <w:szCs w:val="36"/>
    </w:rPr>
  </w:style>
  <w:style w:type="paragraph" w:customStyle="1" w:styleId="29">
    <w:name w:val="العنوان2"/>
    <w:rsid w:val="002535A4"/>
    <w:pPr>
      <w:autoSpaceDE w:val="0"/>
      <w:autoSpaceDN w:val="0"/>
      <w:bidi/>
      <w:spacing w:before="240" w:after="120" w:line="480" w:lineRule="exact"/>
      <w:jc w:val="both"/>
    </w:pPr>
    <w:rPr>
      <w:rFonts w:ascii="Times" w:hAnsi="Times" w:cs="Traditional Arabic"/>
      <w:bCs/>
      <w:sz w:val="24"/>
      <w:szCs w:val="32"/>
    </w:rPr>
  </w:style>
  <w:style w:type="paragraph" w:customStyle="1" w:styleId="writer">
    <w:name w:val="writer"/>
    <w:basedOn w:val="Normal"/>
    <w:link w:val="writerChar"/>
    <w:rsid w:val="002535A4"/>
    <w:pPr>
      <w:spacing w:before="100" w:line="418" w:lineRule="exact"/>
      <w:ind w:firstLine="0"/>
      <w:jc w:val="right"/>
    </w:pPr>
    <w:rPr>
      <w:rFonts w:cs="Times New Roman"/>
      <w:noProof/>
      <w:spacing w:val="-4"/>
      <w:sz w:val="26"/>
      <w:lang w:eastAsia="ar-SA"/>
    </w:rPr>
  </w:style>
  <w:style w:type="character" w:customStyle="1" w:styleId="writerChar">
    <w:name w:val="writer Char"/>
    <w:link w:val="writer"/>
    <w:locked/>
    <w:rsid w:val="002535A4"/>
    <w:rPr>
      <w:rFonts w:ascii="Times" w:hAnsi="Times"/>
      <w:noProof/>
      <w:spacing w:val="-4"/>
      <w:sz w:val="30"/>
      <w:lang w:eastAsia="ar-SA"/>
    </w:rPr>
  </w:style>
  <w:style w:type="paragraph" w:customStyle="1" w:styleId="first">
    <w:name w:val="first"/>
    <w:basedOn w:val="Normal"/>
    <w:link w:val="firstChar"/>
    <w:rsid w:val="002535A4"/>
    <w:pPr>
      <w:spacing w:line="600" w:lineRule="exact"/>
      <w:ind w:firstLine="0"/>
      <w:jc w:val="center"/>
    </w:pPr>
    <w:rPr>
      <w:rFonts w:cs="Times New Roman"/>
      <w:b/>
      <w:noProof/>
      <w:spacing w:val="-4"/>
      <w:sz w:val="26"/>
      <w:szCs w:val="48"/>
      <w:lang w:eastAsia="ar-SA"/>
    </w:rPr>
  </w:style>
  <w:style w:type="character" w:customStyle="1" w:styleId="firstChar">
    <w:name w:val="first Char"/>
    <w:link w:val="first"/>
    <w:locked/>
    <w:rsid w:val="002535A4"/>
    <w:rPr>
      <w:rFonts w:ascii="Times" w:hAnsi="Times"/>
      <w:b/>
      <w:noProof/>
      <w:spacing w:val="-4"/>
      <w:sz w:val="48"/>
      <w:lang w:eastAsia="ar-SA"/>
    </w:rPr>
  </w:style>
  <w:style w:type="paragraph" w:customStyle="1" w:styleId="TimesNewRomanPTBoldHeading">
    <w:name w:val="نمط (لاتيني) Times New Roman (العربية وغيرها) PT Bold Heading (..."/>
    <w:basedOn w:val="Normal"/>
    <w:rsid w:val="00E866FF"/>
    <w:pPr>
      <w:widowControl/>
      <w:bidi w:val="0"/>
      <w:spacing w:line="240" w:lineRule="auto"/>
      <w:ind w:firstLine="0"/>
      <w:jc w:val="center"/>
    </w:pPr>
    <w:rPr>
      <w:rFonts w:ascii="Times New Roman" w:hAnsi="Times New Roman" w:cs="PT Bold Heading"/>
      <w:bCs/>
      <w:noProof/>
      <w:sz w:val="54"/>
      <w:szCs w:val="56"/>
      <w:lang w:eastAsia="ar-SA"/>
    </w:rPr>
  </w:style>
  <w:style w:type="character" w:customStyle="1" w:styleId="1Char5">
    <w:name w:val="تيتر1 Char"/>
    <w:rsid w:val="006E54FC"/>
    <w:rPr>
      <w:rFonts w:cs="Traditional Arabic"/>
      <w:bCs/>
      <w:sz w:val="32"/>
      <w:szCs w:val="32"/>
      <w:lang w:bidi="ar-SA"/>
    </w:rPr>
  </w:style>
  <w:style w:type="character" w:customStyle="1" w:styleId="Charf3">
    <w:name w:val="شعر Char"/>
    <w:link w:val="affff"/>
    <w:locked/>
    <w:rsid w:val="006E54FC"/>
    <w:rPr>
      <w:rFonts w:ascii="Times New Roman" w:eastAsia="Batang" w:hAnsi="Times New Roman" w:cs="Mosawi"/>
      <w:sz w:val="28"/>
      <w:szCs w:val="28"/>
    </w:rPr>
  </w:style>
  <w:style w:type="paragraph" w:customStyle="1" w:styleId="afffffff5">
    <w:name w:val="قرآن"/>
    <w:basedOn w:val="Normal"/>
    <w:link w:val="Charff7"/>
    <w:rsid w:val="006E54FC"/>
    <w:pPr>
      <w:spacing w:before="100" w:beforeAutospacing="1" w:after="100" w:afterAutospacing="1" w:line="240" w:lineRule="auto"/>
      <w:ind w:left="26" w:firstLine="454"/>
      <w:jc w:val="lowKashida"/>
    </w:pPr>
    <w:rPr>
      <w:rFonts w:ascii="Times New Roman" w:hAnsi="Times New Roman" w:cs="md_ameli"/>
      <w:b/>
      <w:bCs/>
      <w:sz w:val="30"/>
      <w:szCs w:val="32"/>
    </w:rPr>
  </w:style>
  <w:style w:type="character" w:customStyle="1" w:styleId="Charff7">
    <w:name w:val="قرآن Char"/>
    <w:link w:val="afffffff5"/>
    <w:locked/>
    <w:rsid w:val="006E54FC"/>
    <w:rPr>
      <w:rFonts w:ascii="Times New Roman" w:hAnsi="Times New Roman" w:cs="md_ameli"/>
      <w:b/>
      <w:bCs/>
      <w:sz w:val="32"/>
      <w:szCs w:val="32"/>
      <w:lang w:bidi="ar-SA"/>
    </w:rPr>
  </w:style>
  <w:style w:type="character" w:customStyle="1" w:styleId="afffffff6">
    <w:name w:val="سياه عربي"/>
    <w:rsid w:val="006E54FC"/>
    <w:rPr>
      <w:rFonts w:cs="Arabic11 BT"/>
      <w:bCs/>
      <w:sz w:val="32"/>
      <w:szCs w:val="32"/>
      <w:lang w:bidi="ar-SA"/>
    </w:rPr>
  </w:style>
  <w:style w:type="character" w:customStyle="1" w:styleId="afffffff7">
    <w:name w:val="حروف عربي در فارسي"/>
    <w:rsid w:val="006E54FC"/>
    <w:rPr>
      <w:rFonts w:cs="md_ameli"/>
      <w:sz w:val="28"/>
      <w:szCs w:val="28"/>
      <w:lang w:bidi="ar-SA"/>
    </w:rPr>
  </w:style>
  <w:style w:type="paragraph" w:customStyle="1" w:styleId="afffffff8">
    <w:name w:val="نقل قول فارسي"/>
    <w:basedOn w:val="Normal"/>
    <w:link w:val="Charff8"/>
    <w:rsid w:val="006E54FC"/>
    <w:pPr>
      <w:spacing w:after="200" w:line="320" w:lineRule="exact"/>
      <w:ind w:left="851" w:firstLine="0"/>
      <w:jc w:val="lowKashida"/>
    </w:pPr>
    <w:rPr>
      <w:rFonts w:ascii="Times New Roman" w:hAnsi="Times New Roman" w:cs="B Yagut"/>
      <w:kern w:val="2050"/>
      <w:sz w:val="22"/>
      <w:szCs w:val="22"/>
    </w:rPr>
  </w:style>
  <w:style w:type="character" w:customStyle="1" w:styleId="Charff8">
    <w:name w:val="نقل قول فارسي Char"/>
    <w:link w:val="afffffff8"/>
    <w:locked/>
    <w:rsid w:val="006E54FC"/>
    <w:rPr>
      <w:rFonts w:ascii="Times New Roman" w:hAnsi="Times New Roman" w:cs="B Yagut"/>
      <w:kern w:val="2050"/>
      <w:lang w:bidi="ar-SA"/>
    </w:rPr>
  </w:style>
  <w:style w:type="paragraph" w:customStyle="1" w:styleId="afffffff9">
    <w:name w:val="نقل قول عربي"/>
    <w:basedOn w:val="Normal"/>
    <w:link w:val="afffffffa"/>
    <w:rsid w:val="006E54FC"/>
    <w:pPr>
      <w:spacing w:line="500" w:lineRule="exact"/>
      <w:ind w:left="851" w:firstLine="0"/>
      <w:jc w:val="lowKashida"/>
    </w:pPr>
    <w:rPr>
      <w:rFonts w:ascii="Tahoma" w:hAnsi="Tahoma" w:cs="Abz-2 (Badr)"/>
      <w:b/>
      <w:bCs/>
      <w:kern w:val="2050"/>
      <w:sz w:val="30"/>
    </w:rPr>
  </w:style>
  <w:style w:type="character" w:customStyle="1" w:styleId="afffffffa">
    <w:name w:val="نقل قول عربي نویسه"/>
    <w:link w:val="afffffff9"/>
    <w:locked/>
    <w:rsid w:val="006E54FC"/>
    <w:rPr>
      <w:rFonts w:ascii="Tahoma" w:hAnsi="Tahoma" w:cs="Abz-2 (Badr)"/>
      <w:b/>
      <w:bCs/>
      <w:kern w:val="2050"/>
      <w:sz w:val="30"/>
      <w:szCs w:val="30"/>
      <w:lang w:bidi="ar-SA"/>
    </w:rPr>
  </w:style>
  <w:style w:type="character" w:customStyle="1" w:styleId="afffffffb">
    <w:name w:val="سياه فارسي"/>
    <w:rsid w:val="006E54FC"/>
    <w:rPr>
      <w:rFonts w:cs="md_ameli"/>
      <w:bCs/>
      <w:sz w:val="27"/>
      <w:szCs w:val="27"/>
      <w:lang w:bidi="ar-SA"/>
    </w:rPr>
  </w:style>
  <w:style w:type="paragraph" w:customStyle="1" w:styleId="afffffffc">
    <w:name w:val="نام مقالات"/>
    <w:basedOn w:val="14"/>
    <w:link w:val="Charff9"/>
    <w:rsid w:val="006E54FC"/>
    <w:pPr>
      <w:widowControl w:val="0"/>
      <w:autoSpaceDE/>
      <w:autoSpaceDN/>
      <w:spacing w:line="240" w:lineRule="auto"/>
      <w:ind w:firstLine="454"/>
      <w:jc w:val="center"/>
    </w:pPr>
    <w:rPr>
      <w:rFonts w:eastAsia="Times New Roman" w:cs="Arabic Transparent"/>
      <w:sz w:val="22"/>
      <w:szCs w:val="40"/>
      <w:lang w:eastAsia="en-US"/>
    </w:rPr>
  </w:style>
  <w:style w:type="character" w:customStyle="1" w:styleId="Charff9">
    <w:name w:val="نام مقالات Char"/>
    <w:link w:val="afffffffc"/>
    <w:locked/>
    <w:rsid w:val="006E54FC"/>
    <w:rPr>
      <w:rFonts w:ascii="Times New Roman" w:hAnsi="Times New Roman" w:cs="Arabic Transparent"/>
      <w:bCs/>
      <w:sz w:val="40"/>
      <w:szCs w:val="40"/>
      <w:lang w:bidi="ar-SA"/>
    </w:rPr>
  </w:style>
  <w:style w:type="character" w:customStyle="1" w:styleId="afffffffd">
    <w:name w:val="علائم"/>
    <w:rsid w:val="006E54FC"/>
    <w:rPr>
      <w:rFonts w:cs="B Zar75 Symbols"/>
      <w:position w:val="4"/>
      <w:sz w:val="32"/>
      <w:szCs w:val="32"/>
      <w:vertAlign w:val="baseline"/>
      <w:lang w:bidi="fa-IR"/>
    </w:rPr>
  </w:style>
  <w:style w:type="paragraph" w:customStyle="1" w:styleId="afffffffe">
    <w:name w:val="فصلها"/>
    <w:basedOn w:val="afffffffc"/>
    <w:link w:val="Charffa"/>
    <w:rsid w:val="006E54FC"/>
    <w:pPr>
      <w:spacing w:line="480" w:lineRule="auto"/>
      <w:ind w:firstLine="0"/>
    </w:pPr>
    <w:rPr>
      <w:rFonts w:cs="Abz-2 (Badr)"/>
      <w:szCs w:val="56"/>
      <w:lang w:bidi="fa-IR"/>
    </w:rPr>
  </w:style>
  <w:style w:type="character" w:customStyle="1" w:styleId="Charffa">
    <w:name w:val="فصلها Char"/>
    <w:link w:val="afffffffe"/>
    <w:locked/>
    <w:rsid w:val="006E54FC"/>
    <w:rPr>
      <w:rFonts w:ascii="Times New Roman" w:hAnsi="Times New Roman" w:cs="Abz-2 (Badr)"/>
      <w:bCs/>
      <w:sz w:val="56"/>
      <w:szCs w:val="56"/>
      <w:lang w:bidi="fa-IR"/>
    </w:rPr>
  </w:style>
  <w:style w:type="character" w:customStyle="1" w:styleId="affffffff">
    <w:name w:val="سياه حروف عربي در پاروقي فارسي"/>
    <w:rsid w:val="006E54FC"/>
    <w:rPr>
      <w:rFonts w:cs="md_ameli"/>
      <w:bCs/>
      <w:sz w:val="20"/>
      <w:szCs w:val="20"/>
      <w:lang w:bidi="ar-SA"/>
    </w:rPr>
  </w:style>
  <w:style w:type="paragraph" w:customStyle="1" w:styleId="affffffff0">
    <w:name w:val="مقدمه"/>
    <w:basedOn w:val="Normal"/>
    <w:rsid w:val="006E54FC"/>
    <w:pPr>
      <w:spacing w:line="240" w:lineRule="auto"/>
      <w:ind w:left="1418" w:firstLine="0"/>
      <w:jc w:val="lowKashida"/>
    </w:pPr>
    <w:rPr>
      <w:rFonts w:ascii="Times New Roman" w:hAnsi="Times New Roman" w:cs="Abz-2 (Badr)"/>
      <w:bCs/>
      <w:iCs/>
      <w:sz w:val="26"/>
      <w:szCs w:val="26"/>
    </w:rPr>
  </w:style>
  <w:style w:type="paragraph" w:customStyle="1" w:styleId="affffffff1">
    <w:name w:val="مؤلفين"/>
    <w:basedOn w:val="Normal"/>
    <w:link w:val="Charffb"/>
    <w:rsid w:val="006E54FC"/>
    <w:pPr>
      <w:spacing w:line="240" w:lineRule="auto"/>
      <w:ind w:firstLine="0"/>
      <w:jc w:val="right"/>
    </w:pPr>
    <w:rPr>
      <w:rFonts w:ascii="Times New Roman" w:hAnsi="Times New Roman" w:cs="Abz-2 (Badr)"/>
      <w:bCs/>
      <w:szCs w:val="32"/>
    </w:rPr>
  </w:style>
  <w:style w:type="character" w:customStyle="1" w:styleId="Charffb">
    <w:name w:val="مؤلفين Char"/>
    <w:link w:val="affffffff1"/>
    <w:locked/>
    <w:rsid w:val="006E54FC"/>
    <w:rPr>
      <w:rFonts w:ascii="Times New Roman" w:hAnsi="Times New Roman" w:cs="Abz-2 (Badr)"/>
      <w:bCs/>
      <w:sz w:val="32"/>
      <w:szCs w:val="32"/>
      <w:lang w:bidi="ar-SA"/>
    </w:rPr>
  </w:style>
  <w:style w:type="character" w:customStyle="1" w:styleId="affffffff2">
    <w:name w:val="حروف عربي در پاورقي فارسي"/>
    <w:rsid w:val="006E54FC"/>
    <w:rPr>
      <w:rFonts w:ascii="Times New Roman" w:hAnsi="Times New Roman" w:cs="md_ameli"/>
      <w:bCs/>
      <w:sz w:val="20"/>
      <w:szCs w:val="20"/>
      <w:lang w:bidi="ar-SA"/>
    </w:rPr>
  </w:style>
  <w:style w:type="paragraph" w:customStyle="1" w:styleId="affffffff3">
    <w:name w:val="انگليسي"/>
    <w:basedOn w:val="Normal"/>
    <w:rsid w:val="006E54FC"/>
    <w:pPr>
      <w:spacing w:line="240" w:lineRule="auto"/>
      <w:ind w:firstLine="454"/>
      <w:jc w:val="right"/>
    </w:pPr>
    <w:rPr>
      <w:rFonts w:ascii="Times New Roman" w:hAnsi="Times New Roman" w:cs="Abz-2 (Badr)"/>
      <w:sz w:val="26"/>
      <w:szCs w:val="32"/>
      <w:lang w:bidi="fa-IR"/>
    </w:rPr>
  </w:style>
  <w:style w:type="paragraph" w:customStyle="1" w:styleId="affffffff4">
    <w:name w:val="نقل فارسى"/>
    <w:link w:val="affffffff5"/>
    <w:semiHidden/>
    <w:rsid w:val="006E54FC"/>
    <w:pPr>
      <w:autoSpaceDE w:val="0"/>
      <w:autoSpaceDN w:val="0"/>
      <w:bidi/>
      <w:spacing w:line="380" w:lineRule="atLeast"/>
      <w:ind w:right="851"/>
      <w:jc w:val="both"/>
    </w:pPr>
    <w:rPr>
      <w:rFonts w:ascii="Times New Roman" w:hAnsi="Times New Roman" w:cs="Times New Roman"/>
      <w:bCs/>
      <w:sz w:val="24"/>
      <w:szCs w:val="28"/>
    </w:rPr>
  </w:style>
  <w:style w:type="character" w:customStyle="1" w:styleId="affffffff5">
    <w:name w:val="نقل فارسى نویسه"/>
    <w:link w:val="affffffff4"/>
    <w:semiHidden/>
    <w:locked/>
    <w:rsid w:val="006E54FC"/>
    <w:rPr>
      <w:rFonts w:ascii="Times New Roman" w:hAnsi="Times New Roman" w:cs="Times New Roman"/>
      <w:bCs/>
      <w:sz w:val="28"/>
      <w:szCs w:val="28"/>
      <w:lang w:val="en-US" w:eastAsia="en-US" w:bidi="ar-SA"/>
    </w:rPr>
  </w:style>
  <w:style w:type="paragraph" w:customStyle="1" w:styleId="affffffff6">
    <w:name w:val="سوال"/>
    <w:basedOn w:val="Normal"/>
    <w:link w:val="Charffc"/>
    <w:rsid w:val="006E54FC"/>
    <w:pPr>
      <w:spacing w:line="240" w:lineRule="auto"/>
      <w:ind w:left="1134" w:firstLine="0"/>
      <w:jc w:val="lowKashida"/>
    </w:pPr>
    <w:rPr>
      <w:rFonts w:ascii="Times New Roman" w:hAnsi="Times New Roman" w:cs="B Nazanin"/>
      <w:bCs/>
      <w:sz w:val="22"/>
      <w:szCs w:val="25"/>
    </w:rPr>
  </w:style>
  <w:style w:type="character" w:customStyle="1" w:styleId="Charffc">
    <w:name w:val="سوال Char"/>
    <w:link w:val="affffffff6"/>
    <w:locked/>
    <w:rsid w:val="006E54FC"/>
    <w:rPr>
      <w:rFonts w:ascii="Times New Roman" w:hAnsi="Times New Roman" w:cs="B Nazanin"/>
      <w:bCs/>
      <w:sz w:val="25"/>
      <w:szCs w:val="25"/>
      <w:lang w:bidi="ar-SA"/>
    </w:rPr>
  </w:style>
  <w:style w:type="paragraph" w:customStyle="1" w:styleId="affffffff7">
    <w:name w:val="مخفي"/>
    <w:basedOn w:val="afffffffe"/>
    <w:rsid w:val="006E54FC"/>
    <w:rPr>
      <w:vanish/>
    </w:rPr>
  </w:style>
  <w:style w:type="paragraph" w:customStyle="1" w:styleId="affffffff8">
    <w:name w:val="شماره فصل"/>
    <w:basedOn w:val="afffffffe"/>
    <w:rsid w:val="006E54FC"/>
    <w:pPr>
      <w:ind w:firstLine="720"/>
      <w:jc w:val="left"/>
    </w:pPr>
    <w:rPr>
      <w:rFonts w:cs="B Esfehan"/>
      <w:szCs w:val="32"/>
    </w:rPr>
  </w:style>
  <w:style w:type="paragraph" w:customStyle="1" w:styleId="affffffff9">
    <w:name w:val="پـاصـفحه"/>
    <w:rsid w:val="006E54FC"/>
    <w:pPr>
      <w:autoSpaceDE w:val="0"/>
      <w:autoSpaceDN w:val="0"/>
      <w:bidi/>
      <w:spacing w:line="168" w:lineRule="atLeast"/>
      <w:ind w:right="452"/>
      <w:jc w:val="both"/>
    </w:pPr>
    <w:rPr>
      <w:rFonts w:ascii="Times New Roman" w:hAnsi="Times New Roman" w:cs="Times New Roman"/>
      <w:sz w:val="24"/>
      <w:szCs w:val="22"/>
    </w:rPr>
  </w:style>
  <w:style w:type="paragraph" w:customStyle="1" w:styleId="1f6">
    <w:name w:val="العنوان1"/>
    <w:rsid w:val="006E54FC"/>
    <w:pPr>
      <w:autoSpaceDE w:val="0"/>
      <w:autoSpaceDN w:val="0"/>
      <w:bidi/>
      <w:spacing w:line="433" w:lineRule="atLeast"/>
      <w:jc w:val="center"/>
    </w:pPr>
    <w:rPr>
      <w:rFonts w:ascii="Times New Roman" w:hAnsi="Times New Roman" w:cs="Abz-2 (Badr)"/>
      <w:bCs/>
      <w:sz w:val="24"/>
      <w:szCs w:val="22"/>
    </w:rPr>
  </w:style>
  <w:style w:type="paragraph" w:customStyle="1" w:styleId="affffffffa">
    <w:name w:val="پاورقى"/>
    <w:rsid w:val="006E54FC"/>
    <w:pPr>
      <w:autoSpaceDE w:val="0"/>
      <w:autoSpaceDN w:val="0"/>
      <w:bidi/>
      <w:spacing w:line="370" w:lineRule="atLeast"/>
      <w:ind w:firstLine="58"/>
      <w:jc w:val="both"/>
    </w:pPr>
    <w:rPr>
      <w:rFonts w:ascii="Times New Roman" w:hAnsi="Times New Roman" w:cs="Times New Roman"/>
      <w:sz w:val="24"/>
      <w:szCs w:val="22"/>
    </w:rPr>
  </w:style>
  <w:style w:type="character" w:customStyle="1" w:styleId="verse">
    <w:name w:val="verse"/>
    <w:semiHidden/>
    <w:rsid w:val="006E54FC"/>
    <w:rPr>
      <w:rFonts w:cs="Times New Roman"/>
    </w:rPr>
  </w:style>
  <w:style w:type="numbering" w:customStyle="1" w:styleId="fgdsgfdfd">
    <w:name w:val="fgdsgfdfd"/>
    <w:rsid w:val="006502BD"/>
    <w:pPr>
      <w:numPr>
        <w:numId w:val="12"/>
      </w:numPr>
    </w:pPr>
  </w:style>
  <w:style w:type="numbering" w:customStyle="1" w:styleId="Style2">
    <w:name w:val="Style2"/>
    <w:rsid w:val="006502BD"/>
    <w:pPr>
      <w:numPr>
        <w:numId w:val="14"/>
      </w:numPr>
    </w:pPr>
  </w:style>
  <w:style w:type="numbering" w:customStyle="1" w:styleId="a">
    <w:name w:val="الترقيم الحـــرفي"/>
    <w:rsid w:val="006502BD"/>
    <w:pPr>
      <w:numPr>
        <w:numId w:val="3"/>
      </w:numPr>
    </w:pPr>
  </w:style>
  <w:style w:type="numbering" w:customStyle="1" w:styleId="ggsdfkfgsdgg">
    <w:name w:val="ggsdfkfgsdgg"/>
    <w:rsid w:val="006502BD"/>
    <w:pPr>
      <w:numPr>
        <w:numId w:val="9"/>
      </w:numPr>
    </w:pPr>
  </w:style>
  <w:style w:type="numbering" w:customStyle="1" w:styleId="dgjhg">
    <w:name w:val="dgjhg"/>
    <w:rsid w:val="006502BD"/>
    <w:pPr>
      <w:numPr>
        <w:numId w:val="20"/>
      </w:numPr>
    </w:pPr>
  </w:style>
  <w:style w:type="numbering" w:customStyle="1" w:styleId="a0">
    <w:name w:val="التررررقيم العددي"/>
    <w:rsid w:val="006502BD"/>
    <w:pPr>
      <w:numPr>
        <w:numId w:val="4"/>
      </w:numPr>
    </w:pPr>
  </w:style>
  <w:style w:type="numbering" w:customStyle="1" w:styleId="ArticleSection1">
    <w:name w:val="Article / Section1"/>
    <w:rsid w:val="006502BD"/>
    <w:pPr>
      <w:numPr>
        <w:numId w:val="34"/>
      </w:numPr>
    </w:pPr>
  </w:style>
  <w:style w:type="numbering" w:customStyle="1" w:styleId="a2">
    <w:name w:val="بسي"/>
    <w:rsid w:val="006502BD"/>
    <w:pPr>
      <w:numPr>
        <w:numId w:val="17"/>
      </w:numPr>
    </w:pPr>
  </w:style>
  <w:style w:type="numbering" w:styleId="111111">
    <w:name w:val="Outline List 2"/>
    <w:basedOn w:val="NoList"/>
    <w:rsid w:val="006502BD"/>
    <w:pPr>
      <w:numPr>
        <w:numId w:val="22"/>
      </w:numPr>
    </w:pPr>
  </w:style>
  <w:style w:type="numbering" w:customStyle="1" w:styleId="a3">
    <w:name w:val="ليباتليبت"/>
    <w:rsid w:val="006502BD"/>
    <w:pPr>
      <w:numPr>
        <w:numId w:val="7"/>
      </w:numPr>
    </w:pPr>
  </w:style>
  <w:style w:type="numbering" w:customStyle="1" w:styleId="a4">
    <w:name w:val="بسيب"/>
    <w:rsid w:val="006502BD"/>
    <w:pPr>
      <w:numPr>
        <w:numId w:val="15"/>
      </w:numPr>
    </w:pPr>
  </w:style>
  <w:style w:type="numbering" w:customStyle="1" w:styleId="a5">
    <w:name w:val="الترقيم الحرفي الضـمني"/>
    <w:rsid w:val="006502BD"/>
    <w:pPr>
      <w:numPr>
        <w:numId w:val="2"/>
      </w:numPr>
    </w:pPr>
  </w:style>
  <w:style w:type="numbering" w:customStyle="1" w:styleId="a6">
    <w:name w:val="لاالبتنمبلتن"/>
    <w:rsid w:val="006502BD"/>
    <w:pPr>
      <w:numPr>
        <w:numId w:val="13"/>
      </w:numPr>
    </w:pPr>
  </w:style>
  <w:style w:type="numbering" w:customStyle="1" w:styleId="a7">
    <w:name w:val="بيسي"/>
    <w:rsid w:val="006502BD"/>
    <w:pPr>
      <w:numPr>
        <w:numId w:val="18"/>
      </w:numPr>
    </w:pPr>
  </w:style>
  <w:style w:type="numbering" w:customStyle="1" w:styleId="a8">
    <w:name w:val="ب"/>
    <w:rsid w:val="006502BD"/>
    <w:pPr>
      <w:numPr>
        <w:numId w:val="16"/>
      </w:numPr>
    </w:pPr>
  </w:style>
  <w:style w:type="numbering" w:customStyle="1" w:styleId="ghf">
    <w:name w:val="ghf"/>
    <w:rsid w:val="006502BD"/>
    <w:pPr>
      <w:numPr>
        <w:numId w:val="10"/>
      </w:numPr>
    </w:pPr>
  </w:style>
  <w:style w:type="numbering" w:styleId="1ai">
    <w:name w:val="Outline List 1"/>
    <w:basedOn w:val="NoList"/>
    <w:rsid w:val="006502BD"/>
    <w:pPr>
      <w:numPr>
        <w:numId w:val="23"/>
      </w:numPr>
    </w:pPr>
  </w:style>
  <w:style w:type="numbering" w:customStyle="1" w:styleId="a9">
    <w:name w:val="الترقيم الحرفـي"/>
    <w:rsid w:val="006502BD"/>
    <w:pPr>
      <w:numPr>
        <w:numId w:val="1"/>
      </w:numPr>
    </w:pPr>
  </w:style>
  <w:style w:type="numbering" w:customStyle="1" w:styleId="aa">
    <w:name w:val="بيشسيب"/>
    <w:rsid w:val="006502BD"/>
    <w:pPr>
      <w:numPr>
        <w:numId w:val="19"/>
      </w:numPr>
    </w:pPr>
  </w:style>
  <w:style w:type="numbering" w:customStyle="1" w:styleId="jdhgdfjkghkdll">
    <w:name w:val="jdhgdfjkghkdll"/>
    <w:rsid w:val="006502BD"/>
    <w:pPr>
      <w:numPr>
        <w:numId w:val="5"/>
      </w:numPr>
    </w:pPr>
  </w:style>
  <w:style w:type="numbering" w:customStyle="1" w:styleId="gfdjkhjl">
    <w:name w:val="gfdjkhjl"/>
    <w:rsid w:val="006502BD"/>
    <w:pPr>
      <w:numPr>
        <w:numId w:val="11"/>
      </w:numPr>
    </w:pPr>
  </w:style>
  <w:style w:type="numbering" w:customStyle="1" w:styleId="hgfghfgkfj">
    <w:name w:val="hgfghfgkfj"/>
    <w:rsid w:val="006502BD"/>
    <w:pPr>
      <w:numPr>
        <w:numId w:val="6"/>
      </w:numPr>
    </w:pPr>
  </w:style>
  <w:style w:type="numbering" w:customStyle="1" w:styleId="ab">
    <w:name w:val="التلعتالتنم"/>
    <w:rsid w:val="006502BD"/>
    <w:pPr>
      <w:numPr>
        <w:numId w:val="8"/>
      </w:numPr>
    </w:pPr>
  </w:style>
  <w:style w:type="paragraph" w:customStyle="1" w:styleId="Space">
    <w:name w:val="Space"/>
    <w:basedOn w:val="Normal"/>
    <w:qFormat/>
    <w:rsid w:val="0003635A"/>
    <w:pPr>
      <w:spacing w:line="202" w:lineRule="auto"/>
    </w:pPr>
  </w:style>
  <w:style w:type="paragraph" w:customStyle="1" w:styleId="Space1">
    <w:name w:val="Space1"/>
    <w:basedOn w:val="Space"/>
    <w:qFormat/>
    <w:rsid w:val="0003635A"/>
    <w:pPr>
      <w:spacing w:line="206" w:lineRule="auto"/>
    </w:pPr>
  </w:style>
  <w:style w:type="paragraph" w:customStyle="1" w:styleId="Space2">
    <w:name w:val="Space2"/>
    <w:basedOn w:val="Space1"/>
    <w:qFormat/>
    <w:rsid w:val="0003635A"/>
    <w:pPr>
      <w:spacing w:line="221" w:lineRule="auto"/>
    </w:pPr>
  </w:style>
  <w:style w:type="numbering" w:customStyle="1" w:styleId="NoList1">
    <w:name w:val="No List1"/>
    <w:next w:val="NoList"/>
    <w:uiPriority w:val="99"/>
    <w:semiHidden/>
    <w:unhideWhenUsed/>
    <w:rsid w:val="00020F37"/>
  </w:style>
  <w:style w:type="paragraph" w:customStyle="1" w:styleId="NoSpacing1">
    <w:name w:val="No Spacing1"/>
    <w:next w:val="NoSpacing"/>
    <w:uiPriority w:val="1"/>
    <w:qFormat/>
    <w:rsid w:val="00020F37"/>
    <w:pPr>
      <w:bidi/>
      <w:ind w:firstLine="284"/>
      <w:jc w:val="both"/>
    </w:pPr>
    <w:rPr>
      <w:rFonts w:ascii="Times New Roman" w:eastAsia="Calibri" w:hAnsi="Times New Roman" w:cs="Mosawi"/>
      <w:sz w:val="28"/>
      <w:szCs w:val="32"/>
    </w:rPr>
  </w:style>
  <w:style w:type="paragraph" w:styleId="NoSpacing">
    <w:name w:val="No Spacing"/>
    <w:aliases w:val="سلطان ميديم15,مباحث"/>
    <w:uiPriority w:val="1"/>
    <w:qFormat/>
    <w:rsid w:val="00020F37"/>
    <w:pPr>
      <w:widowControl w:val="0"/>
      <w:bidi/>
      <w:ind w:firstLine="284"/>
      <w:jc w:val="both"/>
    </w:pPr>
    <w:rPr>
      <w:rFonts w:ascii="Times" w:hAnsi="Times" w:cs="Mosawi"/>
      <w:sz w:val="28"/>
      <w:szCs w:val="30"/>
    </w:rPr>
  </w:style>
  <w:style w:type="numbering" w:customStyle="1" w:styleId="NoList2">
    <w:name w:val="No List2"/>
    <w:next w:val="NoList"/>
    <w:uiPriority w:val="99"/>
    <w:semiHidden/>
    <w:unhideWhenUsed/>
    <w:rsid w:val="0016041D"/>
  </w:style>
  <w:style w:type="numbering" w:customStyle="1" w:styleId="NoList3">
    <w:name w:val="No List3"/>
    <w:next w:val="NoList"/>
    <w:semiHidden/>
    <w:unhideWhenUsed/>
    <w:rsid w:val="00780F73"/>
  </w:style>
  <w:style w:type="table" w:customStyle="1" w:styleId="TableGrid10">
    <w:name w:val="Table Grid1"/>
    <w:basedOn w:val="TableNormal"/>
    <w:next w:val="TableGrid"/>
    <w:uiPriority w:val="39"/>
    <w:rsid w:val="00780F73"/>
    <w:pPr>
      <w:spacing w:line="211" w:lineRule="auto"/>
      <w:jc w:val="lowKashida"/>
    </w:pPr>
    <w:rPr>
      <w:rFonts w:ascii="Times" w:hAnsi="Times" w:cs="Mosawi"/>
      <w:bCs/>
      <w:sz w:val="28"/>
      <w:szCs w:val="28"/>
    </w:rPr>
    <w:tblPr/>
  </w:style>
  <w:style w:type="table" w:customStyle="1" w:styleId="Table1">
    <w:name w:val="Table1"/>
    <w:rsid w:val="00780F73"/>
    <w:pPr>
      <w:spacing w:line="211" w:lineRule="auto"/>
      <w:jc w:val="lowKashida"/>
    </w:pPr>
    <w:tblPr>
      <w:jc w:val="center"/>
      <w:tblCellMar>
        <w:top w:w="0" w:type="dxa"/>
        <w:left w:w="108" w:type="dxa"/>
        <w:bottom w:w="0" w:type="dxa"/>
        <w:right w:w="108" w:type="dxa"/>
      </w:tblCellMar>
    </w:tblPr>
    <w:trPr>
      <w:jc w:val="center"/>
    </w:trPr>
  </w:style>
  <w:style w:type="paragraph" w:customStyle="1" w:styleId="110">
    <w:name w:val="رأس الصفحة11"/>
    <w:basedOn w:val="Normal"/>
    <w:rsid w:val="00780F73"/>
    <w:pPr>
      <w:tabs>
        <w:tab w:val="right" w:leader="dot" w:pos="8313"/>
      </w:tabs>
      <w:ind w:firstLine="0"/>
    </w:pPr>
    <w:rPr>
      <w:rFonts w:ascii="Times New Roman" w:eastAsia="Batang" w:hAnsi="Times New Roman"/>
      <w:sz w:val="24"/>
    </w:rPr>
  </w:style>
  <w:style w:type="table" w:customStyle="1" w:styleId="TableColumns11">
    <w:name w:val="Table Columns 11"/>
    <w:basedOn w:val="TableNormal"/>
    <w:next w:val="TableColumns1"/>
    <w:rsid w:val="00780F73"/>
    <w:rPr>
      <w:rFonts w:ascii="Times New Roman" w:eastAsia="Batang"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80F73"/>
    <w:rPr>
      <w:rFonts w:ascii="Times New Roman" w:eastAsia="Batang" w:hAnsi="Times New Roman"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80F73"/>
    <w:rPr>
      <w:rFonts w:ascii="Times New Roman" w:eastAsia="Batang"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80F73"/>
    <w:rPr>
      <w:rFonts w:ascii="Times New Roman" w:eastAsia="Batang" w:hAnsi="Times New Roman"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TableColumns51">
    <w:name w:val="Table Columns 51"/>
    <w:basedOn w:val="TableNormal"/>
    <w:next w:val="TableColumns5"/>
    <w:rsid w:val="00780F73"/>
    <w:rPr>
      <w:rFonts w:ascii="Times New Roman" w:eastAsia="Batang"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TableElegant1">
    <w:name w:val="Table Elegant1"/>
    <w:basedOn w:val="TableNormal"/>
    <w:next w:val="TableElegant"/>
    <w:rsid w:val="00780F73"/>
    <w:rPr>
      <w:rFonts w:ascii="Times New Roman" w:eastAsia="Batang"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3Deffects11">
    <w:name w:val="Table 3D effects 11"/>
    <w:basedOn w:val="TableNormal"/>
    <w:next w:val="Table3Deffects1"/>
    <w:rsid w:val="00780F73"/>
    <w:rPr>
      <w:rFonts w:ascii="Times New Roman" w:eastAsia="Batang" w:hAnsi="Times New Roman"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80F73"/>
    <w:rPr>
      <w:rFonts w:ascii="Times New Roman" w:eastAsia="Batang" w:hAnsi="Times New Roman"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80F73"/>
    <w:rPr>
      <w:rFonts w:ascii="Times New Roman" w:eastAsia="Batang" w:hAnsi="Times New Roman"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Simple11">
    <w:name w:val="Table Simple 11"/>
    <w:basedOn w:val="TableNormal"/>
    <w:next w:val="TableSimple1"/>
    <w:rsid w:val="00780F73"/>
    <w:rPr>
      <w:rFonts w:ascii="Times New Roman" w:eastAsia="Batang" w:hAnsi="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80F73"/>
    <w:rPr>
      <w:rFonts w:ascii="Times New Roman" w:eastAsia="Batang" w:hAnsi="Times New Roman"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80F73"/>
    <w:rPr>
      <w:rFonts w:ascii="Times New Roman" w:eastAsia="Batang" w:hAnsi="Times New Roman"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80F73"/>
    <w:rPr>
      <w:rFonts w:ascii="Times New Roman" w:eastAsia="Batang" w:hAnsi="Times New Roman"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80F73"/>
    <w:rPr>
      <w:rFonts w:ascii="Times New Roman" w:eastAsia="Batang" w:hAnsi="Times New Roman"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Professional1">
    <w:name w:val="Table Professional1"/>
    <w:basedOn w:val="TableNormal"/>
    <w:next w:val="TableProfessional"/>
    <w:rsid w:val="00780F73"/>
    <w:rPr>
      <w:rFonts w:ascii="Times New Roman" w:eastAsia="Batang"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rsid w:val="00780F73"/>
    <w:rPr>
      <w:rFonts w:ascii="Times New Roman" w:eastAsia="Batang" w:hAnsi="Times New Roman"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80F73"/>
    <w:rPr>
      <w:rFonts w:ascii="Times New Roman" w:eastAsia="Batang"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80F73"/>
    <w:rPr>
      <w:rFonts w:ascii="Times New Roman" w:eastAsia="Batang"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80F73"/>
    <w:rPr>
      <w:rFonts w:ascii="Times New Roman" w:eastAsia="Batang" w:hAnsi="Times New Roman"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rsid w:val="00780F73"/>
    <w:rPr>
      <w:rFonts w:ascii="Times New Roman" w:eastAsia="Batang" w:hAnsi="Times New Roman"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eColorful11">
    <w:name w:val="Table Colorful 11"/>
    <w:basedOn w:val="TableNormal"/>
    <w:next w:val="TableColorful1"/>
    <w:rsid w:val="00780F73"/>
    <w:rPr>
      <w:rFonts w:ascii="Times New Roman" w:eastAsia="Batang"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80F73"/>
    <w:rPr>
      <w:rFonts w:ascii="Times New Roman" w:eastAsia="Batang" w:hAnsi="Times New Roman"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80F73"/>
    <w:rPr>
      <w:rFonts w:ascii="Times New Roman" w:eastAsia="Batang"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TableWeb11">
    <w:name w:val="Table Web 11"/>
    <w:basedOn w:val="TableNormal"/>
    <w:next w:val="TableWeb1"/>
    <w:rsid w:val="00780F73"/>
    <w:rPr>
      <w:rFonts w:ascii="Times New Roman" w:eastAsia="Batang"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80F73"/>
    <w:rPr>
      <w:rFonts w:ascii="Times New Roman" w:eastAsia="Batang"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80F73"/>
    <w:rPr>
      <w:rFonts w:ascii="Times New Roman" w:eastAsia="Batang"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80F73"/>
    <w:rPr>
      <w:rFonts w:ascii="Times New Roman" w:eastAsia="Batang"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TableNormal"/>
    <w:next w:val="TableGrid1"/>
    <w:rsid w:val="00780F73"/>
    <w:rPr>
      <w:rFonts w:ascii="Times New Roman" w:eastAsia="Batang"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80F73"/>
    <w:rPr>
      <w:rFonts w:ascii="Times New Roman" w:eastAsia="Batang" w:hAnsi="Times New Roman"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80F73"/>
    <w:rPr>
      <w:rFonts w:ascii="Times New Roman" w:eastAsia="Batang"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80F73"/>
    <w:rPr>
      <w:rFonts w:ascii="Times New Roman" w:eastAsia="Batang" w:hAnsi="Times New Roman"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80F73"/>
    <w:rPr>
      <w:rFonts w:ascii="Times New Roman" w:eastAsia="Batang"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80F73"/>
    <w:rPr>
      <w:rFonts w:ascii="Times New Roman" w:eastAsia="Batang"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80F73"/>
    <w:rPr>
      <w:rFonts w:ascii="Times New Roman" w:eastAsia="Batang"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80F73"/>
    <w:rPr>
      <w:rFonts w:ascii="Times New Roman" w:eastAsia="Batang"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80F73"/>
    <w:rPr>
      <w:rFonts w:ascii="Times New Roman" w:eastAsia="Batang"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80F73"/>
    <w:rPr>
      <w:rFonts w:ascii="Times New Roman" w:eastAsia="Batang" w:hAnsi="Times New Roman"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80F73"/>
    <w:rPr>
      <w:rFonts w:ascii="Times New Roman" w:eastAsia="Batang" w:hAnsi="Times New Roman"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80F73"/>
    <w:rPr>
      <w:rFonts w:ascii="Times New Roman" w:eastAsia="Batang"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80F73"/>
    <w:rPr>
      <w:rFonts w:ascii="Times New Roman" w:eastAsia="Batang"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80F73"/>
    <w:rPr>
      <w:rFonts w:ascii="Times New Roman" w:eastAsia="Batang"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80F73"/>
    <w:rPr>
      <w:rFonts w:ascii="Times New Roman" w:eastAsia="Batang"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80F73"/>
    <w:rPr>
      <w:rFonts w:ascii="Times New Roman" w:eastAsia="Batang"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customStyle="1" w:styleId="111">
    <w:name w:val="عنوان الكتاب11"/>
    <w:basedOn w:val="Normal"/>
    <w:rsid w:val="00780F73"/>
    <w:pPr>
      <w:spacing w:line="240" w:lineRule="auto"/>
      <w:ind w:firstLine="0"/>
      <w:jc w:val="center"/>
    </w:pPr>
    <w:rPr>
      <w:rFonts w:ascii="Times New Roman" w:eastAsia="Batang" w:hAnsi="Times New Roman" w:cs="Bader"/>
      <w:sz w:val="76"/>
      <w:szCs w:val="71"/>
      <w:lang w:eastAsia="ar-SA"/>
    </w:rPr>
  </w:style>
  <w:style w:type="numbering" w:customStyle="1" w:styleId="NoList4">
    <w:name w:val="No List4"/>
    <w:next w:val="NoList"/>
    <w:uiPriority w:val="99"/>
    <w:semiHidden/>
    <w:unhideWhenUsed/>
    <w:rsid w:val="00B22022"/>
  </w:style>
  <w:style w:type="table" w:customStyle="1" w:styleId="TableGrid20">
    <w:name w:val="Table Grid2"/>
    <w:basedOn w:val="TableNormal"/>
    <w:next w:val="TableGrid"/>
    <w:uiPriority w:val="39"/>
    <w:rsid w:val="00B22022"/>
    <w:pPr>
      <w:spacing w:line="211" w:lineRule="auto"/>
      <w:jc w:val="lowKashida"/>
    </w:pPr>
    <w:rPr>
      <w:rFonts w:ascii="Times" w:eastAsiaTheme="minorEastAsia" w:hAnsi="Times" w:cs="Mosawi"/>
      <w:bCs/>
      <w:sz w:val="28"/>
      <w:szCs w:val="28"/>
    </w:rPr>
    <w:tblPr/>
    <w:tcPr>
      <w:vAlign w:val="center"/>
    </w:tcPr>
  </w:style>
  <w:style w:type="table" w:customStyle="1" w:styleId="Table2">
    <w:name w:val="Table2"/>
    <w:basedOn w:val="TableNormal"/>
    <w:uiPriority w:val="99"/>
    <w:rsid w:val="00B22022"/>
    <w:pPr>
      <w:spacing w:line="211" w:lineRule="auto"/>
      <w:jc w:val="lowKashida"/>
    </w:pPr>
    <w:rPr>
      <w:rFonts w:asciiTheme="minorHAnsi" w:eastAsiaTheme="minorEastAsia" w:hAnsiTheme="minorHAnsi" w:cstheme="minorBidi"/>
      <w:sz w:val="22"/>
      <w:szCs w:val="22"/>
    </w:rPr>
    <w:tblPr>
      <w:jc w:val="center"/>
    </w:tblPr>
    <w:trPr>
      <w:jc w:val="center"/>
    </w:trPr>
    <w:tcPr>
      <w:vAlign w:val="center"/>
    </w:tcPr>
  </w:style>
  <w:style w:type="paragraph" w:customStyle="1" w:styleId="Space3">
    <w:name w:val="Space3"/>
    <w:basedOn w:val="Normal"/>
    <w:qFormat/>
    <w:rsid w:val="00B22022"/>
    <w:pPr>
      <w:spacing w:line="221" w:lineRule="auto"/>
      <w:ind w:firstLine="567"/>
    </w:pPr>
    <w:rPr>
      <w:rFonts w:eastAsiaTheme="minorEastAsia"/>
    </w:rPr>
  </w:style>
  <w:style w:type="paragraph" w:customStyle="1" w:styleId="affffffffb">
    <w:name w:val="الشعر"/>
    <w:basedOn w:val="af8"/>
    <w:qFormat/>
    <w:rsid w:val="00B22022"/>
    <w:pPr>
      <w:widowControl w:val="0"/>
      <w:adjustRightInd w:val="0"/>
      <w:spacing w:line="240" w:lineRule="auto"/>
      <w:jc w:val="mediumKashida"/>
    </w:pPr>
    <w:rPr>
      <w:rFonts w:eastAsia="Times New Roman" w:cs="Mosawi"/>
      <w:bCs w:val="0"/>
      <w:sz w:val="32"/>
      <w:szCs w:val="32"/>
      <w:lang w:eastAsia="en-US"/>
    </w:rPr>
  </w:style>
  <w:style w:type="character" w:customStyle="1" w:styleId="Charffd">
    <w:name w:val="تذييل صفحة Char"/>
    <w:uiPriority w:val="99"/>
    <w:rsid w:val="00B22022"/>
    <w:rPr>
      <w:rFonts w:cs="Mosawi"/>
      <w:sz w:val="22"/>
      <w:szCs w:val="30"/>
    </w:rPr>
  </w:style>
  <w:style w:type="paragraph" w:styleId="Caption">
    <w:name w:val="caption"/>
    <w:basedOn w:val="Normal"/>
    <w:next w:val="Normal"/>
    <w:uiPriority w:val="35"/>
    <w:unhideWhenUsed/>
    <w:qFormat/>
    <w:locked/>
    <w:rsid w:val="00B22022"/>
    <w:pPr>
      <w:spacing w:line="240" w:lineRule="auto"/>
      <w:ind w:firstLine="567"/>
      <w:jc w:val="lowKashida"/>
    </w:pPr>
    <w:rPr>
      <w:rFonts w:ascii="Calibri" w:eastAsia="Calibri" w:hAnsi="Calibri"/>
      <w:b/>
      <w:bCs/>
      <w:sz w:val="20"/>
      <w:szCs w:val="20"/>
    </w:rPr>
  </w:style>
  <w:style w:type="character" w:customStyle="1" w:styleId="CharChar26">
    <w:name w:val="Char Char26"/>
    <w:rsid w:val="000A4159"/>
    <w:rPr>
      <w:rFonts w:eastAsia="PMingLiU" w:cs="DanaFajr"/>
      <w:sz w:val="28"/>
      <w:szCs w:val="28"/>
      <w:lang w:val="en-US" w:eastAsia="ar-SA" w:bidi="ar-SA"/>
    </w:rPr>
  </w:style>
  <w:style w:type="paragraph" w:customStyle="1" w:styleId="normal87">
    <w:name w:val="normal87"/>
    <w:basedOn w:val="Normal"/>
    <w:qFormat/>
    <w:rsid w:val="00672EBB"/>
    <w:pPr>
      <w:widowControl/>
      <w:spacing w:line="209" w:lineRule="auto"/>
    </w:pPr>
    <w:rPr>
      <w:rFonts w:ascii="Times New Roman" w:hAnsi="Times New Roman"/>
      <w:sz w:val="26"/>
    </w:rPr>
  </w:style>
  <w:style w:type="paragraph" w:customStyle="1" w:styleId="normal9">
    <w:name w:val="normal9"/>
    <w:basedOn w:val="normal87"/>
    <w:qFormat/>
    <w:rsid w:val="00672EBB"/>
    <w:pPr>
      <w:spacing w:line="216" w:lineRule="auto"/>
    </w:pPr>
    <w:rPr>
      <w:szCs w:val="29"/>
    </w:rPr>
  </w:style>
  <w:style w:type="paragraph" w:customStyle="1" w:styleId="normal93">
    <w:name w:val="normal93"/>
    <w:basedOn w:val="normal9"/>
    <w:qFormat/>
    <w:rsid w:val="00672EBB"/>
    <w:pPr>
      <w:spacing w:line="223" w:lineRule="auto"/>
    </w:pPr>
  </w:style>
  <w:style w:type="paragraph" w:customStyle="1" w:styleId="heading40">
    <w:name w:val="heading4"/>
    <w:basedOn w:val="Normal"/>
    <w:next w:val="Normal"/>
    <w:qFormat/>
    <w:rsid w:val="00672EBB"/>
    <w:pPr>
      <w:widowControl/>
      <w:spacing w:before="360"/>
      <w:ind w:firstLine="0"/>
    </w:pPr>
    <w:rPr>
      <w:rFonts w:ascii="Times New Roman" w:hAnsi="Times New Roman" w:cs="AL-Mateen"/>
      <w:sz w:val="26"/>
      <w:szCs w:val="34"/>
    </w:rPr>
  </w:style>
  <w:style w:type="paragraph" w:customStyle="1" w:styleId="heading50">
    <w:name w:val="heading5"/>
    <w:basedOn w:val="Normal"/>
    <w:next w:val="Normal"/>
    <w:qFormat/>
    <w:rsid w:val="00672EBB"/>
    <w:pPr>
      <w:widowControl/>
      <w:spacing w:before="360"/>
      <w:ind w:firstLine="0"/>
    </w:pPr>
    <w:rPr>
      <w:rFonts w:ascii="Arial" w:hAnsi="Arial" w:cs="AL-Mateen"/>
      <w:sz w:val="26"/>
    </w:rPr>
  </w:style>
  <w:style w:type="paragraph" w:customStyle="1" w:styleId="1f7">
    <w:name w:val="بلا تباعد1"/>
    <w:rsid w:val="00672EBB"/>
    <w:pPr>
      <w:bidi/>
      <w:ind w:firstLine="284"/>
      <w:jc w:val="both"/>
    </w:pPr>
    <w:rPr>
      <w:rFonts w:ascii="Tahoma" w:hAnsi="Tahoma" w:cs="Mosawi"/>
      <w:sz w:val="28"/>
      <w:szCs w:val="32"/>
    </w:rPr>
  </w:style>
  <w:style w:type="paragraph" w:customStyle="1" w:styleId="matin">
    <w:name w:val="matin"/>
    <w:basedOn w:val="Normal"/>
    <w:link w:val="matinChar"/>
    <w:rsid w:val="00672EBB"/>
    <w:rPr>
      <w:rFonts w:ascii="Times New Roman" w:hAnsi="Times New Roman"/>
      <w:sz w:val="32"/>
      <w:szCs w:val="32"/>
    </w:rPr>
  </w:style>
  <w:style w:type="character" w:customStyle="1" w:styleId="matinChar">
    <w:name w:val="matin Char"/>
    <w:link w:val="matin"/>
    <w:rsid w:val="00672EBB"/>
    <w:rPr>
      <w:rFonts w:ascii="Times New Roman" w:hAnsi="Times New Roman" w:cs="Mosawi"/>
      <w:sz w:val="32"/>
      <w:szCs w:val="32"/>
    </w:rPr>
  </w:style>
  <w:style w:type="paragraph" w:customStyle="1" w:styleId="sher">
    <w:name w:val="sher"/>
    <w:basedOn w:val="Heading2"/>
    <w:qFormat/>
    <w:rsid w:val="00672EBB"/>
    <w:pPr>
      <w:spacing w:before="240"/>
      <w:jc w:val="lowKashida"/>
    </w:pPr>
    <w:rPr>
      <w:rFonts w:ascii="Taher" w:eastAsia="Calibri" w:hAnsi="Taher" w:cs="Mosawi"/>
      <w:bCs/>
      <w:color w:val="000099"/>
      <w:sz w:val="26"/>
    </w:rPr>
  </w:style>
  <w:style w:type="paragraph" w:customStyle="1" w:styleId="foot1">
    <w:name w:val="foot1"/>
    <w:basedOn w:val="Normal"/>
    <w:uiPriority w:val="99"/>
    <w:rsid w:val="00672EBB"/>
    <w:pPr>
      <w:bidi w:val="0"/>
      <w:spacing w:line="341" w:lineRule="atLeast"/>
      <w:ind w:right="284" w:hanging="284"/>
    </w:pPr>
    <w:rPr>
      <w:rFonts w:ascii="Times New Roman" w:eastAsia="Calibri" w:hAnsi="Times New Roman" w:cs="Simplified Arabic"/>
      <w:sz w:val="24"/>
      <w:szCs w:val="24"/>
    </w:rPr>
  </w:style>
  <w:style w:type="paragraph" w:customStyle="1" w:styleId="pagenum1">
    <w:name w:val="pagenum1"/>
    <w:basedOn w:val="Normal"/>
    <w:uiPriority w:val="99"/>
    <w:rsid w:val="00672EBB"/>
    <w:pPr>
      <w:bidi w:val="0"/>
      <w:spacing w:line="480" w:lineRule="atLeast"/>
      <w:ind w:firstLine="0"/>
      <w:jc w:val="center"/>
    </w:pPr>
    <w:rPr>
      <w:rFonts w:ascii="Tahoma" w:eastAsia="Calibri" w:hAnsi="Tahoma" w:cs="Tahoma"/>
      <w:b/>
      <w:bCs/>
      <w:color w:val="0000FF"/>
      <w:sz w:val="20"/>
      <w:szCs w:val="20"/>
    </w:rPr>
  </w:style>
  <w:style w:type="character" w:customStyle="1" w:styleId="footline">
    <w:name w:val="footline"/>
    <w:rsid w:val="00672EBB"/>
    <w:rPr>
      <w:rFonts w:ascii="Times New Roman" w:hAnsi="Times New Roman" w:cs="Times New Roman"/>
      <w:color w:val="0000FF"/>
      <w:sz w:val="28"/>
      <w:szCs w:val="28"/>
    </w:rPr>
  </w:style>
  <w:style w:type="character" w:customStyle="1" w:styleId="ufyag141">
    <w:name w:val="uf_yag141"/>
    <w:rsid w:val="00672EBB"/>
    <w:rPr>
      <w:rFonts w:cs="Simplified Arabic"/>
      <w:b/>
      <w:bCs/>
      <w:sz w:val="26"/>
      <w:szCs w:val="26"/>
      <w:lang w:bidi="ar-SA"/>
    </w:rPr>
  </w:style>
  <w:style w:type="character" w:customStyle="1" w:styleId="uflts41">
    <w:name w:val="uf_lts41"/>
    <w:rsid w:val="00672EBB"/>
    <w:rPr>
      <w:rFonts w:cs="Simplified Arabic"/>
      <w:b/>
      <w:bCs/>
      <w:sz w:val="28"/>
      <w:szCs w:val="28"/>
      <w:lang w:bidi="ar-SA"/>
    </w:rPr>
  </w:style>
  <w:style w:type="character" w:customStyle="1" w:styleId="ufalaem91">
    <w:name w:val="uf_alaem91"/>
    <w:rsid w:val="00672EBB"/>
    <w:rPr>
      <w:rFonts w:ascii="Times New Roman" w:hAnsi="Times New Roman" w:cs="Times New Roman"/>
      <w:sz w:val="22"/>
      <w:szCs w:val="22"/>
    </w:rPr>
  </w:style>
  <w:style w:type="character" w:customStyle="1" w:styleId="ufalaem341">
    <w:name w:val="uf_alaem341"/>
    <w:rsid w:val="00672EBB"/>
    <w:rPr>
      <w:rFonts w:ascii="Times New Roman" w:hAnsi="Times New Roman" w:cs="Times New Roman"/>
      <w:sz w:val="36"/>
      <w:szCs w:val="36"/>
    </w:rPr>
  </w:style>
  <w:style w:type="character" w:customStyle="1" w:styleId="footnumup">
    <w:name w:val="footnumup"/>
    <w:rsid w:val="00672EBB"/>
    <w:rPr>
      <w:rFonts w:ascii="Times New Roman" w:hAnsi="Times New Roman" w:cs="Times New Roman"/>
      <w:position w:val="11"/>
      <w:sz w:val="28"/>
      <w:szCs w:val="28"/>
    </w:rPr>
  </w:style>
  <w:style w:type="character" w:customStyle="1" w:styleId="ufbdr81">
    <w:name w:val="uf_bdr81"/>
    <w:rsid w:val="00672EBB"/>
    <w:rPr>
      <w:rFonts w:cs="Simplified Arabic"/>
      <w:b/>
      <w:bCs/>
      <w:sz w:val="28"/>
      <w:szCs w:val="28"/>
      <w:lang w:bidi="ar-SA"/>
    </w:rPr>
  </w:style>
  <w:style w:type="character" w:customStyle="1" w:styleId="ufbdr71">
    <w:name w:val="uf_bdr71"/>
    <w:rsid w:val="00672EBB"/>
    <w:rPr>
      <w:rFonts w:cs="Simplified Arabic"/>
      <w:b/>
      <w:bCs/>
      <w:sz w:val="28"/>
      <w:szCs w:val="28"/>
      <w:lang w:bidi="ar-SA"/>
    </w:rPr>
  </w:style>
  <w:style w:type="character" w:customStyle="1" w:styleId="ufesy321">
    <w:name w:val="uf_esy321"/>
    <w:rsid w:val="00672EBB"/>
    <w:rPr>
      <w:rFonts w:ascii="Times New Roman" w:hAnsi="Times New Roman" w:cs="Times New Roman"/>
      <w:sz w:val="48"/>
      <w:szCs w:val="48"/>
    </w:rPr>
  </w:style>
  <w:style w:type="character" w:customStyle="1" w:styleId="ufnzn181">
    <w:name w:val="uf_nzn181"/>
    <w:rsid w:val="00672EBB"/>
    <w:rPr>
      <w:rFonts w:ascii="Times New Roman" w:hAnsi="Times New Roman" w:cs="Times New Roman"/>
      <w:b/>
      <w:bCs/>
      <w:sz w:val="26"/>
      <w:szCs w:val="26"/>
    </w:rPr>
  </w:style>
  <w:style w:type="character" w:customStyle="1" w:styleId="uflts71">
    <w:name w:val="uf_lts71"/>
    <w:rsid w:val="00672EBB"/>
    <w:rPr>
      <w:rFonts w:cs="Simplified Arabic"/>
      <w:b/>
      <w:bCs/>
      <w:sz w:val="28"/>
      <w:szCs w:val="28"/>
      <w:lang w:bidi="ar-SA"/>
    </w:rPr>
  </w:style>
  <w:style w:type="character" w:customStyle="1" w:styleId="ufbdr111">
    <w:name w:val="uf_bdr111"/>
    <w:rsid w:val="00672EBB"/>
    <w:rPr>
      <w:rFonts w:cs="Simplified Arabic"/>
      <w:b/>
      <w:bCs/>
      <w:sz w:val="28"/>
      <w:szCs w:val="28"/>
      <w:lang w:bidi="ar-SA"/>
    </w:rPr>
  </w:style>
  <w:style w:type="character" w:customStyle="1" w:styleId="ufesy101">
    <w:name w:val="uf_esy101"/>
    <w:rsid w:val="00672EBB"/>
    <w:rPr>
      <w:rFonts w:ascii="Times New Roman" w:hAnsi="Times New Roman" w:cs="Times New Roman"/>
      <w:sz w:val="32"/>
      <w:szCs w:val="32"/>
    </w:rPr>
  </w:style>
  <w:style w:type="character" w:customStyle="1" w:styleId="ufbdr131">
    <w:name w:val="uf_bdr131"/>
    <w:rsid w:val="00672EBB"/>
    <w:rPr>
      <w:rFonts w:cs="Simplified Arabic"/>
      <w:sz w:val="32"/>
      <w:szCs w:val="32"/>
      <w:lang w:bidi="ar-SA"/>
    </w:rPr>
  </w:style>
  <w:style w:type="character" w:customStyle="1" w:styleId="ufyag241">
    <w:name w:val="uf_yag241"/>
    <w:rsid w:val="00672EBB"/>
    <w:rPr>
      <w:rFonts w:cs="Simplified Arabic"/>
      <w:b/>
      <w:bCs/>
      <w:sz w:val="20"/>
      <w:szCs w:val="20"/>
      <w:lang w:bidi="ar-SA"/>
    </w:rPr>
  </w:style>
  <w:style w:type="paragraph" w:customStyle="1" w:styleId="uflts7">
    <w:name w:val="uf_lts7"/>
    <w:basedOn w:val="Normal"/>
    <w:uiPriority w:val="99"/>
    <w:semiHidden/>
    <w:rsid w:val="00672EBB"/>
    <w:pPr>
      <w:bidi w:val="0"/>
      <w:spacing w:line="480" w:lineRule="atLeast"/>
    </w:pPr>
    <w:rPr>
      <w:rFonts w:ascii="Times New Roman" w:eastAsia="Calibri" w:hAnsi="Times New Roman" w:cs="Simplified Arabic"/>
      <w:b/>
      <w:bCs/>
    </w:rPr>
  </w:style>
  <w:style w:type="character" w:customStyle="1" w:styleId="ufalaem101">
    <w:name w:val="uf_alaem101"/>
    <w:rsid w:val="00672EBB"/>
    <w:rPr>
      <w:rFonts w:ascii="Times New Roman" w:hAnsi="Times New Roman" w:cs="Times New Roman"/>
      <w:sz w:val="22"/>
      <w:szCs w:val="22"/>
    </w:rPr>
  </w:style>
  <w:style w:type="character" w:customStyle="1" w:styleId="ufyag121">
    <w:name w:val="uf_yag121"/>
    <w:rsid w:val="00672EBB"/>
    <w:rPr>
      <w:rFonts w:cs="Simplified Arabic"/>
      <w:b/>
      <w:bCs/>
      <w:sz w:val="24"/>
      <w:szCs w:val="24"/>
      <w:lang w:bidi="ar-SA"/>
    </w:rPr>
  </w:style>
  <w:style w:type="character" w:customStyle="1" w:styleId="ufbdr391">
    <w:name w:val="uf_bdr391"/>
    <w:rsid w:val="00672EBB"/>
    <w:rPr>
      <w:rFonts w:cs="Simplified Arabic"/>
      <w:sz w:val="34"/>
      <w:szCs w:val="34"/>
      <w:lang w:bidi="ar-SA"/>
    </w:rPr>
  </w:style>
  <w:style w:type="character" w:customStyle="1" w:styleId="ufyag181">
    <w:name w:val="uf_yag181"/>
    <w:rsid w:val="00672EBB"/>
    <w:rPr>
      <w:rFonts w:cs="Simplified Arabic"/>
      <w:b/>
      <w:bCs/>
      <w:sz w:val="25"/>
      <w:szCs w:val="25"/>
      <w:lang w:bidi="ar-SA"/>
    </w:rPr>
  </w:style>
  <w:style w:type="character" w:customStyle="1" w:styleId="ufalaem61">
    <w:name w:val="uf_alaem61"/>
    <w:rsid w:val="00672EBB"/>
    <w:rPr>
      <w:rFonts w:ascii="Times New Roman" w:hAnsi="Times New Roman" w:cs="Times New Roman"/>
      <w:sz w:val="22"/>
      <w:szCs w:val="22"/>
    </w:rPr>
  </w:style>
  <w:style w:type="character" w:customStyle="1" w:styleId="uflts22">
    <w:name w:val="uf_lts22"/>
    <w:rsid w:val="00672EBB"/>
    <w:rPr>
      <w:rFonts w:cs="Simplified Arabic"/>
      <w:b/>
      <w:bCs/>
      <w:sz w:val="29"/>
      <w:szCs w:val="29"/>
      <w:lang w:bidi="ar-SA"/>
    </w:rPr>
  </w:style>
  <w:style w:type="character" w:customStyle="1" w:styleId="ufbdr181">
    <w:name w:val="uf_bdr181"/>
    <w:rsid w:val="00672EBB"/>
    <w:rPr>
      <w:rFonts w:cs="Simplified Arabic"/>
      <w:b/>
      <w:bCs/>
      <w:sz w:val="28"/>
      <w:szCs w:val="28"/>
      <w:lang w:bidi="ar-SA"/>
    </w:rPr>
  </w:style>
  <w:style w:type="character" w:customStyle="1" w:styleId="ufalaem41">
    <w:name w:val="uf_alaem41"/>
    <w:rsid w:val="00672EBB"/>
    <w:rPr>
      <w:rFonts w:ascii="Times New Roman" w:hAnsi="Times New Roman" w:cs="Times New Roman"/>
      <w:sz w:val="22"/>
      <w:szCs w:val="22"/>
    </w:rPr>
  </w:style>
  <w:style w:type="character" w:customStyle="1" w:styleId="ufalaem610">
    <w:name w:val="ufalaem61"/>
    <w:rsid w:val="00672EBB"/>
    <w:rPr>
      <w:rFonts w:cs="Times New Roman"/>
    </w:rPr>
  </w:style>
  <w:style w:type="character" w:customStyle="1" w:styleId="uflts220">
    <w:name w:val="uflts22"/>
    <w:rsid w:val="00672EBB"/>
    <w:rPr>
      <w:rFonts w:cs="Times New Roman"/>
    </w:rPr>
  </w:style>
  <w:style w:type="character" w:customStyle="1" w:styleId="ufyag201">
    <w:name w:val="ufyag201"/>
    <w:rsid w:val="00672EBB"/>
    <w:rPr>
      <w:rFonts w:cs="Times New Roman"/>
    </w:rPr>
  </w:style>
  <w:style w:type="character" w:customStyle="1" w:styleId="ufesy11">
    <w:name w:val="ufesy11"/>
    <w:rsid w:val="00672EBB"/>
    <w:rPr>
      <w:rFonts w:cs="Times New Roman"/>
    </w:rPr>
  </w:style>
  <w:style w:type="character" w:customStyle="1" w:styleId="ufyag101">
    <w:name w:val="ufyag101"/>
    <w:rsid w:val="00672EBB"/>
    <w:rPr>
      <w:rFonts w:cs="Times New Roman"/>
    </w:rPr>
  </w:style>
  <w:style w:type="paragraph" w:customStyle="1" w:styleId="1f8">
    <w:name w:val="عنوان جدول المحتويات1"/>
    <w:basedOn w:val="Heading1"/>
    <w:next w:val="Normal"/>
    <w:semiHidden/>
    <w:rsid w:val="00672EBB"/>
    <w:pPr>
      <w:keepNext w:val="0"/>
      <w:spacing w:before="480" w:line="276" w:lineRule="auto"/>
      <w:jc w:val="left"/>
      <w:outlineLvl w:val="9"/>
    </w:pPr>
    <w:rPr>
      <w:rFonts w:ascii="Cambria" w:eastAsia="Calibri" w:hAnsi="Cambria" w:cs="Times New Roman"/>
      <w:bCs/>
      <w:color w:val="365F91"/>
      <w:sz w:val="28"/>
      <w:szCs w:val="28"/>
    </w:rPr>
  </w:style>
  <w:style w:type="character" w:customStyle="1" w:styleId="ufalaem111">
    <w:name w:val="uf_alaem111"/>
    <w:rsid w:val="00672EBB"/>
    <w:rPr>
      <w:rFonts w:ascii="Times New Roman" w:hAnsi="Times New Roman" w:cs="Times New Roman"/>
      <w:sz w:val="22"/>
      <w:szCs w:val="22"/>
    </w:rPr>
  </w:style>
  <w:style w:type="character" w:customStyle="1" w:styleId="ufesy61">
    <w:name w:val="uf_esy61"/>
    <w:rsid w:val="00672EBB"/>
    <w:rPr>
      <w:rFonts w:ascii="Times New Roman" w:hAnsi="Times New Roman" w:cs="Times New Roman"/>
      <w:sz w:val="32"/>
      <w:szCs w:val="32"/>
    </w:rPr>
  </w:style>
  <w:style w:type="paragraph" w:customStyle="1" w:styleId="1f9">
    <w:name w:val="المراجعة1"/>
    <w:hidden/>
    <w:semiHidden/>
    <w:rsid w:val="00672EBB"/>
    <w:rPr>
      <w:rFonts w:ascii="Tahoma" w:hAnsi="Tahoma" w:cs="Mosawi"/>
      <w:sz w:val="28"/>
      <w:szCs w:val="30"/>
    </w:rPr>
  </w:style>
  <w:style w:type="character" w:customStyle="1" w:styleId="ufesy71">
    <w:name w:val="uf_esy71"/>
    <w:rsid w:val="00672EBB"/>
    <w:rPr>
      <w:rFonts w:ascii="Times New Roman" w:hAnsi="Times New Roman" w:cs="Times New Roman"/>
      <w:sz w:val="32"/>
      <w:szCs w:val="32"/>
    </w:rPr>
  </w:style>
  <w:style w:type="character" w:customStyle="1" w:styleId="ufbdr171">
    <w:name w:val="uf_bdr171"/>
    <w:rsid w:val="00672EBB"/>
    <w:rPr>
      <w:rFonts w:cs="Simplified Arabic"/>
      <w:sz w:val="24"/>
      <w:szCs w:val="24"/>
      <w:lang w:bidi="ar-SA"/>
    </w:rPr>
  </w:style>
  <w:style w:type="character" w:customStyle="1" w:styleId="ufalaem21">
    <w:name w:val="uf_alaem21"/>
    <w:rsid w:val="00672EBB"/>
    <w:rPr>
      <w:rFonts w:ascii="Times New Roman" w:hAnsi="Times New Roman" w:cs="Times New Roman"/>
      <w:sz w:val="22"/>
      <w:szCs w:val="22"/>
    </w:rPr>
  </w:style>
  <w:style w:type="character" w:customStyle="1" w:styleId="ufyag131">
    <w:name w:val="uf_yag131"/>
    <w:rsid w:val="00672EBB"/>
    <w:rPr>
      <w:rFonts w:cs="Simplified Arabic"/>
      <w:b/>
      <w:bCs/>
      <w:sz w:val="22"/>
      <w:szCs w:val="22"/>
      <w:lang w:bidi="ar-SA"/>
    </w:rPr>
  </w:style>
  <w:style w:type="character" w:customStyle="1" w:styleId="ufyag251">
    <w:name w:val="uf_yag251"/>
    <w:rsid w:val="00672EBB"/>
    <w:rPr>
      <w:rFonts w:cs="Simplified Arabic"/>
      <w:sz w:val="26"/>
      <w:szCs w:val="26"/>
      <w:lang w:bidi="ar-SA"/>
    </w:rPr>
  </w:style>
  <w:style w:type="character" w:customStyle="1" w:styleId="uflts31">
    <w:name w:val="uf_lts31"/>
    <w:rsid w:val="00672EBB"/>
    <w:rPr>
      <w:rFonts w:cs="Simplified Arabic"/>
      <w:b/>
      <w:bCs/>
      <w:sz w:val="29"/>
      <w:szCs w:val="29"/>
      <w:lang w:bidi="ar-SA"/>
    </w:rPr>
  </w:style>
  <w:style w:type="character" w:customStyle="1" w:styleId="ufyag231">
    <w:name w:val="uf_yag231"/>
    <w:rsid w:val="00672EBB"/>
    <w:rPr>
      <w:rFonts w:cs="Simplified Arabic"/>
      <w:b/>
      <w:bCs/>
      <w:sz w:val="22"/>
      <w:szCs w:val="22"/>
      <w:lang w:bidi="ar-SA"/>
    </w:rPr>
  </w:style>
  <w:style w:type="character" w:customStyle="1" w:styleId="ufalaem2">
    <w:name w:val="uf_alaem2"/>
    <w:rsid w:val="00672EBB"/>
    <w:rPr>
      <w:rFonts w:cs="Times New Roman"/>
    </w:rPr>
  </w:style>
  <w:style w:type="character" w:customStyle="1" w:styleId="uflts151">
    <w:name w:val="uflts151"/>
    <w:rsid w:val="00672EBB"/>
    <w:rPr>
      <w:rFonts w:cs="Times New Roman"/>
    </w:rPr>
  </w:style>
  <w:style w:type="character" w:customStyle="1" w:styleId="ufyag1410">
    <w:name w:val="ufyag141"/>
    <w:rsid w:val="00672EBB"/>
    <w:rPr>
      <w:rFonts w:cs="Times New Roman"/>
    </w:rPr>
  </w:style>
  <w:style w:type="character" w:customStyle="1" w:styleId="uflts410">
    <w:name w:val="uflts41"/>
    <w:rsid w:val="00672EBB"/>
    <w:rPr>
      <w:rFonts w:cs="Times New Roman"/>
    </w:rPr>
  </w:style>
  <w:style w:type="character" w:customStyle="1" w:styleId="uflts61">
    <w:name w:val="uflts61"/>
    <w:rsid w:val="00672EBB"/>
    <w:rPr>
      <w:rFonts w:cs="Times New Roman"/>
    </w:rPr>
  </w:style>
  <w:style w:type="character" w:customStyle="1" w:styleId="ufyag161">
    <w:name w:val="ufyag161"/>
    <w:rsid w:val="00672EBB"/>
    <w:rPr>
      <w:rFonts w:cs="Times New Roman"/>
    </w:rPr>
  </w:style>
  <w:style w:type="character" w:customStyle="1" w:styleId="1fa">
    <w:name w:val="نص العنصر النائب1"/>
    <w:semiHidden/>
    <w:rsid w:val="00672EBB"/>
    <w:rPr>
      <w:rFonts w:cs="Times New Roman"/>
      <w:color w:val="808080"/>
    </w:rPr>
  </w:style>
  <w:style w:type="character" w:customStyle="1" w:styleId="uflts1510">
    <w:name w:val="uf_lts151"/>
    <w:rsid w:val="00672EBB"/>
    <w:rPr>
      <w:rFonts w:cs="Simplified Arabic"/>
      <w:b/>
      <w:bCs/>
      <w:sz w:val="28"/>
      <w:szCs w:val="28"/>
      <w:lang w:bidi="ar-SA"/>
    </w:rPr>
  </w:style>
  <w:style w:type="character" w:customStyle="1" w:styleId="ufyag171">
    <w:name w:val="uf_yag171"/>
    <w:rsid w:val="00672EBB"/>
    <w:rPr>
      <w:b/>
      <w:sz w:val="22"/>
    </w:rPr>
  </w:style>
  <w:style w:type="character" w:customStyle="1" w:styleId="ufesy291">
    <w:name w:val="uf_esy291"/>
    <w:rsid w:val="00672EBB"/>
    <w:rPr>
      <w:rFonts w:ascii="Times New Roman" w:hAnsi="Times New Roman"/>
      <w:sz w:val="38"/>
    </w:rPr>
  </w:style>
  <w:style w:type="character" w:customStyle="1" w:styleId="ufesy51">
    <w:name w:val="uf_esy51"/>
    <w:rsid w:val="00672EBB"/>
    <w:rPr>
      <w:rFonts w:ascii="Times New Roman" w:hAnsi="Times New Roman"/>
      <w:sz w:val="32"/>
    </w:rPr>
  </w:style>
  <w:style w:type="paragraph" w:customStyle="1" w:styleId="heading1-waeli">
    <w:name w:val="heading 1 - waeli"/>
    <w:basedOn w:val="matin"/>
    <w:next w:val="matin"/>
    <w:rsid w:val="00672EBB"/>
    <w:pPr>
      <w:spacing w:line="240" w:lineRule="auto"/>
      <w:ind w:firstLine="0"/>
      <w:jc w:val="center"/>
    </w:pPr>
    <w:rPr>
      <w:rFonts w:cs="AL-Mateen"/>
      <w:sz w:val="36"/>
      <w:szCs w:val="44"/>
    </w:rPr>
  </w:style>
  <w:style w:type="paragraph" w:customStyle="1" w:styleId="affffffffc">
    <w:name w:val="وائلي عنوان جانبي"/>
    <w:basedOn w:val="matin"/>
    <w:next w:val="matin"/>
    <w:link w:val="Charffe"/>
    <w:rsid w:val="00672EBB"/>
    <w:pPr>
      <w:spacing w:before="200" w:after="80" w:line="204" w:lineRule="auto"/>
    </w:pPr>
    <w:rPr>
      <w:rFonts w:cs="AL-Mateen"/>
      <w:sz w:val="36"/>
      <w:szCs w:val="36"/>
    </w:rPr>
  </w:style>
  <w:style w:type="character" w:customStyle="1" w:styleId="Charffe">
    <w:name w:val="وائلي عنوان جانبي Char"/>
    <w:link w:val="affffffffc"/>
    <w:rsid w:val="00672EBB"/>
    <w:rPr>
      <w:rFonts w:ascii="Times New Roman" w:hAnsi="Times New Roman" w:cs="AL-Mateen"/>
      <w:sz w:val="36"/>
      <w:szCs w:val="36"/>
    </w:rPr>
  </w:style>
  <w:style w:type="character" w:customStyle="1" w:styleId="2Char0">
    <w:name w:val="وائلي فرعي2 Char"/>
    <w:link w:val="2a"/>
    <w:rsid w:val="00672EBB"/>
    <w:rPr>
      <w:rFonts w:cs="Al-Ghadeer Bold"/>
      <w:sz w:val="26"/>
      <w:szCs w:val="26"/>
    </w:rPr>
  </w:style>
  <w:style w:type="paragraph" w:customStyle="1" w:styleId="2a">
    <w:name w:val="وائلي فرعي2"/>
    <w:basedOn w:val="matin"/>
    <w:link w:val="2Char0"/>
    <w:rsid w:val="00672EBB"/>
    <w:pPr>
      <w:spacing w:before="40" w:after="40" w:line="240" w:lineRule="auto"/>
    </w:pPr>
    <w:rPr>
      <w:rFonts w:ascii="Calibri" w:hAnsi="Calibri" w:cs="Al-Ghadeer Bold"/>
      <w:sz w:val="26"/>
      <w:szCs w:val="26"/>
    </w:rPr>
  </w:style>
  <w:style w:type="paragraph" w:customStyle="1" w:styleId="affffffffd">
    <w:name w:val="وائلي عنوان فرعي"/>
    <w:basedOn w:val="matin"/>
    <w:link w:val="Charfff"/>
    <w:rsid w:val="00672EBB"/>
    <w:pPr>
      <w:spacing w:before="200" w:after="100"/>
    </w:pPr>
    <w:rPr>
      <w:rFonts w:cs="Sultan bold"/>
      <w:sz w:val="30"/>
      <w:szCs w:val="31"/>
    </w:rPr>
  </w:style>
  <w:style w:type="character" w:customStyle="1" w:styleId="Charfff">
    <w:name w:val="وائلي عنوان فرعي Char"/>
    <w:link w:val="affffffffd"/>
    <w:rsid w:val="00672EBB"/>
    <w:rPr>
      <w:rFonts w:ascii="Times New Roman" w:hAnsi="Times New Roman" w:cs="Sultan bold"/>
      <w:sz w:val="30"/>
      <w:szCs w:val="31"/>
    </w:rPr>
  </w:style>
  <w:style w:type="paragraph" w:customStyle="1" w:styleId="affffffffe">
    <w:name w:val="وائلي شعر"/>
    <w:basedOn w:val="matin"/>
    <w:link w:val="Charfff0"/>
    <w:rsid w:val="00672EBB"/>
    <w:pPr>
      <w:ind w:firstLine="0"/>
      <w:jc w:val="lowKashida"/>
    </w:pPr>
    <w:rPr>
      <w:rFonts w:cs="Taher"/>
      <w:bCs/>
      <w:spacing w:val="-4"/>
      <w:w w:val="95"/>
      <w:sz w:val="28"/>
      <w:szCs w:val="28"/>
    </w:rPr>
  </w:style>
  <w:style w:type="character" w:customStyle="1" w:styleId="Charfff0">
    <w:name w:val="وائلي شعر Char"/>
    <w:link w:val="affffffffe"/>
    <w:rsid w:val="00672EBB"/>
    <w:rPr>
      <w:rFonts w:ascii="Times New Roman" w:hAnsi="Times New Roman" w:cs="Taher"/>
      <w:bCs/>
      <w:spacing w:val="-4"/>
      <w:w w:val="95"/>
      <w:sz w:val="28"/>
      <w:szCs w:val="28"/>
    </w:rPr>
  </w:style>
  <w:style w:type="character" w:customStyle="1" w:styleId="afffffffff">
    <w:name w:val="متن آيات"/>
    <w:rsid w:val="00672EBB"/>
    <w:rPr>
      <w:rFonts w:ascii="Times New Roman" w:hAnsi="Times New Roman" w:cs="KFGQPC Uthman Taha Naskh"/>
      <w:b/>
      <w:bCs/>
      <w:dstrike w:val="0"/>
      <w:color w:val="auto"/>
      <w:sz w:val="27"/>
      <w:szCs w:val="27"/>
      <w:u w:val="none"/>
      <w:vertAlign w:val="baseline"/>
    </w:rPr>
  </w:style>
  <w:style w:type="paragraph" w:customStyle="1" w:styleId="afffffffff0">
    <w:name w:val="وائلي نص الحواشي"/>
    <w:uiPriority w:val="99"/>
    <w:rsid w:val="00672EBB"/>
    <w:pPr>
      <w:spacing w:line="199" w:lineRule="auto"/>
      <w:ind w:left="170" w:hanging="170"/>
      <w:jc w:val="lowKashida"/>
    </w:pPr>
    <w:rPr>
      <w:rFonts w:ascii="Times New Roman" w:hAnsi="Times New Roman" w:cs="Mosawi"/>
      <w:sz w:val="24"/>
      <w:szCs w:val="26"/>
    </w:rPr>
  </w:style>
  <w:style w:type="character" w:customStyle="1" w:styleId="ufbdr11">
    <w:name w:val="uf_bdr11"/>
    <w:rsid w:val="00672EBB"/>
    <w:rPr>
      <w:rFonts w:cs="Simplified Arabic" w:hint="cs"/>
      <w:sz w:val="32"/>
      <w:szCs w:val="32"/>
    </w:rPr>
  </w:style>
  <w:style w:type="paragraph" w:customStyle="1" w:styleId="normal84">
    <w:name w:val="normal .84"/>
    <w:basedOn w:val="Normal"/>
    <w:qFormat/>
    <w:rsid w:val="002C4AA9"/>
    <w:pPr>
      <w:spacing w:line="202" w:lineRule="auto"/>
    </w:pPr>
    <w:rPr>
      <w:rFonts w:ascii="Tahoma" w:hAnsi="Tahoma"/>
      <w:sz w:val="26"/>
    </w:rPr>
  </w:style>
  <w:style w:type="paragraph" w:customStyle="1" w:styleId="normal870">
    <w:name w:val="normal .87"/>
    <w:basedOn w:val="Normal"/>
    <w:qFormat/>
    <w:rsid w:val="002C4AA9"/>
    <w:pPr>
      <w:widowControl/>
      <w:spacing w:line="209" w:lineRule="auto"/>
    </w:pPr>
    <w:rPr>
      <w:rFonts w:ascii="Times New Roman" w:hAnsi="Times New Roman"/>
      <w:sz w:val="26"/>
    </w:rPr>
  </w:style>
  <w:style w:type="paragraph" w:customStyle="1" w:styleId="normal930">
    <w:name w:val="normal .93"/>
    <w:basedOn w:val="Normal"/>
    <w:qFormat/>
    <w:rsid w:val="002C4AA9"/>
    <w:pPr>
      <w:widowControl/>
      <w:spacing w:line="223" w:lineRule="auto"/>
    </w:pPr>
    <w:rPr>
      <w:rFonts w:ascii="Times New Roman" w:hAnsi="Times New Roman"/>
      <w:sz w:val="26"/>
    </w:rPr>
  </w:style>
  <w:style w:type="paragraph" w:customStyle="1" w:styleId="afffffffff1">
    <w:name w:val="وائلي متن"/>
    <w:basedOn w:val="Normal"/>
    <w:link w:val="Charfff1"/>
    <w:rsid w:val="00672EBB"/>
    <w:pPr>
      <w:spacing w:line="209" w:lineRule="auto"/>
    </w:pPr>
    <w:rPr>
      <w:rFonts w:ascii="Times New Roman" w:hAnsi="Times New Roman"/>
      <w:sz w:val="32"/>
      <w:szCs w:val="34"/>
    </w:rPr>
  </w:style>
  <w:style w:type="character" w:customStyle="1" w:styleId="Charfff1">
    <w:name w:val="وائلي متن Char"/>
    <w:link w:val="afffffffff1"/>
    <w:rsid w:val="00672EBB"/>
    <w:rPr>
      <w:rFonts w:ascii="Times New Roman" w:hAnsi="Times New Roman" w:cs="Mosawi"/>
      <w:sz w:val="32"/>
      <w:szCs w:val="34"/>
    </w:rPr>
  </w:style>
  <w:style w:type="paragraph" w:customStyle="1" w:styleId="afffffffff2">
    <w:name w:val="وائلي عنوان محاضرة"/>
    <w:basedOn w:val="afffffffff1"/>
    <w:next w:val="afffffffff1"/>
    <w:rsid w:val="00672EBB"/>
    <w:pPr>
      <w:spacing w:before="240" w:after="240" w:line="240" w:lineRule="auto"/>
      <w:ind w:firstLine="0"/>
      <w:jc w:val="center"/>
    </w:pPr>
    <w:rPr>
      <w:rFonts w:cs="Sultan Medium"/>
      <w:sz w:val="36"/>
      <w:szCs w:val="36"/>
    </w:rPr>
  </w:style>
  <w:style w:type="character" w:customStyle="1" w:styleId="ufbdr311">
    <w:name w:val="uf_bdr311"/>
    <w:rsid w:val="00672EBB"/>
    <w:rPr>
      <w:rFonts w:cs="Simplified Arabic" w:hint="cs"/>
      <w:sz w:val="34"/>
      <w:szCs w:val="34"/>
    </w:rPr>
  </w:style>
  <w:style w:type="character" w:customStyle="1" w:styleId="ufyag1010">
    <w:name w:val="uf_yag101"/>
    <w:rsid w:val="00672EBB"/>
    <w:rPr>
      <w:rFonts w:cs="Simplified Arabic" w:hint="cs"/>
      <w:b/>
      <w:bCs/>
      <w:sz w:val="30"/>
      <w:szCs w:val="30"/>
    </w:rPr>
  </w:style>
  <w:style w:type="paragraph" w:customStyle="1" w:styleId="uflts12">
    <w:name w:val="uf_lts12"/>
    <w:basedOn w:val="Normal"/>
    <w:rsid w:val="00672EBB"/>
    <w:pPr>
      <w:bidi w:val="0"/>
      <w:spacing w:line="480" w:lineRule="atLeast"/>
    </w:pPr>
    <w:rPr>
      <w:rFonts w:ascii="Times New Roman" w:eastAsia="Mosawi" w:hAnsi="Times New Roman" w:cs="Simplified Arabic"/>
      <w:b/>
      <w:bCs/>
      <w:sz w:val="26"/>
      <w:szCs w:val="26"/>
    </w:rPr>
  </w:style>
  <w:style w:type="paragraph" w:customStyle="1" w:styleId="ufbdr14">
    <w:name w:val="uf_bdr14"/>
    <w:basedOn w:val="Normal"/>
    <w:rsid w:val="00672EBB"/>
    <w:pPr>
      <w:bidi w:val="0"/>
      <w:spacing w:line="480" w:lineRule="atLeast"/>
    </w:pPr>
    <w:rPr>
      <w:rFonts w:ascii="Times New Roman" w:eastAsia="Mosawi" w:hAnsi="Times New Roman" w:cs="Simplified Arabic"/>
      <w:b/>
      <w:bCs/>
    </w:rPr>
  </w:style>
  <w:style w:type="paragraph" w:customStyle="1" w:styleId="ufroy22">
    <w:name w:val="uf_roy22"/>
    <w:basedOn w:val="Normal"/>
    <w:rsid w:val="00672EBB"/>
    <w:pPr>
      <w:bidi w:val="0"/>
      <w:spacing w:line="480" w:lineRule="atLeast"/>
    </w:pPr>
    <w:rPr>
      <w:rFonts w:ascii="Times New Roman" w:eastAsia="Mosawi" w:hAnsi="Times New Roman" w:cs="Times New Roman"/>
      <w:b/>
      <w:bCs/>
      <w:sz w:val="26"/>
      <w:szCs w:val="26"/>
    </w:rPr>
  </w:style>
  <w:style w:type="paragraph" w:customStyle="1" w:styleId="st10">
    <w:name w:val="st10"/>
    <w:basedOn w:val="Normal"/>
    <w:uiPriority w:val="99"/>
    <w:rsid w:val="00672EBB"/>
    <w:pPr>
      <w:bidi w:val="0"/>
      <w:spacing w:before="142" w:after="57" w:line="494" w:lineRule="atLeast"/>
    </w:pPr>
    <w:rPr>
      <w:rFonts w:ascii="Times New Roman" w:eastAsia="Mosawi" w:hAnsi="Times New Roman" w:cs="Simplified Arabic"/>
      <w:b/>
      <w:bCs/>
      <w:sz w:val="26"/>
      <w:szCs w:val="26"/>
    </w:rPr>
  </w:style>
  <w:style w:type="character" w:customStyle="1" w:styleId="ufyag1610">
    <w:name w:val="uf_yag161"/>
    <w:rsid w:val="00672EBB"/>
    <w:rPr>
      <w:rFonts w:cs="Simplified Arabic" w:hint="cs"/>
      <w:b/>
      <w:bCs/>
      <w:sz w:val="25"/>
      <w:szCs w:val="25"/>
    </w:rPr>
  </w:style>
  <w:style w:type="paragraph" w:customStyle="1" w:styleId="ufyag17">
    <w:name w:val="uf_yag17"/>
    <w:basedOn w:val="Normal"/>
    <w:rsid w:val="00672EBB"/>
    <w:pPr>
      <w:bidi w:val="0"/>
      <w:spacing w:line="480" w:lineRule="atLeast"/>
    </w:pPr>
    <w:rPr>
      <w:rFonts w:ascii="Times New Roman" w:eastAsia="Mosawi" w:hAnsi="Times New Roman" w:cs="Simplified Arabic"/>
      <w:b/>
      <w:bCs/>
      <w:sz w:val="22"/>
      <w:szCs w:val="22"/>
    </w:rPr>
  </w:style>
  <w:style w:type="paragraph" w:customStyle="1" w:styleId="ufyas24">
    <w:name w:val="uf_yas24"/>
    <w:basedOn w:val="Normal"/>
    <w:rsid w:val="00672EBB"/>
    <w:pPr>
      <w:bidi w:val="0"/>
      <w:spacing w:line="480" w:lineRule="atLeast"/>
    </w:pPr>
    <w:rPr>
      <w:rFonts w:ascii="Times New Roman" w:eastAsia="Mosawi" w:hAnsi="Times New Roman" w:cs="Times New Roman"/>
      <w:b/>
      <w:bCs/>
      <w:sz w:val="72"/>
      <w:szCs w:val="72"/>
    </w:rPr>
  </w:style>
  <w:style w:type="character" w:customStyle="1" w:styleId="uflts610">
    <w:name w:val="uf_lts61"/>
    <w:rsid w:val="00672EBB"/>
    <w:rPr>
      <w:rFonts w:cs="Simplified Arabic" w:hint="cs"/>
      <w:b/>
      <w:bCs/>
      <w:sz w:val="28"/>
      <w:szCs w:val="28"/>
    </w:rPr>
  </w:style>
  <w:style w:type="character" w:customStyle="1" w:styleId="1Char10">
    <w:name w:val="عنوان 1 Char1"/>
    <w:aliases w:val="عنوان Char1"/>
    <w:rsid w:val="00672EBB"/>
    <w:rPr>
      <w:rFonts w:ascii="Cambria" w:eastAsia="Times New Roman" w:hAnsi="Cambria" w:cs="Times New Roman"/>
      <w:b/>
      <w:bCs/>
      <w:color w:val="365F91"/>
      <w:sz w:val="28"/>
      <w:szCs w:val="28"/>
    </w:rPr>
  </w:style>
  <w:style w:type="paragraph" w:customStyle="1" w:styleId="ufdgb9">
    <w:name w:val="uf_dgb9"/>
    <w:basedOn w:val="Normal"/>
    <w:uiPriority w:val="99"/>
    <w:rsid w:val="00672EBB"/>
    <w:pPr>
      <w:bidi w:val="0"/>
      <w:spacing w:line="480" w:lineRule="atLeast"/>
    </w:pPr>
    <w:rPr>
      <w:rFonts w:ascii="Times New Roman" w:hAnsi="Times New Roman" w:cs="Times New Roman"/>
      <w:sz w:val="24"/>
      <w:szCs w:val="24"/>
    </w:rPr>
  </w:style>
  <w:style w:type="character" w:customStyle="1" w:styleId="ufbdr141">
    <w:name w:val="uf_bdr141"/>
    <w:rsid w:val="00672EBB"/>
    <w:rPr>
      <w:rFonts w:cs="Simplified Arabic" w:hint="cs"/>
      <w:b/>
      <w:bCs/>
      <w:sz w:val="28"/>
      <w:szCs w:val="28"/>
    </w:rPr>
  </w:style>
  <w:style w:type="character" w:customStyle="1" w:styleId="ufalaem51">
    <w:name w:val="uf_alaem51"/>
    <w:rsid w:val="00672EBB"/>
    <w:rPr>
      <w:rFonts w:ascii="Times New Roman" w:hAnsi="Times New Roman" w:cs="Times New Roman" w:hint="default"/>
      <w:sz w:val="22"/>
      <w:szCs w:val="22"/>
    </w:rPr>
  </w:style>
  <w:style w:type="paragraph" w:customStyle="1" w:styleId="st12">
    <w:name w:val="st12"/>
    <w:basedOn w:val="Normal"/>
    <w:uiPriority w:val="99"/>
    <w:rsid w:val="00672EBB"/>
    <w:pPr>
      <w:bidi w:val="0"/>
      <w:spacing w:before="113" w:after="45" w:line="500" w:lineRule="atLeast"/>
    </w:pPr>
    <w:rPr>
      <w:rFonts w:ascii="Times New Roman" w:hAnsi="Times New Roman" w:cs="Simplified Arabic"/>
      <w:b/>
      <w:bCs/>
      <w:sz w:val="25"/>
      <w:szCs w:val="25"/>
    </w:rPr>
  </w:style>
  <w:style w:type="paragraph" w:customStyle="1" w:styleId="ufyag20">
    <w:name w:val="uf_yag20"/>
    <w:basedOn w:val="Normal"/>
    <w:uiPriority w:val="99"/>
    <w:rsid w:val="00672EBB"/>
    <w:pPr>
      <w:bidi w:val="0"/>
      <w:spacing w:line="480" w:lineRule="atLeast"/>
    </w:pPr>
    <w:rPr>
      <w:rFonts w:ascii="Times New Roman" w:hAnsi="Times New Roman" w:cs="Simplified Arabic"/>
      <w:b/>
      <w:bCs/>
      <w:sz w:val="26"/>
      <w:szCs w:val="26"/>
    </w:rPr>
  </w:style>
  <w:style w:type="character" w:customStyle="1" w:styleId="ufyag2010">
    <w:name w:val="uf_yag201"/>
    <w:rsid w:val="00672EBB"/>
    <w:rPr>
      <w:rFonts w:cs="Simplified Arabic" w:hint="cs"/>
      <w:b/>
      <w:bCs/>
      <w:sz w:val="26"/>
      <w:szCs w:val="26"/>
    </w:rPr>
  </w:style>
  <w:style w:type="character" w:styleId="BookTitle">
    <w:name w:val="Book Title"/>
    <w:aliases w:val="الرئيسة"/>
    <w:uiPriority w:val="33"/>
    <w:qFormat/>
    <w:rsid w:val="00672EBB"/>
    <w:rPr>
      <w:rFonts w:cs="Sultan bold"/>
      <w:b/>
      <w:bCs/>
      <w:smallCaps/>
      <w:spacing w:val="5"/>
      <w:szCs w:val="31"/>
    </w:rPr>
  </w:style>
  <w:style w:type="paragraph" w:customStyle="1" w:styleId="afffffffff3">
    <w:name w:val="واظ"/>
    <w:basedOn w:val="Normal"/>
    <w:qFormat/>
    <w:rsid w:val="00672EBB"/>
    <w:pPr>
      <w:ind w:right="280"/>
      <w:jc w:val="highKashida"/>
    </w:pPr>
    <w:rPr>
      <w:rFonts w:ascii="Tahoma" w:hAnsi="Tahoma" w:cs="Abz-3 (Yagut)"/>
      <w:sz w:val="33"/>
      <w:szCs w:val="33"/>
    </w:rPr>
  </w:style>
  <w:style w:type="character" w:customStyle="1" w:styleId="ufyag11">
    <w:name w:val="uf_yag11"/>
    <w:rsid w:val="00672EBB"/>
    <w:rPr>
      <w:rFonts w:cs="Simplified Arabic" w:hint="cs"/>
      <w:b/>
      <w:bCs/>
      <w:sz w:val="24"/>
      <w:szCs w:val="24"/>
    </w:rPr>
  </w:style>
  <w:style w:type="paragraph" w:customStyle="1" w:styleId="afffffffff4">
    <w:name w:val="العناوين كلها"/>
    <w:basedOn w:val="Normal"/>
    <w:next w:val="Normal"/>
    <w:qFormat/>
    <w:rsid w:val="00672EBB"/>
    <w:pPr>
      <w:widowControl/>
      <w:ind w:firstLine="0"/>
    </w:pPr>
    <w:rPr>
      <w:rFonts w:ascii="Taher" w:eastAsia="Calibri" w:hAnsi="Taher"/>
      <w:b/>
      <w:bCs/>
      <w:color w:val="1F497D"/>
      <w:szCs w:val="24"/>
    </w:rPr>
  </w:style>
  <w:style w:type="paragraph" w:customStyle="1" w:styleId="ufbdr10">
    <w:name w:val="uf_bdr10"/>
    <w:basedOn w:val="Normal"/>
    <w:uiPriority w:val="99"/>
    <w:semiHidden/>
    <w:rsid w:val="00672EBB"/>
    <w:pPr>
      <w:widowControl/>
      <w:bidi w:val="0"/>
      <w:spacing w:line="480" w:lineRule="atLeast"/>
    </w:pPr>
    <w:rPr>
      <w:rFonts w:ascii="Simplified Arabic" w:hAnsi="Simplified Arabic" w:cs="Simplified Arabic"/>
      <w:sz w:val="24"/>
      <w:szCs w:val="24"/>
    </w:rPr>
  </w:style>
  <w:style w:type="paragraph" w:customStyle="1" w:styleId="ufesy110">
    <w:name w:val="uf_esy11"/>
    <w:basedOn w:val="Normal"/>
    <w:uiPriority w:val="99"/>
    <w:semiHidden/>
    <w:rsid w:val="00672EBB"/>
    <w:pPr>
      <w:widowControl/>
      <w:bidi w:val="0"/>
      <w:spacing w:line="480" w:lineRule="atLeast"/>
    </w:pPr>
    <w:rPr>
      <w:rFonts w:ascii="Times New Roman" w:hAnsi="Times New Roman" w:cs="Times New Roman"/>
      <w:sz w:val="32"/>
      <w:szCs w:val="32"/>
    </w:rPr>
  </w:style>
  <w:style w:type="character" w:customStyle="1" w:styleId="ufesy171">
    <w:name w:val="uf_esy171"/>
    <w:rsid w:val="00672EBB"/>
    <w:rPr>
      <w:rFonts w:ascii="Times New Roman" w:hAnsi="Times New Roman" w:cs="Times New Roman" w:hint="default"/>
      <w:sz w:val="28"/>
      <w:szCs w:val="28"/>
    </w:rPr>
  </w:style>
  <w:style w:type="table" w:customStyle="1" w:styleId="TableNormal1">
    <w:name w:val="Table Normal1"/>
    <w:uiPriority w:val="99"/>
    <w:semiHidden/>
    <w:qFormat/>
    <w:rsid w:val="00672EBB"/>
    <w:rPr>
      <w:rFonts w:ascii="Times New Roman" w:hAnsi="Times New Roman" w:cs="Times New Roman"/>
    </w:rPr>
    <w:tblPr>
      <w:tblCellMar>
        <w:top w:w="0" w:type="dxa"/>
        <w:left w:w="108" w:type="dxa"/>
        <w:bottom w:w="0" w:type="dxa"/>
        <w:right w:w="108" w:type="dxa"/>
      </w:tblCellMar>
    </w:tblPr>
  </w:style>
  <w:style w:type="character" w:customStyle="1" w:styleId="ufyag111">
    <w:name w:val="uf_yag111"/>
    <w:rsid w:val="00672EBB"/>
    <w:rPr>
      <w:rFonts w:ascii="Simplified Arabic" w:hAnsi="Simplified Arabic" w:cs="Simplified Arabic" w:hint="default"/>
      <w:b/>
      <w:bCs/>
      <w:sz w:val="32"/>
      <w:szCs w:val="32"/>
    </w:rPr>
  </w:style>
  <w:style w:type="character" w:customStyle="1" w:styleId="st">
    <w:name w:val="st"/>
    <w:rsid w:val="00672EBB"/>
  </w:style>
  <w:style w:type="character" w:customStyle="1" w:styleId="ufyag191">
    <w:name w:val="uf_yag191"/>
    <w:rsid w:val="00672EBB"/>
    <w:rPr>
      <w:rFonts w:ascii="Simplified Arabic" w:hAnsi="Simplified Arabic" w:cs="Simplified Arabic" w:hint="default"/>
      <w:b/>
      <w:bCs/>
      <w:sz w:val="23"/>
      <w:szCs w:val="23"/>
    </w:rPr>
  </w:style>
  <w:style w:type="character" w:customStyle="1" w:styleId="Char10">
    <w:name w:val="رأس الصفحة Char1"/>
    <w:uiPriority w:val="99"/>
    <w:rsid w:val="00672EBB"/>
    <w:rPr>
      <w:rFonts w:cs="Mosawi"/>
      <w:szCs w:val="30"/>
    </w:rPr>
  </w:style>
  <w:style w:type="character" w:customStyle="1" w:styleId="Char11">
    <w:name w:val="تذييل الصفحة Char1"/>
    <w:uiPriority w:val="99"/>
    <w:rsid w:val="00672EBB"/>
    <w:rPr>
      <w:rFonts w:cs="Mosawi"/>
      <w:szCs w:val="30"/>
    </w:rPr>
  </w:style>
  <w:style w:type="character" w:customStyle="1" w:styleId="ufyag331">
    <w:name w:val="uf_yag331"/>
    <w:rsid w:val="00672EBB"/>
    <w:rPr>
      <w:rFonts w:ascii="Simplified Arabic" w:hAnsi="Simplified Arabic" w:cs="Simplified Arabic" w:hint="default"/>
      <w:b/>
      <w:bCs/>
      <w:sz w:val="60"/>
      <w:szCs w:val="60"/>
    </w:rPr>
  </w:style>
  <w:style w:type="character" w:customStyle="1" w:styleId="ufalaem191">
    <w:name w:val="uf_alaem191"/>
    <w:rsid w:val="00672EBB"/>
    <w:rPr>
      <w:rFonts w:ascii="Times New Roman" w:hAnsi="Times New Roman" w:cs="Times New Roman" w:hint="default"/>
      <w:sz w:val="36"/>
      <w:szCs w:val="36"/>
    </w:rPr>
  </w:style>
  <w:style w:type="character" w:customStyle="1" w:styleId="ufnzn191">
    <w:name w:val="uf_nzn191"/>
    <w:rsid w:val="00672EBB"/>
    <w:rPr>
      <w:rFonts w:ascii="Times New Roman" w:hAnsi="Times New Roman" w:cs="Times New Roman" w:hint="default"/>
      <w:b/>
      <w:bCs/>
      <w:sz w:val="26"/>
      <w:szCs w:val="26"/>
    </w:rPr>
  </w:style>
  <w:style w:type="character" w:customStyle="1" w:styleId="ufesy161">
    <w:name w:val="uf_esy161"/>
    <w:rsid w:val="00672EBB"/>
    <w:rPr>
      <w:rFonts w:ascii="Times New Roman" w:hAnsi="Times New Roman" w:cs="Times New Roman" w:hint="default"/>
      <w:sz w:val="28"/>
      <w:szCs w:val="28"/>
    </w:rPr>
  </w:style>
  <w:style w:type="character" w:customStyle="1" w:styleId="ufesy281">
    <w:name w:val="uf_esy281"/>
    <w:rsid w:val="00672EBB"/>
    <w:rPr>
      <w:rFonts w:ascii="Times New Roman" w:hAnsi="Times New Roman" w:cs="Times New Roman" w:hint="default"/>
      <w:sz w:val="48"/>
      <w:szCs w:val="48"/>
    </w:rPr>
  </w:style>
  <w:style w:type="paragraph" w:customStyle="1" w:styleId="ufalaem3">
    <w:name w:val="uf_alaem3"/>
    <w:basedOn w:val="Normal"/>
    <w:rsid w:val="00672EBB"/>
    <w:pPr>
      <w:widowControl/>
      <w:bidi w:val="0"/>
      <w:spacing w:line="480" w:lineRule="atLeast"/>
    </w:pPr>
    <w:rPr>
      <w:rFonts w:ascii="Times New Roman" w:hAnsi="Times New Roman" w:cs="Times New Roman"/>
    </w:rPr>
  </w:style>
  <w:style w:type="character" w:customStyle="1" w:styleId="ufyag81">
    <w:name w:val="uf_yag81"/>
    <w:rsid w:val="00672EBB"/>
    <w:rPr>
      <w:rFonts w:ascii="Simplified Arabic" w:hAnsi="Simplified Arabic" w:cs="Simplified Arabic" w:hint="default"/>
      <w:b/>
      <w:bCs/>
      <w:sz w:val="24"/>
      <w:szCs w:val="24"/>
    </w:rPr>
  </w:style>
  <w:style w:type="character" w:customStyle="1" w:styleId="ufjad251">
    <w:name w:val="uf_jad251"/>
    <w:rsid w:val="00672EBB"/>
    <w:rPr>
      <w:rFonts w:ascii="Simplified Arabic" w:hAnsi="Simplified Arabic" w:cs="Simplified Arabic" w:hint="default"/>
      <w:b/>
      <w:bCs/>
      <w:sz w:val="28"/>
      <w:szCs w:val="28"/>
    </w:rPr>
  </w:style>
  <w:style w:type="paragraph" w:customStyle="1" w:styleId="st16">
    <w:name w:val="st16"/>
    <w:basedOn w:val="Normal"/>
    <w:rsid w:val="00672EBB"/>
    <w:pPr>
      <w:widowControl/>
      <w:bidi w:val="0"/>
      <w:spacing w:before="142" w:after="57" w:line="500" w:lineRule="atLeast"/>
    </w:pPr>
    <w:rPr>
      <w:rFonts w:ascii="Simplified Arabic" w:hAnsi="Simplified Arabic" w:cs="Simplified Arabic"/>
      <w:b/>
      <w:bCs/>
    </w:rPr>
  </w:style>
  <w:style w:type="paragraph" w:customStyle="1" w:styleId="st19">
    <w:name w:val="st19"/>
    <w:basedOn w:val="Normal"/>
    <w:rsid w:val="00672EBB"/>
    <w:pPr>
      <w:widowControl/>
      <w:bidi w:val="0"/>
      <w:spacing w:before="142" w:after="57" w:line="500" w:lineRule="atLeast"/>
    </w:pPr>
    <w:rPr>
      <w:rFonts w:ascii="Simplified Arabic" w:hAnsi="Simplified Arabic" w:cs="Simplified Arabic"/>
      <w:b/>
      <w:bCs/>
      <w:sz w:val="25"/>
      <w:szCs w:val="25"/>
    </w:rPr>
  </w:style>
  <w:style w:type="character" w:customStyle="1" w:styleId="ufcgt181">
    <w:name w:val="uf_cgt181"/>
    <w:rsid w:val="00672EBB"/>
    <w:rPr>
      <w:rFonts w:ascii="Times New Roman" w:hAnsi="Times New Roman" w:cs="Times New Roman" w:hint="default"/>
      <w:sz w:val="22"/>
      <w:szCs w:val="22"/>
    </w:rPr>
  </w:style>
  <w:style w:type="character" w:customStyle="1" w:styleId="ufyas261">
    <w:name w:val="uf_yas261"/>
    <w:rsid w:val="00672EBB"/>
    <w:rPr>
      <w:rFonts w:ascii="Times New Roman" w:hAnsi="Times New Roman" w:cs="Times New Roman" w:hint="default"/>
      <w:b/>
      <w:bCs/>
      <w:sz w:val="72"/>
      <w:szCs w:val="72"/>
    </w:rPr>
  </w:style>
  <w:style w:type="character" w:customStyle="1" w:styleId="fnote2">
    <w:name w:val="fnote2"/>
    <w:rsid w:val="00672EBB"/>
    <w:rPr>
      <w:rFonts w:ascii="Tahoma" w:hAnsi="Tahoma" w:cs="Tahoma" w:hint="default"/>
      <w:color w:val="B8860B"/>
      <w:sz w:val="20"/>
      <w:szCs w:val="20"/>
    </w:rPr>
  </w:style>
  <w:style w:type="character" w:customStyle="1" w:styleId="afffffffff5">
    <w:name w:val="شهاب آيات"/>
    <w:rsid w:val="00672EBB"/>
    <w:rPr>
      <w:rFonts w:ascii="Times New Roman" w:hAnsi="Times New Roman" w:cs="Mosawi" w:hint="default"/>
      <w:b/>
      <w:bCs/>
      <w:strike w:val="0"/>
      <w:dstrike w:val="0"/>
      <w:color w:val="auto"/>
      <w:sz w:val="30"/>
      <w:szCs w:val="30"/>
      <w:u w:val="none"/>
      <w:effect w:val="none"/>
      <w:vertAlign w:val="baseline"/>
    </w:rPr>
  </w:style>
  <w:style w:type="character" w:styleId="IntenseEmphasis">
    <w:name w:val="Intense Emphasis"/>
    <w:uiPriority w:val="21"/>
    <w:qFormat/>
    <w:rsid w:val="00672EBB"/>
    <w:rPr>
      <w:b/>
      <w:bCs/>
      <w:i/>
      <w:iCs/>
      <w:color w:val="4F81BD"/>
    </w:rPr>
  </w:style>
  <w:style w:type="numbering" w:customStyle="1" w:styleId="1fb">
    <w:name w:val="بلا قائمة1"/>
    <w:next w:val="NoList"/>
    <w:uiPriority w:val="99"/>
    <w:semiHidden/>
    <w:unhideWhenUsed/>
    <w:rsid w:val="00672EBB"/>
  </w:style>
  <w:style w:type="character" w:customStyle="1" w:styleId="uflts141">
    <w:name w:val="uf_lts141"/>
    <w:rsid w:val="00672EBB"/>
    <w:rPr>
      <w:rFonts w:ascii="Simplified Arabic" w:hAnsi="Simplified Arabic" w:cs="Simplified Arabic" w:hint="cs"/>
      <w:b/>
      <w:bCs/>
      <w:sz w:val="30"/>
      <w:szCs w:val="30"/>
    </w:rPr>
  </w:style>
  <w:style w:type="character" w:customStyle="1" w:styleId="currentbookname">
    <w:name w:val="current_book_name"/>
    <w:rsid w:val="00672EBB"/>
  </w:style>
  <w:style w:type="character" w:customStyle="1" w:styleId="currentbookpage">
    <w:name w:val="current_book_page"/>
    <w:rsid w:val="00672EBB"/>
  </w:style>
  <w:style w:type="numbering" w:customStyle="1" w:styleId="2b">
    <w:name w:val="بلا قائمة2"/>
    <w:next w:val="NoList"/>
    <w:uiPriority w:val="99"/>
    <w:semiHidden/>
    <w:unhideWhenUsed/>
    <w:rsid w:val="00672EBB"/>
  </w:style>
  <w:style w:type="paragraph" w:customStyle="1" w:styleId="ufyag27">
    <w:name w:val="uf_yag27"/>
    <w:basedOn w:val="Normal"/>
    <w:uiPriority w:val="99"/>
    <w:semiHidden/>
    <w:rsid w:val="00672EBB"/>
    <w:pPr>
      <w:widowControl/>
      <w:bidi w:val="0"/>
      <w:spacing w:line="480" w:lineRule="atLeast"/>
    </w:pPr>
    <w:rPr>
      <w:rFonts w:ascii="Times New Roman" w:hAnsi="Times New Roman" w:cs="Simplified Arabic"/>
      <w:sz w:val="26"/>
      <w:szCs w:val="26"/>
    </w:rPr>
  </w:style>
  <w:style w:type="character" w:customStyle="1" w:styleId="apple-converted-space">
    <w:name w:val="apple-converted-space"/>
    <w:rsid w:val="00672EBB"/>
  </w:style>
  <w:style w:type="character" w:customStyle="1" w:styleId="ufesy181">
    <w:name w:val="uf_esy181"/>
    <w:rsid w:val="00672EBB"/>
    <w:rPr>
      <w:rFonts w:ascii="Times New Roman" w:hAnsi="Times New Roman" w:cs="Times New Roman" w:hint="default"/>
      <w:sz w:val="28"/>
      <w:szCs w:val="28"/>
    </w:rPr>
  </w:style>
  <w:style w:type="character" w:customStyle="1" w:styleId="textexposedshow">
    <w:name w:val="text_exposed_show"/>
    <w:rsid w:val="00672EBB"/>
  </w:style>
  <w:style w:type="character" w:customStyle="1" w:styleId="usercontentsecondary">
    <w:name w:val="usercontentsecondary"/>
    <w:rsid w:val="00672EBB"/>
  </w:style>
  <w:style w:type="character" w:customStyle="1" w:styleId="red">
    <w:name w:val="red"/>
    <w:rsid w:val="00672EBB"/>
  </w:style>
  <w:style w:type="character" w:customStyle="1" w:styleId="ufesy41">
    <w:name w:val="uf_esy41"/>
    <w:rsid w:val="00672EBB"/>
    <w:rPr>
      <w:rFonts w:ascii="Times New Roman" w:hAnsi="Times New Roman" w:cs="Times New Roman" w:hint="default"/>
      <w:sz w:val="32"/>
      <w:szCs w:val="32"/>
    </w:rPr>
  </w:style>
  <w:style w:type="character" w:customStyle="1" w:styleId="fn">
    <w:name w:val="fn"/>
    <w:rsid w:val="00672EBB"/>
  </w:style>
  <w:style w:type="character" w:customStyle="1" w:styleId="fnote">
    <w:name w:val="fnote"/>
    <w:rsid w:val="00672EBB"/>
  </w:style>
  <w:style w:type="character" w:customStyle="1" w:styleId="uflts341">
    <w:name w:val="uflts341"/>
    <w:rsid w:val="00672EBB"/>
  </w:style>
  <w:style w:type="character" w:customStyle="1" w:styleId="ufalaem231">
    <w:name w:val="ufalaem231"/>
    <w:rsid w:val="00672EBB"/>
  </w:style>
  <w:style w:type="character" w:customStyle="1" w:styleId="Heading1Char10">
    <w:name w:val="Heading 1 Char1"/>
    <w:aliases w:val="شعر Char1,1-المباحث Char1"/>
    <w:uiPriority w:val="9"/>
    <w:rsid w:val="00672EBB"/>
    <w:rPr>
      <w:rFonts w:ascii="Cambria" w:eastAsia="Times New Roman" w:hAnsi="Cambria" w:cs="Times New Roman"/>
      <w:color w:val="365F91"/>
      <w:sz w:val="32"/>
      <w:szCs w:val="32"/>
    </w:rPr>
  </w:style>
  <w:style w:type="character" w:customStyle="1" w:styleId="Heading2Char1">
    <w:name w:val="Heading 2 Char1"/>
    <w:aliases w:val="2-المبحث Char1,عنوان 2 Char1"/>
    <w:uiPriority w:val="9"/>
    <w:semiHidden/>
    <w:rsid w:val="00672EBB"/>
    <w:rPr>
      <w:rFonts w:ascii="Cambria" w:eastAsia="Times New Roman" w:hAnsi="Cambria" w:cs="Times New Roman"/>
      <w:color w:val="365F91"/>
      <w:sz w:val="26"/>
      <w:szCs w:val="26"/>
    </w:rPr>
  </w:style>
  <w:style w:type="character" w:customStyle="1" w:styleId="Heading3Char1">
    <w:name w:val="Heading 3 Char1"/>
    <w:aliases w:val="3-البحث Char1,عنوان 3 Char1"/>
    <w:uiPriority w:val="9"/>
    <w:semiHidden/>
    <w:rsid w:val="00672EBB"/>
    <w:rPr>
      <w:rFonts w:ascii="Cambria" w:eastAsia="Times New Roman" w:hAnsi="Cambria" w:cs="Times New Roman"/>
      <w:color w:val="243F60"/>
      <w:sz w:val="24"/>
      <w:szCs w:val="24"/>
    </w:rPr>
  </w:style>
  <w:style w:type="character" w:customStyle="1" w:styleId="Heading4Char1">
    <w:name w:val="Heading 4 Char1"/>
    <w:aliases w:val="سلطان بولد15.5 Char1,4-عام Char1,عنوان 4 Char1"/>
    <w:uiPriority w:val="9"/>
    <w:semiHidden/>
    <w:rsid w:val="00672EBB"/>
    <w:rPr>
      <w:rFonts w:ascii="Cambria" w:eastAsia="Times New Roman" w:hAnsi="Cambria" w:cs="Times New Roman"/>
      <w:i/>
      <w:iCs/>
      <w:color w:val="365F91"/>
      <w:sz w:val="28"/>
      <w:szCs w:val="32"/>
    </w:rPr>
  </w:style>
  <w:style w:type="character" w:customStyle="1" w:styleId="TitleChar1">
    <w:name w:val="Title Char1"/>
    <w:aliases w:val="Author Name Char1,سلطان بولد14 Char1,العنوان Char1"/>
    <w:uiPriority w:val="10"/>
    <w:rsid w:val="00672EBB"/>
    <w:rPr>
      <w:rFonts w:ascii="Cambria" w:eastAsia="Times New Roman" w:hAnsi="Cambria" w:cs="Times New Roman"/>
      <w:spacing w:val="-10"/>
      <w:kern w:val="28"/>
      <w:sz w:val="56"/>
      <w:szCs w:val="56"/>
    </w:rPr>
  </w:style>
  <w:style w:type="paragraph" w:customStyle="1" w:styleId="style10">
    <w:name w:val="style1"/>
    <w:basedOn w:val="Normal"/>
    <w:qFormat/>
    <w:rsid w:val="00672EBB"/>
    <w:pPr>
      <w:ind w:right="2268" w:firstLine="0"/>
      <w:jc w:val="highKashida"/>
    </w:pPr>
    <w:rPr>
      <w:rFonts w:ascii="Times New Roman" w:eastAsia="Calibri" w:hAnsi="Times New Roman" w:cs="Taher"/>
      <w:bCs/>
      <w:sz w:val="26"/>
    </w:rPr>
  </w:style>
  <w:style w:type="paragraph" w:customStyle="1" w:styleId="style20">
    <w:name w:val="style2"/>
    <w:basedOn w:val="style10"/>
    <w:qFormat/>
    <w:rsid w:val="00672EBB"/>
    <w:pPr>
      <w:ind w:left="2268" w:right="0"/>
    </w:pPr>
  </w:style>
  <w:style w:type="numbering" w:customStyle="1" w:styleId="37">
    <w:name w:val="بلا قائمة3"/>
    <w:next w:val="NoList"/>
    <w:uiPriority w:val="99"/>
    <w:semiHidden/>
    <w:unhideWhenUsed/>
    <w:rsid w:val="00672EBB"/>
  </w:style>
  <w:style w:type="character" w:customStyle="1" w:styleId="ufbdr291">
    <w:name w:val="uf_bdr291"/>
    <w:rsid w:val="00672EBB"/>
    <w:rPr>
      <w:rFonts w:ascii="Simplified Arabic" w:hAnsi="Simplified Arabic" w:cs="Simplified Arabic" w:hint="cs"/>
      <w:b/>
      <w:bCs/>
      <w:sz w:val="18"/>
      <w:szCs w:val="18"/>
    </w:rPr>
  </w:style>
  <w:style w:type="character" w:customStyle="1" w:styleId="uftms221">
    <w:name w:val="uf_tms221"/>
    <w:rsid w:val="00672EBB"/>
    <w:rPr>
      <w:rFonts w:ascii="Times New Roman" w:hAnsi="Times New Roman" w:cs="Times New Roman" w:hint="default"/>
      <w:sz w:val="16"/>
      <w:szCs w:val="16"/>
    </w:rPr>
  </w:style>
  <w:style w:type="numbering" w:customStyle="1" w:styleId="43">
    <w:name w:val="بلا قائمة4"/>
    <w:next w:val="NoList"/>
    <w:uiPriority w:val="99"/>
    <w:semiHidden/>
    <w:unhideWhenUsed/>
    <w:rsid w:val="00672EBB"/>
  </w:style>
  <w:style w:type="character" w:customStyle="1" w:styleId="EndnoteTextChar1">
    <w:name w:val="Endnote Text Char1"/>
    <w:rsid w:val="00672EBB"/>
    <w:rPr>
      <w:rFonts w:ascii="Tahoma" w:eastAsia="Times New Roman" w:hAnsi="Tahoma" w:cs="Mosawi"/>
    </w:rPr>
  </w:style>
  <w:style w:type="character" w:customStyle="1" w:styleId="Char12">
    <w:name w:val="نص تعليق ختامي Char1"/>
    <w:uiPriority w:val="99"/>
    <w:semiHidden/>
    <w:rsid w:val="00672EBB"/>
    <w:rPr>
      <w:rFonts w:ascii="Times New Roman" w:hAnsi="Times New Roman" w:cs="Mosawi"/>
      <w:sz w:val="20"/>
      <w:szCs w:val="20"/>
    </w:rPr>
  </w:style>
  <w:style w:type="character" w:customStyle="1" w:styleId="uflts710">
    <w:name w:val="uflts71"/>
    <w:rsid w:val="00672EBB"/>
  </w:style>
  <w:style w:type="character" w:customStyle="1" w:styleId="ufyag2310">
    <w:name w:val="ufyag231"/>
    <w:rsid w:val="00672EBB"/>
  </w:style>
  <w:style w:type="character" w:customStyle="1" w:styleId="ufalaem910">
    <w:name w:val="ufalaem91"/>
    <w:rsid w:val="00672EBB"/>
  </w:style>
  <w:style w:type="character" w:customStyle="1" w:styleId="ufyag2510">
    <w:name w:val="ufyag251"/>
    <w:rsid w:val="00672EBB"/>
  </w:style>
  <w:style w:type="numbering" w:customStyle="1" w:styleId="112">
    <w:name w:val="بلا قائمة11"/>
    <w:next w:val="NoList"/>
    <w:uiPriority w:val="99"/>
    <w:semiHidden/>
    <w:unhideWhenUsed/>
    <w:rsid w:val="00672EBB"/>
  </w:style>
  <w:style w:type="character" w:customStyle="1" w:styleId="Char13">
    <w:name w:val="نص حاشية سفلية Char1"/>
    <w:uiPriority w:val="99"/>
    <w:semiHidden/>
    <w:rsid w:val="00672EBB"/>
    <w:rPr>
      <w:sz w:val="20"/>
      <w:szCs w:val="20"/>
    </w:rPr>
  </w:style>
  <w:style w:type="character" w:customStyle="1" w:styleId="uflts131">
    <w:name w:val="uf_lts131"/>
    <w:rsid w:val="00672EBB"/>
    <w:rPr>
      <w:rFonts w:ascii="Simplified Arabic" w:hAnsi="Simplified Arabic" w:cs="Simplified Arabic" w:hint="cs"/>
      <w:b/>
      <w:bCs/>
      <w:i/>
      <w:iCs/>
      <w:sz w:val="28"/>
      <w:szCs w:val="28"/>
    </w:rPr>
  </w:style>
  <w:style w:type="character" w:customStyle="1" w:styleId="5Char1">
    <w:name w:val="عنوان 5 Char1"/>
    <w:aliases w:val="عنوان 99 Char1,99-موسع Char1"/>
    <w:uiPriority w:val="9"/>
    <w:semiHidden/>
    <w:rsid w:val="00672EBB"/>
    <w:rPr>
      <w:rFonts w:ascii="Cambria" w:eastAsia="Times New Roman" w:hAnsi="Cambria" w:cs="Times New Roman"/>
      <w:color w:val="243F60"/>
      <w:sz w:val="28"/>
      <w:szCs w:val="32"/>
    </w:rPr>
  </w:style>
  <w:style w:type="character" w:customStyle="1" w:styleId="6Char1">
    <w:name w:val="عنوان 6 Char1"/>
    <w:aliases w:val="5_موسع Char1"/>
    <w:uiPriority w:val="9"/>
    <w:semiHidden/>
    <w:rsid w:val="00672EBB"/>
    <w:rPr>
      <w:rFonts w:ascii="Cambria" w:eastAsia="Times New Roman" w:hAnsi="Cambria" w:cs="Times New Roman"/>
      <w:i/>
      <w:iCs/>
      <w:color w:val="243F60"/>
      <w:sz w:val="28"/>
      <w:szCs w:val="32"/>
    </w:rPr>
  </w:style>
  <w:style w:type="paragraph" w:customStyle="1" w:styleId="uftms23">
    <w:name w:val="uf_tms23"/>
    <w:basedOn w:val="Normal"/>
    <w:uiPriority w:val="99"/>
    <w:semiHidden/>
    <w:rsid w:val="00672EBB"/>
    <w:pPr>
      <w:widowControl/>
      <w:bidi w:val="0"/>
      <w:spacing w:line="490" w:lineRule="atLeast"/>
    </w:pPr>
    <w:rPr>
      <w:rFonts w:ascii="Times New Roman" w:hAnsi="Times New Roman" w:cs="Times New Roman"/>
    </w:rPr>
  </w:style>
  <w:style w:type="character" w:customStyle="1" w:styleId="ufbdr91">
    <w:name w:val="uf_bdr91"/>
    <w:rsid w:val="00672EBB"/>
    <w:rPr>
      <w:rFonts w:ascii="Simplified Arabic" w:hAnsi="Simplified Arabic" w:cs="Simplified Arabic" w:hint="default"/>
      <w:b/>
      <w:bCs/>
      <w:sz w:val="24"/>
      <w:szCs w:val="24"/>
    </w:rPr>
  </w:style>
  <w:style w:type="table" w:customStyle="1" w:styleId="TableGrid30">
    <w:name w:val="Table Grid3"/>
    <w:basedOn w:val="TableNormal"/>
    <w:next w:val="TableGrid"/>
    <w:uiPriority w:val="39"/>
    <w:rsid w:val="00672EB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672EB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uiPriority w:val="39"/>
    <w:rsid w:val="00672EB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672EB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672EB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672EB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fbdr61">
    <w:name w:val="uf_bdr61"/>
    <w:rsid w:val="00672EBB"/>
    <w:rPr>
      <w:rFonts w:ascii="Simplified Arabic" w:hAnsi="Simplified Arabic" w:cs="Simplified Arabic" w:hint="cs"/>
      <w:b/>
      <w:bCs/>
      <w:sz w:val="18"/>
      <w:szCs w:val="18"/>
    </w:rPr>
  </w:style>
  <w:style w:type="character" w:customStyle="1" w:styleId="ufbdr251">
    <w:name w:val="uf_bdr251"/>
    <w:rsid w:val="00672EBB"/>
    <w:rPr>
      <w:rFonts w:ascii="Simplified Arabic" w:hAnsi="Simplified Arabic" w:cs="Simplified Arabic" w:hint="cs"/>
      <w:sz w:val="27"/>
      <w:szCs w:val="27"/>
    </w:rPr>
  </w:style>
  <w:style w:type="paragraph" w:customStyle="1" w:styleId="Normal2">
    <w:name w:val="Normal2"/>
    <w:basedOn w:val="Normal"/>
    <w:qFormat/>
    <w:rsid w:val="00672EBB"/>
    <w:rPr>
      <w:rFonts w:ascii="Times New Roman" w:hAnsi="Times New Roman"/>
      <w:sz w:val="32"/>
      <w:szCs w:val="32"/>
    </w:rPr>
  </w:style>
  <w:style w:type="paragraph" w:customStyle="1" w:styleId="Normal4">
    <w:name w:val="Normal4"/>
    <w:basedOn w:val="Normal"/>
    <w:qFormat/>
    <w:rsid w:val="00672EBB"/>
    <w:pPr>
      <w:spacing w:line="223" w:lineRule="auto"/>
    </w:pPr>
    <w:rPr>
      <w:rFonts w:ascii="Tahoma" w:hAnsi="Tahoma"/>
      <w:szCs w:val="32"/>
    </w:rPr>
  </w:style>
  <w:style w:type="table" w:customStyle="1" w:styleId="TableNormal2">
    <w:name w:val="Table Normal2"/>
    <w:uiPriority w:val="99"/>
    <w:semiHidden/>
    <w:qFormat/>
    <w:rsid w:val="00672EBB"/>
    <w:rPr>
      <w:rFonts w:ascii="Times New Roman" w:hAnsi="Times New Roman" w:cs="Times New Roman"/>
    </w:rPr>
    <w:tblPr>
      <w:tblCellMar>
        <w:top w:w="0" w:type="dxa"/>
        <w:left w:w="108" w:type="dxa"/>
        <w:bottom w:w="0" w:type="dxa"/>
        <w:right w:w="108" w:type="dxa"/>
      </w:tblCellMar>
    </w:tblPr>
  </w:style>
  <w:style w:type="character" w:customStyle="1" w:styleId="Charfff2">
    <w:name w:val="رأس الصفحة Char"/>
    <w:uiPriority w:val="99"/>
    <w:rsid w:val="00672EBB"/>
  </w:style>
  <w:style w:type="character" w:customStyle="1" w:styleId="Charfff3">
    <w:name w:val="تذييل الصفحة Char"/>
    <w:uiPriority w:val="99"/>
    <w:rsid w:val="00672EBB"/>
    <w:rPr>
      <w:rFonts w:eastAsia="Calibri"/>
      <w:sz w:val="21"/>
      <w:szCs w:val="21"/>
    </w:rPr>
  </w:style>
  <w:style w:type="table" w:customStyle="1" w:styleId="TableNormal11">
    <w:name w:val="Table Normal11"/>
    <w:uiPriority w:val="99"/>
    <w:semiHidden/>
    <w:qFormat/>
    <w:rsid w:val="00672EBB"/>
    <w:rPr>
      <w:rFonts w:ascii="Times New Roman" w:hAnsi="Times New Roman" w:cs="Times New Roman"/>
    </w:rPr>
    <w:tblPr>
      <w:tblCellMar>
        <w:top w:w="0" w:type="dxa"/>
        <w:left w:w="108" w:type="dxa"/>
        <w:bottom w:w="0" w:type="dxa"/>
        <w:right w:w="108" w:type="dxa"/>
      </w:tblCellMar>
    </w:tblPr>
  </w:style>
  <w:style w:type="character" w:customStyle="1" w:styleId="ufhlv41">
    <w:name w:val="ufhlv41"/>
    <w:rsid w:val="00672EBB"/>
  </w:style>
  <w:style w:type="character" w:customStyle="1" w:styleId="ufbdr161">
    <w:name w:val="ufbdr161"/>
    <w:rsid w:val="00672EBB"/>
  </w:style>
  <w:style w:type="paragraph" w:customStyle="1" w:styleId="space20">
    <w:name w:val="space2"/>
    <w:basedOn w:val="Normal"/>
    <w:rsid w:val="00672EBB"/>
    <w:pPr>
      <w:spacing w:line="206" w:lineRule="auto"/>
    </w:pPr>
  </w:style>
  <w:style w:type="paragraph" w:customStyle="1" w:styleId="space30">
    <w:name w:val="space3"/>
    <w:basedOn w:val="Normal"/>
    <w:rsid w:val="00672EBB"/>
    <w:pPr>
      <w:spacing w:line="221" w:lineRule="auto"/>
    </w:pPr>
  </w:style>
  <w:style w:type="paragraph" w:customStyle="1" w:styleId="afffffffff6">
    <w:name w:val="المثال"/>
    <w:basedOn w:val="Normal"/>
    <w:link w:val="Charfff4"/>
    <w:rsid w:val="00672EBB"/>
    <w:pPr>
      <w:widowControl/>
      <w:spacing w:before="100" w:beforeAutospacing="1" w:line="240" w:lineRule="auto"/>
      <w:ind w:firstLine="567"/>
    </w:pPr>
    <w:rPr>
      <w:rFonts w:ascii="Times New Roman" w:hAnsi="Times New Roman" w:cs="Abz-2 (Badr)"/>
      <w:bCs/>
      <w:sz w:val="24"/>
      <w:szCs w:val="32"/>
    </w:rPr>
  </w:style>
  <w:style w:type="character" w:customStyle="1" w:styleId="Charfff4">
    <w:name w:val="المثال Char"/>
    <w:link w:val="afffffffff6"/>
    <w:rsid w:val="00672EBB"/>
    <w:rPr>
      <w:rFonts w:ascii="Times New Roman" w:hAnsi="Times New Roman" w:cs="Abz-2 (Badr)"/>
      <w:bCs/>
      <w:sz w:val="24"/>
      <w:szCs w:val="32"/>
    </w:rPr>
  </w:style>
  <w:style w:type="paragraph" w:customStyle="1" w:styleId="afffffffff7">
    <w:name w:val="الدرس"/>
    <w:basedOn w:val="Normal"/>
    <w:link w:val="Charfff5"/>
    <w:rsid w:val="00672EBB"/>
    <w:pPr>
      <w:widowControl/>
      <w:spacing w:line="240" w:lineRule="auto"/>
      <w:ind w:firstLine="567"/>
    </w:pPr>
    <w:rPr>
      <w:rFonts w:ascii="Times New Roman" w:hAnsi="Times New Roman" w:cs="Abz-1 (Lotus)"/>
      <w:bCs/>
      <w:sz w:val="24"/>
      <w:szCs w:val="32"/>
    </w:rPr>
  </w:style>
  <w:style w:type="character" w:customStyle="1" w:styleId="Charfff5">
    <w:name w:val="الدرس Char"/>
    <w:link w:val="afffffffff7"/>
    <w:rsid w:val="00672EBB"/>
    <w:rPr>
      <w:rFonts w:ascii="Times New Roman" w:hAnsi="Times New Roman" w:cs="Abz-1 (Lotus)"/>
      <w:bCs/>
      <w:sz w:val="24"/>
      <w:szCs w:val="32"/>
    </w:rPr>
  </w:style>
  <w:style w:type="paragraph" w:customStyle="1" w:styleId="52">
    <w:name w:val="ع 5"/>
    <w:basedOn w:val="Normal"/>
    <w:link w:val="5CharChar"/>
    <w:rsid w:val="00672EBB"/>
    <w:pPr>
      <w:widowControl/>
      <w:spacing w:line="240" w:lineRule="auto"/>
      <w:jc w:val="lowKashida"/>
    </w:pPr>
    <w:rPr>
      <w:rFonts w:ascii="Times New Roman" w:hAnsi="Times New Roman" w:cs="Arial"/>
      <w:bCs/>
      <w:sz w:val="24"/>
      <w:szCs w:val="26"/>
    </w:rPr>
  </w:style>
  <w:style w:type="character" w:customStyle="1" w:styleId="5CharChar">
    <w:name w:val="ع 5 Char Char"/>
    <w:link w:val="52"/>
    <w:rsid w:val="00672EBB"/>
    <w:rPr>
      <w:rFonts w:ascii="Times New Roman" w:hAnsi="Times New Roman"/>
      <w:bCs/>
      <w:sz w:val="24"/>
      <w:szCs w:val="26"/>
    </w:rPr>
  </w:style>
  <w:style w:type="paragraph" w:customStyle="1" w:styleId="60">
    <w:name w:val="ع 6"/>
    <w:basedOn w:val="Normal"/>
    <w:next w:val="Normal"/>
    <w:rsid w:val="00672EBB"/>
    <w:pPr>
      <w:widowControl/>
      <w:spacing w:line="240" w:lineRule="auto"/>
      <w:jc w:val="lowKashida"/>
    </w:pPr>
    <w:rPr>
      <w:rFonts w:ascii="Times New Roman" w:hAnsi="Times New Roman" w:cs="Arabic Transparent"/>
      <w:bCs/>
      <w:sz w:val="24"/>
      <w:szCs w:val="25"/>
    </w:rPr>
  </w:style>
  <w:style w:type="paragraph" w:customStyle="1" w:styleId="afffffffff8">
    <w:name w:val="الفائدة"/>
    <w:basedOn w:val="Normal"/>
    <w:next w:val="Normal"/>
    <w:link w:val="CharCharb"/>
    <w:rsid w:val="00672EBB"/>
    <w:pPr>
      <w:widowControl/>
      <w:spacing w:before="100" w:beforeAutospacing="1" w:line="240" w:lineRule="auto"/>
      <w:ind w:firstLine="567"/>
    </w:pPr>
    <w:rPr>
      <w:rFonts w:ascii="Times New Roman" w:hAnsi="Times New Roman" w:cs="Abz-1 (Lotus)"/>
      <w:bCs/>
      <w:sz w:val="24"/>
      <w:szCs w:val="32"/>
    </w:rPr>
  </w:style>
  <w:style w:type="character" w:customStyle="1" w:styleId="CharCharb">
    <w:name w:val="الفائدة Char Char"/>
    <w:link w:val="afffffffff8"/>
    <w:rsid w:val="00672EBB"/>
    <w:rPr>
      <w:rFonts w:ascii="Times New Roman" w:hAnsi="Times New Roman" w:cs="Abz-1 (Lotus)"/>
      <w:bCs/>
      <w:sz w:val="24"/>
      <w:szCs w:val="32"/>
    </w:rPr>
  </w:style>
  <w:style w:type="paragraph" w:customStyle="1" w:styleId="71">
    <w:name w:val="ع 7"/>
    <w:basedOn w:val="Normal"/>
    <w:link w:val="7CharChar"/>
    <w:rsid w:val="00672EBB"/>
    <w:pPr>
      <w:widowControl/>
      <w:spacing w:before="240" w:line="240" w:lineRule="auto"/>
      <w:jc w:val="lowKashida"/>
    </w:pPr>
    <w:rPr>
      <w:rFonts w:ascii="Times New Roman" w:hAnsi="Times New Roman" w:cs="Akhbar MT"/>
      <w:sz w:val="24"/>
      <w:szCs w:val="32"/>
    </w:rPr>
  </w:style>
  <w:style w:type="character" w:customStyle="1" w:styleId="7CharChar">
    <w:name w:val="ع 7 Char Char"/>
    <w:link w:val="71"/>
    <w:rsid w:val="00672EBB"/>
    <w:rPr>
      <w:rFonts w:ascii="Times New Roman" w:hAnsi="Times New Roman" w:cs="Akhbar MT"/>
      <w:sz w:val="24"/>
      <w:szCs w:val="32"/>
    </w:rPr>
  </w:style>
  <w:style w:type="paragraph" w:customStyle="1" w:styleId="afffffffff9">
    <w:name w:val="الملاحظة"/>
    <w:basedOn w:val="Normal"/>
    <w:link w:val="Charfff6"/>
    <w:rsid w:val="00672EBB"/>
    <w:pPr>
      <w:widowControl/>
      <w:spacing w:line="240" w:lineRule="auto"/>
      <w:ind w:firstLine="567"/>
    </w:pPr>
    <w:rPr>
      <w:rFonts w:ascii="Times New Roman" w:hAnsi="Times New Roman" w:cs="Abz-2 (Badr)"/>
      <w:bCs/>
      <w:sz w:val="24"/>
      <w:szCs w:val="32"/>
    </w:rPr>
  </w:style>
  <w:style w:type="character" w:customStyle="1" w:styleId="Charfff6">
    <w:name w:val="الملاحظة Char"/>
    <w:link w:val="afffffffff9"/>
    <w:rsid w:val="00672EBB"/>
    <w:rPr>
      <w:rFonts w:ascii="Times New Roman" w:hAnsi="Times New Roman" w:cs="Abz-2 (Badr)"/>
      <w:bCs/>
      <w:sz w:val="24"/>
      <w:szCs w:val="32"/>
    </w:rPr>
  </w:style>
  <w:style w:type="paragraph" w:customStyle="1" w:styleId="afffffffffa">
    <w:name w:val="التاريخ"/>
    <w:basedOn w:val="Normal"/>
    <w:link w:val="Charfff7"/>
    <w:rsid w:val="00672EBB"/>
    <w:pPr>
      <w:widowControl/>
      <w:spacing w:line="240" w:lineRule="auto"/>
      <w:ind w:firstLine="567"/>
    </w:pPr>
    <w:rPr>
      <w:rFonts w:ascii="Times New Roman" w:hAnsi="Times New Roman" w:cs="Al-Najaf95"/>
      <w:bCs/>
      <w:sz w:val="24"/>
      <w:szCs w:val="32"/>
    </w:rPr>
  </w:style>
  <w:style w:type="character" w:customStyle="1" w:styleId="Charfff7">
    <w:name w:val="التاريخ Char"/>
    <w:link w:val="afffffffffa"/>
    <w:rsid w:val="00672EBB"/>
    <w:rPr>
      <w:rFonts w:ascii="Times New Roman" w:hAnsi="Times New Roman" w:cs="Al-Najaf95"/>
      <w:bCs/>
      <w:sz w:val="24"/>
      <w:szCs w:val="32"/>
    </w:rPr>
  </w:style>
  <w:style w:type="paragraph" w:customStyle="1" w:styleId="afffffffffb">
    <w:name w:val="اليوم"/>
    <w:basedOn w:val="Normal"/>
    <w:link w:val="Charfff8"/>
    <w:rsid w:val="00672EBB"/>
    <w:pPr>
      <w:widowControl/>
      <w:spacing w:before="100" w:beforeAutospacing="1" w:line="240" w:lineRule="auto"/>
      <w:ind w:firstLine="567"/>
    </w:pPr>
    <w:rPr>
      <w:rFonts w:ascii="Times New Roman" w:hAnsi="Times New Roman" w:cs="Al-Najaf95"/>
      <w:b/>
      <w:bCs/>
      <w:sz w:val="32"/>
      <w:szCs w:val="32"/>
    </w:rPr>
  </w:style>
  <w:style w:type="character" w:customStyle="1" w:styleId="Charfff8">
    <w:name w:val="اليوم Char"/>
    <w:link w:val="afffffffffb"/>
    <w:rsid w:val="00672EBB"/>
    <w:rPr>
      <w:rFonts w:ascii="Times New Roman" w:hAnsi="Times New Roman" w:cs="Al-Najaf95"/>
      <w:b/>
      <w:bCs/>
      <w:sz w:val="32"/>
      <w:szCs w:val="32"/>
    </w:rPr>
  </w:style>
  <w:style w:type="paragraph" w:customStyle="1" w:styleId="91">
    <w:name w:val="عنوان9"/>
    <w:basedOn w:val="Normal"/>
    <w:link w:val="9Char"/>
    <w:rsid w:val="00672EBB"/>
    <w:pPr>
      <w:widowControl/>
      <w:spacing w:before="100" w:beforeAutospacing="1" w:line="240" w:lineRule="auto"/>
      <w:ind w:firstLine="567"/>
    </w:pPr>
    <w:rPr>
      <w:rFonts w:ascii="Times New Roman" w:hAnsi="Times New Roman" w:cs="Abz-2 (Badr)"/>
      <w:bCs/>
      <w:szCs w:val="32"/>
    </w:rPr>
  </w:style>
  <w:style w:type="character" w:customStyle="1" w:styleId="9Char">
    <w:name w:val="عنوان9 Char"/>
    <w:link w:val="91"/>
    <w:rsid w:val="00672EBB"/>
    <w:rPr>
      <w:rFonts w:ascii="Times New Roman" w:hAnsi="Times New Roman" w:cs="Abz-2 (Badr)"/>
      <w:bCs/>
      <w:sz w:val="28"/>
      <w:szCs w:val="32"/>
    </w:rPr>
  </w:style>
  <w:style w:type="character" w:customStyle="1" w:styleId="bold">
    <w:name w:val="bold"/>
    <w:rsid w:val="00672EBB"/>
    <w:rPr>
      <w:rFonts w:ascii="Mosawi" w:hAnsi="Mosawi" w:cs="Mosawi"/>
      <w:b/>
      <w:bCs/>
      <w:sz w:val="28"/>
      <w:szCs w:val="28"/>
    </w:rPr>
  </w:style>
  <w:style w:type="paragraph" w:customStyle="1" w:styleId="Heading110">
    <w:name w:val="Heading 1_1"/>
    <w:basedOn w:val="Heading1"/>
    <w:link w:val="Heading11Char"/>
    <w:qFormat/>
    <w:rsid w:val="00672EBB"/>
    <w:pPr>
      <w:keepNext w:val="0"/>
      <w:keepLines w:val="0"/>
      <w:jc w:val="left"/>
    </w:pPr>
    <w:rPr>
      <w:rFonts w:ascii="AL-Mateen" w:hAnsi="AL-Mateen"/>
      <w:b w:val="0"/>
      <w:kern w:val="32"/>
      <w:sz w:val="34"/>
      <w:szCs w:val="34"/>
    </w:rPr>
  </w:style>
  <w:style w:type="character" w:customStyle="1" w:styleId="Heading11Char">
    <w:name w:val="Heading 1_1 Char"/>
    <w:basedOn w:val="DefaultParagraphFont"/>
    <w:link w:val="Heading110"/>
    <w:rsid w:val="00672EBB"/>
    <w:rPr>
      <w:rFonts w:ascii="AL-Mateen" w:hAnsi="AL-Mateen" w:cs="AL-Mateen"/>
      <w:kern w:val="32"/>
      <w:sz w:val="34"/>
      <w:szCs w:val="34"/>
    </w:rPr>
  </w:style>
  <w:style w:type="paragraph" w:customStyle="1" w:styleId="space10">
    <w:name w:val="space1"/>
    <w:basedOn w:val="Normal"/>
    <w:rsid w:val="00672EBB"/>
    <w:pPr>
      <w:spacing w:line="202" w:lineRule="auto"/>
    </w:pPr>
  </w:style>
  <w:style w:type="paragraph" w:customStyle="1" w:styleId="afffffffffc">
    <w:name w:val="رأس الصفحة"/>
    <w:basedOn w:val="Normal"/>
    <w:rsid w:val="00672EBB"/>
    <w:pPr>
      <w:tabs>
        <w:tab w:val="right" w:leader="dot" w:pos="8313"/>
      </w:tabs>
      <w:ind w:firstLine="0"/>
    </w:pPr>
    <w:rPr>
      <w:rFonts w:ascii="Times New Roman" w:eastAsia="Batang" w:hAnsi="Times New Roman"/>
      <w:sz w:val="24"/>
    </w:rPr>
  </w:style>
  <w:style w:type="paragraph" w:customStyle="1" w:styleId="afffffffffd">
    <w:name w:val="عنوان الكتاب"/>
    <w:basedOn w:val="Normal"/>
    <w:rsid w:val="00672EBB"/>
    <w:pPr>
      <w:spacing w:line="240" w:lineRule="auto"/>
      <w:ind w:firstLine="0"/>
      <w:jc w:val="center"/>
    </w:pPr>
    <w:rPr>
      <w:rFonts w:ascii="Times New Roman" w:eastAsia="Batang" w:hAnsi="Times New Roman" w:cs="Bader"/>
      <w:sz w:val="76"/>
      <w:szCs w:val="71"/>
      <w:lang w:eastAsia="ar-SA"/>
    </w:rPr>
  </w:style>
  <w:style w:type="paragraph" w:customStyle="1" w:styleId="Question">
    <w:name w:val="Question"/>
    <w:basedOn w:val="Normal"/>
    <w:qFormat/>
    <w:rsid w:val="00672EBB"/>
    <w:pPr>
      <w:ind w:firstLine="0"/>
    </w:pPr>
    <w:rPr>
      <w:rFonts w:ascii="Arial" w:hAnsi="Arial"/>
      <w:bCs/>
      <w:color w:val="000000"/>
      <w:sz w:val="26"/>
    </w:rPr>
  </w:style>
  <w:style w:type="paragraph" w:customStyle="1" w:styleId="Nor2">
    <w:name w:val="Nor2"/>
    <w:basedOn w:val="Normal"/>
    <w:qFormat/>
    <w:rsid w:val="00672EBB"/>
    <w:pPr>
      <w:spacing w:line="209" w:lineRule="auto"/>
    </w:pPr>
    <w:rPr>
      <w:rFonts w:ascii="Calibri" w:eastAsia="Batang" w:hAnsi="Calibri"/>
      <w:sz w:val="30"/>
    </w:rPr>
  </w:style>
  <w:style w:type="paragraph" w:customStyle="1" w:styleId="Nor3">
    <w:name w:val="Nor3"/>
    <w:basedOn w:val="Nor2"/>
    <w:qFormat/>
    <w:rsid w:val="00672EBB"/>
    <w:pPr>
      <w:spacing w:line="202" w:lineRule="auto"/>
    </w:pPr>
  </w:style>
  <w:style w:type="paragraph" w:customStyle="1" w:styleId="Nor4">
    <w:name w:val="Nor4"/>
    <w:basedOn w:val="Nor3"/>
    <w:qFormat/>
    <w:rsid w:val="00672EBB"/>
    <w:pPr>
      <w:spacing w:line="223" w:lineRule="auto"/>
    </w:pPr>
  </w:style>
  <w:style w:type="character" w:customStyle="1" w:styleId="reference-text">
    <w:name w:val="reference-text"/>
    <w:rsid w:val="00672EBB"/>
  </w:style>
  <w:style w:type="character" w:customStyle="1" w:styleId="alayh">
    <w:name w:val="alayh"/>
    <w:rsid w:val="00672EBB"/>
  </w:style>
  <w:style w:type="paragraph" w:customStyle="1" w:styleId="Style4">
    <w:name w:val="Style4"/>
    <w:basedOn w:val="Heading2"/>
    <w:link w:val="Style4Char"/>
    <w:autoRedefine/>
    <w:qFormat/>
    <w:rsid w:val="00672EBB"/>
    <w:pPr>
      <w:keepNext/>
      <w:widowControl/>
      <w:jc w:val="left"/>
    </w:pPr>
    <w:rPr>
      <w:rFonts w:ascii="AL-Mateen" w:hAnsi="AL-Mateen"/>
      <w:b/>
      <w:i/>
      <w:color w:val="auto"/>
      <w:sz w:val="34"/>
    </w:rPr>
  </w:style>
  <w:style w:type="character" w:customStyle="1" w:styleId="Style4Char">
    <w:name w:val="Style4 Char"/>
    <w:link w:val="Style4"/>
    <w:rsid w:val="00672EBB"/>
    <w:rPr>
      <w:rFonts w:ascii="AL-Mateen" w:hAnsi="AL-Mateen" w:cs="AL-Mateen"/>
      <w:b/>
      <w:i/>
      <w:sz w:val="34"/>
      <w:szCs w:val="34"/>
    </w:rPr>
  </w:style>
  <w:style w:type="character" w:styleId="UnresolvedMention">
    <w:name w:val="Unresolved Mention"/>
    <w:basedOn w:val="DefaultParagraphFont"/>
    <w:uiPriority w:val="99"/>
    <w:semiHidden/>
    <w:unhideWhenUsed/>
    <w:rsid w:val="00164C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679490">
      <w:bodyDiv w:val="1"/>
      <w:marLeft w:val="0"/>
      <w:marRight w:val="0"/>
      <w:marTop w:val="0"/>
      <w:marBottom w:val="0"/>
      <w:divBdr>
        <w:top w:val="none" w:sz="0" w:space="0" w:color="auto"/>
        <w:left w:val="none" w:sz="0" w:space="0" w:color="auto"/>
        <w:bottom w:val="none" w:sz="0" w:space="0" w:color="auto"/>
        <w:right w:val="none" w:sz="0" w:space="0" w:color="auto"/>
      </w:divBdr>
    </w:div>
    <w:div w:id="817573481">
      <w:bodyDiv w:val="1"/>
      <w:marLeft w:val="0"/>
      <w:marRight w:val="0"/>
      <w:marTop w:val="0"/>
      <w:marBottom w:val="0"/>
      <w:divBdr>
        <w:top w:val="none" w:sz="0" w:space="0" w:color="auto"/>
        <w:left w:val="none" w:sz="0" w:space="0" w:color="auto"/>
        <w:bottom w:val="none" w:sz="0" w:space="0" w:color="auto"/>
        <w:right w:val="none" w:sz="0" w:space="0" w:color="auto"/>
      </w:divBdr>
    </w:div>
    <w:div w:id="1531528861">
      <w:bodyDiv w:val="1"/>
      <w:marLeft w:val="0"/>
      <w:marRight w:val="0"/>
      <w:marTop w:val="0"/>
      <w:marBottom w:val="0"/>
      <w:divBdr>
        <w:top w:val="none" w:sz="0" w:space="0" w:color="auto"/>
        <w:left w:val="none" w:sz="0" w:space="0" w:color="auto"/>
        <w:bottom w:val="none" w:sz="0" w:space="0" w:color="auto"/>
        <w:right w:val="none" w:sz="0" w:space="0" w:color="auto"/>
      </w:divBdr>
    </w:div>
    <w:div w:id="1738474304">
      <w:bodyDiv w:val="1"/>
      <w:marLeft w:val="0"/>
      <w:marRight w:val="0"/>
      <w:marTop w:val="0"/>
      <w:marBottom w:val="0"/>
      <w:divBdr>
        <w:top w:val="none" w:sz="0" w:space="0" w:color="auto"/>
        <w:left w:val="none" w:sz="0" w:space="0" w:color="auto"/>
        <w:bottom w:val="none" w:sz="0" w:space="0" w:color="auto"/>
        <w:right w:val="none" w:sz="0" w:space="0" w:color="auto"/>
      </w:divBdr>
    </w:div>
    <w:div w:id="1937519342">
      <w:bodyDiv w:val="1"/>
      <w:marLeft w:val="0"/>
      <w:marRight w:val="0"/>
      <w:marTop w:val="0"/>
      <w:marBottom w:val="0"/>
      <w:divBdr>
        <w:top w:val="none" w:sz="0" w:space="0" w:color="auto"/>
        <w:left w:val="none" w:sz="0" w:space="0" w:color="auto"/>
        <w:bottom w:val="none" w:sz="0" w:space="0" w:color="auto"/>
        <w:right w:val="none" w:sz="0" w:space="0" w:color="auto"/>
      </w:divBdr>
    </w:div>
    <w:div w:id="19650434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A176A-E722-43FC-8BA2-65BD6BCD9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245</Pages>
  <Words>55290</Words>
  <Characters>315155</Characters>
  <Application>Microsoft Office Word</Application>
  <DocSecurity>0</DocSecurity>
  <Lines>2626</Lines>
  <Paragraphs>739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فقه الاحتكار في الشريعة الإسلامية</vt:lpstr>
      <vt:lpstr>فقه الاحتكار في الشريعة الإسلامية</vt:lpstr>
    </vt:vector>
  </TitlesOfParts>
  <Company/>
  <LinksUpToDate>false</LinksUpToDate>
  <CharactersWithSpaces>369706</CharactersWithSpaces>
  <SharedDoc>false</SharedDoc>
  <HLinks>
    <vt:vector size="1104" baseType="variant">
      <vt:variant>
        <vt:i4>1966131</vt:i4>
      </vt:variant>
      <vt:variant>
        <vt:i4>1061</vt:i4>
      </vt:variant>
      <vt:variant>
        <vt:i4>0</vt:i4>
      </vt:variant>
      <vt:variant>
        <vt:i4>5</vt:i4>
      </vt:variant>
      <vt:variant>
        <vt:lpwstr/>
      </vt:variant>
      <vt:variant>
        <vt:lpwstr>_Toc307009705</vt:lpwstr>
      </vt:variant>
      <vt:variant>
        <vt:i4>1966131</vt:i4>
      </vt:variant>
      <vt:variant>
        <vt:i4>1055</vt:i4>
      </vt:variant>
      <vt:variant>
        <vt:i4>0</vt:i4>
      </vt:variant>
      <vt:variant>
        <vt:i4>5</vt:i4>
      </vt:variant>
      <vt:variant>
        <vt:lpwstr/>
      </vt:variant>
      <vt:variant>
        <vt:lpwstr>_Toc307009704</vt:lpwstr>
      </vt:variant>
      <vt:variant>
        <vt:i4>1966131</vt:i4>
      </vt:variant>
      <vt:variant>
        <vt:i4>1049</vt:i4>
      </vt:variant>
      <vt:variant>
        <vt:i4>0</vt:i4>
      </vt:variant>
      <vt:variant>
        <vt:i4>5</vt:i4>
      </vt:variant>
      <vt:variant>
        <vt:lpwstr/>
      </vt:variant>
      <vt:variant>
        <vt:lpwstr>_Toc307009703</vt:lpwstr>
      </vt:variant>
      <vt:variant>
        <vt:i4>1966131</vt:i4>
      </vt:variant>
      <vt:variant>
        <vt:i4>1043</vt:i4>
      </vt:variant>
      <vt:variant>
        <vt:i4>0</vt:i4>
      </vt:variant>
      <vt:variant>
        <vt:i4>5</vt:i4>
      </vt:variant>
      <vt:variant>
        <vt:lpwstr/>
      </vt:variant>
      <vt:variant>
        <vt:lpwstr>_Toc307009702</vt:lpwstr>
      </vt:variant>
      <vt:variant>
        <vt:i4>1966131</vt:i4>
      </vt:variant>
      <vt:variant>
        <vt:i4>1037</vt:i4>
      </vt:variant>
      <vt:variant>
        <vt:i4>0</vt:i4>
      </vt:variant>
      <vt:variant>
        <vt:i4>5</vt:i4>
      </vt:variant>
      <vt:variant>
        <vt:lpwstr/>
      </vt:variant>
      <vt:variant>
        <vt:lpwstr>_Toc307009701</vt:lpwstr>
      </vt:variant>
      <vt:variant>
        <vt:i4>1966131</vt:i4>
      </vt:variant>
      <vt:variant>
        <vt:i4>1031</vt:i4>
      </vt:variant>
      <vt:variant>
        <vt:i4>0</vt:i4>
      </vt:variant>
      <vt:variant>
        <vt:i4>5</vt:i4>
      </vt:variant>
      <vt:variant>
        <vt:lpwstr/>
      </vt:variant>
      <vt:variant>
        <vt:lpwstr>_Toc307009700</vt:lpwstr>
      </vt:variant>
      <vt:variant>
        <vt:i4>1507378</vt:i4>
      </vt:variant>
      <vt:variant>
        <vt:i4>1025</vt:i4>
      </vt:variant>
      <vt:variant>
        <vt:i4>0</vt:i4>
      </vt:variant>
      <vt:variant>
        <vt:i4>5</vt:i4>
      </vt:variant>
      <vt:variant>
        <vt:lpwstr/>
      </vt:variant>
      <vt:variant>
        <vt:lpwstr>_Toc307009699</vt:lpwstr>
      </vt:variant>
      <vt:variant>
        <vt:i4>1507378</vt:i4>
      </vt:variant>
      <vt:variant>
        <vt:i4>1019</vt:i4>
      </vt:variant>
      <vt:variant>
        <vt:i4>0</vt:i4>
      </vt:variant>
      <vt:variant>
        <vt:i4>5</vt:i4>
      </vt:variant>
      <vt:variant>
        <vt:lpwstr/>
      </vt:variant>
      <vt:variant>
        <vt:lpwstr>_Toc307009698</vt:lpwstr>
      </vt:variant>
      <vt:variant>
        <vt:i4>1507378</vt:i4>
      </vt:variant>
      <vt:variant>
        <vt:i4>1013</vt:i4>
      </vt:variant>
      <vt:variant>
        <vt:i4>0</vt:i4>
      </vt:variant>
      <vt:variant>
        <vt:i4>5</vt:i4>
      </vt:variant>
      <vt:variant>
        <vt:lpwstr/>
      </vt:variant>
      <vt:variant>
        <vt:lpwstr>_Toc307009697</vt:lpwstr>
      </vt:variant>
      <vt:variant>
        <vt:i4>1507378</vt:i4>
      </vt:variant>
      <vt:variant>
        <vt:i4>1007</vt:i4>
      </vt:variant>
      <vt:variant>
        <vt:i4>0</vt:i4>
      </vt:variant>
      <vt:variant>
        <vt:i4>5</vt:i4>
      </vt:variant>
      <vt:variant>
        <vt:lpwstr/>
      </vt:variant>
      <vt:variant>
        <vt:lpwstr>_Toc307009696</vt:lpwstr>
      </vt:variant>
      <vt:variant>
        <vt:i4>1507378</vt:i4>
      </vt:variant>
      <vt:variant>
        <vt:i4>1001</vt:i4>
      </vt:variant>
      <vt:variant>
        <vt:i4>0</vt:i4>
      </vt:variant>
      <vt:variant>
        <vt:i4>5</vt:i4>
      </vt:variant>
      <vt:variant>
        <vt:lpwstr/>
      </vt:variant>
      <vt:variant>
        <vt:lpwstr>_Toc307009695</vt:lpwstr>
      </vt:variant>
      <vt:variant>
        <vt:i4>1507378</vt:i4>
      </vt:variant>
      <vt:variant>
        <vt:i4>995</vt:i4>
      </vt:variant>
      <vt:variant>
        <vt:i4>0</vt:i4>
      </vt:variant>
      <vt:variant>
        <vt:i4>5</vt:i4>
      </vt:variant>
      <vt:variant>
        <vt:lpwstr/>
      </vt:variant>
      <vt:variant>
        <vt:lpwstr>_Toc307009694</vt:lpwstr>
      </vt:variant>
      <vt:variant>
        <vt:i4>1507378</vt:i4>
      </vt:variant>
      <vt:variant>
        <vt:i4>989</vt:i4>
      </vt:variant>
      <vt:variant>
        <vt:i4>0</vt:i4>
      </vt:variant>
      <vt:variant>
        <vt:i4>5</vt:i4>
      </vt:variant>
      <vt:variant>
        <vt:lpwstr/>
      </vt:variant>
      <vt:variant>
        <vt:lpwstr>_Toc307009693</vt:lpwstr>
      </vt:variant>
      <vt:variant>
        <vt:i4>1507378</vt:i4>
      </vt:variant>
      <vt:variant>
        <vt:i4>983</vt:i4>
      </vt:variant>
      <vt:variant>
        <vt:i4>0</vt:i4>
      </vt:variant>
      <vt:variant>
        <vt:i4>5</vt:i4>
      </vt:variant>
      <vt:variant>
        <vt:lpwstr/>
      </vt:variant>
      <vt:variant>
        <vt:lpwstr>_Toc307009692</vt:lpwstr>
      </vt:variant>
      <vt:variant>
        <vt:i4>1507378</vt:i4>
      </vt:variant>
      <vt:variant>
        <vt:i4>977</vt:i4>
      </vt:variant>
      <vt:variant>
        <vt:i4>0</vt:i4>
      </vt:variant>
      <vt:variant>
        <vt:i4>5</vt:i4>
      </vt:variant>
      <vt:variant>
        <vt:lpwstr/>
      </vt:variant>
      <vt:variant>
        <vt:lpwstr>_Toc307009691</vt:lpwstr>
      </vt:variant>
      <vt:variant>
        <vt:i4>1507378</vt:i4>
      </vt:variant>
      <vt:variant>
        <vt:i4>971</vt:i4>
      </vt:variant>
      <vt:variant>
        <vt:i4>0</vt:i4>
      </vt:variant>
      <vt:variant>
        <vt:i4>5</vt:i4>
      </vt:variant>
      <vt:variant>
        <vt:lpwstr/>
      </vt:variant>
      <vt:variant>
        <vt:lpwstr>_Toc307009690</vt:lpwstr>
      </vt:variant>
      <vt:variant>
        <vt:i4>1441842</vt:i4>
      </vt:variant>
      <vt:variant>
        <vt:i4>965</vt:i4>
      </vt:variant>
      <vt:variant>
        <vt:i4>0</vt:i4>
      </vt:variant>
      <vt:variant>
        <vt:i4>5</vt:i4>
      </vt:variant>
      <vt:variant>
        <vt:lpwstr/>
      </vt:variant>
      <vt:variant>
        <vt:lpwstr>_Toc307009689</vt:lpwstr>
      </vt:variant>
      <vt:variant>
        <vt:i4>1441842</vt:i4>
      </vt:variant>
      <vt:variant>
        <vt:i4>959</vt:i4>
      </vt:variant>
      <vt:variant>
        <vt:i4>0</vt:i4>
      </vt:variant>
      <vt:variant>
        <vt:i4>5</vt:i4>
      </vt:variant>
      <vt:variant>
        <vt:lpwstr/>
      </vt:variant>
      <vt:variant>
        <vt:lpwstr>_Toc307009688</vt:lpwstr>
      </vt:variant>
      <vt:variant>
        <vt:i4>1441842</vt:i4>
      </vt:variant>
      <vt:variant>
        <vt:i4>953</vt:i4>
      </vt:variant>
      <vt:variant>
        <vt:i4>0</vt:i4>
      </vt:variant>
      <vt:variant>
        <vt:i4>5</vt:i4>
      </vt:variant>
      <vt:variant>
        <vt:lpwstr/>
      </vt:variant>
      <vt:variant>
        <vt:lpwstr>_Toc307009687</vt:lpwstr>
      </vt:variant>
      <vt:variant>
        <vt:i4>1441842</vt:i4>
      </vt:variant>
      <vt:variant>
        <vt:i4>947</vt:i4>
      </vt:variant>
      <vt:variant>
        <vt:i4>0</vt:i4>
      </vt:variant>
      <vt:variant>
        <vt:i4>5</vt:i4>
      </vt:variant>
      <vt:variant>
        <vt:lpwstr/>
      </vt:variant>
      <vt:variant>
        <vt:lpwstr>_Toc307009686</vt:lpwstr>
      </vt:variant>
      <vt:variant>
        <vt:i4>1441842</vt:i4>
      </vt:variant>
      <vt:variant>
        <vt:i4>941</vt:i4>
      </vt:variant>
      <vt:variant>
        <vt:i4>0</vt:i4>
      </vt:variant>
      <vt:variant>
        <vt:i4>5</vt:i4>
      </vt:variant>
      <vt:variant>
        <vt:lpwstr/>
      </vt:variant>
      <vt:variant>
        <vt:lpwstr>_Toc307009685</vt:lpwstr>
      </vt:variant>
      <vt:variant>
        <vt:i4>1441842</vt:i4>
      </vt:variant>
      <vt:variant>
        <vt:i4>935</vt:i4>
      </vt:variant>
      <vt:variant>
        <vt:i4>0</vt:i4>
      </vt:variant>
      <vt:variant>
        <vt:i4>5</vt:i4>
      </vt:variant>
      <vt:variant>
        <vt:lpwstr/>
      </vt:variant>
      <vt:variant>
        <vt:lpwstr>_Toc307009684</vt:lpwstr>
      </vt:variant>
      <vt:variant>
        <vt:i4>1441842</vt:i4>
      </vt:variant>
      <vt:variant>
        <vt:i4>929</vt:i4>
      </vt:variant>
      <vt:variant>
        <vt:i4>0</vt:i4>
      </vt:variant>
      <vt:variant>
        <vt:i4>5</vt:i4>
      </vt:variant>
      <vt:variant>
        <vt:lpwstr/>
      </vt:variant>
      <vt:variant>
        <vt:lpwstr>_Toc307009683</vt:lpwstr>
      </vt:variant>
      <vt:variant>
        <vt:i4>1441842</vt:i4>
      </vt:variant>
      <vt:variant>
        <vt:i4>923</vt:i4>
      </vt:variant>
      <vt:variant>
        <vt:i4>0</vt:i4>
      </vt:variant>
      <vt:variant>
        <vt:i4>5</vt:i4>
      </vt:variant>
      <vt:variant>
        <vt:lpwstr/>
      </vt:variant>
      <vt:variant>
        <vt:lpwstr>_Toc307009682</vt:lpwstr>
      </vt:variant>
      <vt:variant>
        <vt:i4>1441842</vt:i4>
      </vt:variant>
      <vt:variant>
        <vt:i4>917</vt:i4>
      </vt:variant>
      <vt:variant>
        <vt:i4>0</vt:i4>
      </vt:variant>
      <vt:variant>
        <vt:i4>5</vt:i4>
      </vt:variant>
      <vt:variant>
        <vt:lpwstr/>
      </vt:variant>
      <vt:variant>
        <vt:lpwstr>_Toc307009681</vt:lpwstr>
      </vt:variant>
      <vt:variant>
        <vt:i4>1441842</vt:i4>
      </vt:variant>
      <vt:variant>
        <vt:i4>911</vt:i4>
      </vt:variant>
      <vt:variant>
        <vt:i4>0</vt:i4>
      </vt:variant>
      <vt:variant>
        <vt:i4>5</vt:i4>
      </vt:variant>
      <vt:variant>
        <vt:lpwstr/>
      </vt:variant>
      <vt:variant>
        <vt:lpwstr>_Toc307009680</vt:lpwstr>
      </vt:variant>
      <vt:variant>
        <vt:i4>1638450</vt:i4>
      </vt:variant>
      <vt:variant>
        <vt:i4>905</vt:i4>
      </vt:variant>
      <vt:variant>
        <vt:i4>0</vt:i4>
      </vt:variant>
      <vt:variant>
        <vt:i4>5</vt:i4>
      </vt:variant>
      <vt:variant>
        <vt:lpwstr/>
      </vt:variant>
      <vt:variant>
        <vt:lpwstr>_Toc307009679</vt:lpwstr>
      </vt:variant>
      <vt:variant>
        <vt:i4>1638450</vt:i4>
      </vt:variant>
      <vt:variant>
        <vt:i4>899</vt:i4>
      </vt:variant>
      <vt:variant>
        <vt:i4>0</vt:i4>
      </vt:variant>
      <vt:variant>
        <vt:i4>5</vt:i4>
      </vt:variant>
      <vt:variant>
        <vt:lpwstr/>
      </vt:variant>
      <vt:variant>
        <vt:lpwstr>_Toc307009678</vt:lpwstr>
      </vt:variant>
      <vt:variant>
        <vt:i4>1638450</vt:i4>
      </vt:variant>
      <vt:variant>
        <vt:i4>893</vt:i4>
      </vt:variant>
      <vt:variant>
        <vt:i4>0</vt:i4>
      </vt:variant>
      <vt:variant>
        <vt:i4>5</vt:i4>
      </vt:variant>
      <vt:variant>
        <vt:lpwstr/>
      </vt:variant>
      <vt:variant>
        <vt:lpwstr>_Toc307009677</vt:lpwstr>
      </vt:variant>
      <vt:variant>
        <vt:i4>1638450</vt:i4>
      </vt:variant>
      <vt:variant>
        <vt:i4>887</vt:i4>
      </vt:variant>
      <vt:variant>
        <vt:i4>0</vt:i4>
      </vt:variant>
      <vt:variant>
        <vt:i4>5</vt:i4>
      </vt:variant>
      <vt:variant>
        <vt:lpwstr/>
      </vt:variant>
      <vt:variant>
        <vt:lpwstr>_Toc307009676</vt:lpwstr>
      </vt:variant>
      <vt:variant>
        <vt:i4>1638450</vt:i4>
      </vt:variant>
      <vt:variant>
        <vt:i4>881</vt:i4>
      </vt:variant>
      <vt:variant>
        <vt:i4>0</vt:i4>
      </vt:variant>
      <vt:variant>
        <vt:i4>5</vt:i4>
      </vt:variant>
      <vt:variant>
        <vt:lpwstr/>
      </vt:variant>
      <vt:variant>
        <vt:lpwstr>_Toc307009675</vt:lpwstr>
      </vt:variant>
      <vt:variant>
        <vt:i4>1638450</vt:i4>
      </vt:variant>
      <vt:variant>
        <vt:i4>875</vt:i4>
      </vt:variant>
      <vt:variant>
        <vt:i4>0</vt:i4>
      </vt:variant>
      <vt:variant>
        <vt:i4>5</vt:i4>
      </vt:variant>
      <vt:variant>
        <vt:lpwstr/>
      </vt:variant>
      <vt:variant>
        <vt:lpwstr>_Toc307009674</vt:lpwstr>
      </vt:variant>
      <vt:variant>
        <vt:i4>1638450</vt:i4>
      </vt:variant>
      <vt:variant>
        <vt:i4>869</vt:i4>
      </vt:variant>
      <vt:variant>
        <vt:i4>0</vt:i4>
      </vt:variant>
      <vt:variant>
        <vt:i4>5</vt:i4>
      </vt:variant>
      <vt:variant>
        <vt:lpwstr/>
      </vt:variant>
      <vt:variant>
        <vt:lpwstr>_Toc307009673</vt:lpwstr>
      </vt:variant>
      <vt:variant>
        <vt:i4>1638450</vt:i4>
      </vt:variant>
      <vt:variant>
        <vt:i4>863</vt:i4>
      </vt:variant>
      <vt:variant>
        <vt:i4>0</vt:i4>
      </vt:variant>
      <vt:variant>
        <vt:i4>5</vt:i4>
      </vt:variant>
      <vt:variant>
        <vt:lpwstr/>
      </vt:variant>
      <vt:variant>
        <vt:lpwstr>_Toc307009672</vt:lpwstr>
      </vt:variant>
      <vt:variant>
        <vt:i4>1638450</vt:i4>
      </vt:variant>
      <vt:variant>
        <vt:i4>857</vt:i4>
      </vt:variant>
      <vt:variant>
        <vt:i4>0</vt:i4>
      </vt:variant>
      <vt:variant>
        <vt:i4>5</vt:i4>
      </vt:variant>
      <vt:variant>
        <vt:lpwstr/>
      </vt:variant>
      <vt:variant>
        <vt:lpwstr>_Toc307009671</vt:lpwstr>
      </vt:variant>
      <vt:variant>
        <vt:i4>1638450</vt:i4>
      </vt:variant>
      <vt:variant>
        <vt:i4>851</vt:i4>
      </vt:variant>
      <vt:variant>
        <vt:i4>0</vt:i4>
      </vt:variant>
      <vt:variant>
        <vt:i4>5</vt:i4>
      </vt:variant>
      <vt:variant>
        <vt:lpwstr/>
      </vt:variant>
      <vt:variant>
        <vt:lpwstr>_Toc307009670</vt:lpwstr>
      </vt:variant>
      <vt:variant>
        <vt:i4>1572914</vt:i4>
      </vt:variant>
      <vt:variant>
        <vt:i4>845</vt:i4>
      </vt:variant>
      <vt:variant>
        <vt:i4>0</vt:i4>
      </vt:variant>
      <vt:variant>
        <vt:i4>5</vt:i4>
      </vt:variant>
      <vt:variant>
        <vt:lpwstr/>
      </vt:variant>
      <vt:variant>
        <vt:lpwstr>_Toc307009669</vt:lpwstr>
      </vt:variant>
      <vt:variant>
        <vt:i4>1572914</vt:i4>
      </vt:variant>
      <vt:variant>
        <vt:i4>839</vt:i4>
      </vt:variant>
      <vt:variant>
        <vt:i4>0</vt:i4>
      </vt:variant>
      <vt:variant>
        <vt:i4>5</vt:i4>
      </vt:variant>
      <vt:variant>
        <vt:lpwstr/>
      </vt:variant>
      <vt:variant>
        <vt:lpwstr>_Toc307009668</vt:lpwstr>
      </vt:variant>
      <vt:variant>
        <vt:i4>1572914</vt:i4>
      </vt:variant>
      <vt:variant>
        <vt:i4>833</vt:i4>
      </vt:variant>
      <vt:variant>
        <vt:i4>0</vt:i4>
      </vt:variant>
      <vt:variant>
        <vt:i4>5</vt:i4>
      </vt:variant>
      <vt:variant>
        <vt:lpwstr/>
      </vt:variant>
      <vt:variant>
        <vt:lpwstr>_Toc307009667</vt:lpwstr>
      </vt:variant>
      <vt:variant>
        <vt:i4>1572914</vt:i4>
      </vt:variant>
      <vt:variant>
        <vt:i4>827</vt:i4>
      </vt:variant>
      <vt:variant>
        <vt:i4>0</vt:i4>
      </vt:variant>
      <vt:variant>
        <vt:i4>5</vt:i4>
      </vt:variant>
      <vt:variant>
        <vt:lpwstr/>
      </vt:variant>
      <vt:variant>
        <vt:lpwstr>_Toc307009666</vt:lpwstr>
      </vt:variant>
      <vt:variant>
        <vt:i4>1572914</vt:i4>
      </vt:variant>
      <vt:variant>
        <vt:i4>821</vt:i4>
      </vt:variant>
      <vt:variant>
        <vt:i4>0</vt:i4>
      </vt:variant>
      <vt:variant>
        <vt:i4>5</vt:i4>
      </vt:variant>
      <vt:variant>
        <vt:lpwstr/>
      </vt:variant>
      <vt:variant>
        <vt:lpwstr>_Toc307009665</vt:lpwstr>
      </vt:variant>
      <vt:variant>
        <vt:i4>1572914</vt:i4>
      </vt:variant>
      <vt:variant>
        <vt:i4>815</vt:i4>
      </vt:variant>
      <vt:variant>
        <vt:i4>0</vt:i4>
      </vt:variant>
      <vt:variant>
        <vt:i4>5</vt:i4>
      </vt:variant>
      <vt:variant>
        <vt:lpwstr/>
      </vt:variant>
      <vt:variant>
        <vt:lpwstr>_Toc307009664</vt:lpwstr>
      </vt:variant>
      <vt:variant>
        <vt:i4>1572914</vt:i4>
      </vt:variant>
      <vt:variant>
        <vt:i4>812</vt:i4>
      </vt:variant>
      <vt:variant>
        <vt:i4>0</vt:i4>
      </vt:variant>
      <vt:variant>
        <vt:i4>5</vt:i4>
      </vt:variant>
      <vt:variant>
        <vt:lpwstr/>
      </vt:variant>
      <vt:variant>
        <vt:lpwstr>_Toc307009663</vt:lpwstr>
      </vt:variant>
      <vt:variant>
        <vt:i4>1572914</vt:i4>
      </vt:variant>
      <vt:variant>
        <vt:i4>809</vt:i4>
      </vt:variant>
      <vt:variant>
        <vt:i4>0</vt:i4>
      </vt:variant>
      <vt:variant>
        <vt:i4>5</vt:i4>
      </vt:variant>
      <vt:variant>
        <vt:lpwstr/>
      </vt:variant>
      <vt:variant>
        <vt:lpwstr>_Toc307009662</vt:lpwstr>
      </vt:variant>
      <vt:variant>
        <vt:i4>1572914</vt:i4>
      </vt:variant>
      <vt:variant>
        <vt:i4>803</vt:i4>
      </vt:variant>
      <vt:variant>
        <vt:i4>0</vt:i4>
      </vt:variant>
      <vt:variant>
        <vt:i4>5</vt:i4>
      </vt:variant>
      <vt:variant>
        <vt:lpwstr/>
      </vt:variant>
      <vt:variant>
        <vt:lpwstr>_Toc307009661</vt:lpwstr>
      </vt:variant>
      <vt:variant>
        <vt:i4>1572914</vt:i4>
      </vt:variant>
      <vt:variant>
        <vt:i4>797</vt:i4>
      </vt:variant>
      <vt:variant>
        <vt:i4>0</vt:i4>
      </vt:variant>
      <vt:variant>
        <vt:i4>5</vt:i4>
      </vt:variant>
      <vt:variant>
        <vt:lpwstr/>
      </vt:variant>
      <vt:variant>
        <vt:lpwstr>_Toc307009660</vt:lpwstr>
      </vt:variant>
      <vt:variant>
        <vt:i4>1769522</vt:i4>
      </vt:variant>
      <vt:variant>
        <vt:i4>791</vt:i4>
      </vt:variant>
      <vt:variant>
        <vt:i4>0</vt:i4>
      </vt:variant>
      <vt:variant>
        <vt:i4>5</vt:i4>
      </vt:variant>
      <vt:variant>
        <vt:lpwstr/>
      </vt:variant>
      <vt:variant>
        <vt:lpwstr>_Toc307009659</vt:lpwstr>
      </vt:variant>
      <vt:variant>
        <vt:i4>1769522</vt:i4>
      </vt:variant>
      <vt:variant>
        <vt:i4>785</vt:i4>
      </vt:variant>
      <vt:variant>
        <vt:i4>0</vt:i4>
      </vt:variant>
      <vt:variant>
        <vt:i4>5</vt:i4>
      </vt:variant>
      <vt:variant>
        <vt:lpwstr/>
      </vt:variant>
      <vt:variant>
        <vt:lpwstr>_Toc307009658</vt:lpwstr>
      </vt:variant>
      <vt:variant>
        <vt:i4>1769522</vt:i4>
      </vt:variant>
      <vt:variant>
        <vt:i4>779</vt:i4>
      </vt:variant>
      <vt:variant>
        <vt:i4>0</vt:i4>
      </vt:variant>
      <vt:variant>
        <vt:i4>5</vt:i4>
      </vt:variant>
      <vt:variant>
        <vt:lpwstr/>
      </vt:variant>
      <vt:variant>
        <vt:lpwstr>_Toc307009657</vt:lpwstr>
      </vt:variant>
      <vt:variant>
        <vt:i4>1769522</vt:i4>
      </vt:variant>
      <vt:variant>
        <vt:i4>773</vt:i4>
      </vt:variant>
      <vt:variant>
        <vt:i4>0</vt:i4>
      </vt:variant>
      <vt:variant>
        <vt:i4>5</vt:i4>
      </vt:variant>
      <vt:variant>
        <vt:lpwstr/>
      </vt:variant>
      <vt:variant>
        <vt:lpwstr>_Toc307009656</vt:lpwstr>
      </vt:variant>
      <vt:variant>
        <vt:i4>1769522</vt:i4>
      </vt:variant>
      <vt:variant>
        <vt:i4>767</vt:i4>
      </vt:variant>
      <vt:variant>
        <vt:i4>0</vt:i4>
      </vt:variant>
      <vt:variant>
        <vt:i4>5</vt:i4>
      </vt:variant>
      <vt:variant>
        <vt:lpwstr/>
      </vt:variant>
      <vt:variant>
        <vt:lpwstr>_Toc307009655</vt:lpwstr>
      </vt:variant>
      <vt:variant>
        <vt:i4>1769522</vt:i4>
      </vt:variant>
      <vt:variant>
        <vt:i4>761</vt:i4>
      </vt:variant>
      <vt:variant>
        <vt:i4>0</vt:i4>
      </vt:variant>
      <vt:variant>
        <vt:i4>5</vt:i4>
      </vt:variant>
      <vt:variant>
        <vt:lpwstr/>
      </vt:variant>
      <vt:variant>
        <vt:lpwstr>_Toc307009654</vt:lpwstr>
      </vt:variant>
      <vt:variant>
        <vt:i4>1769522</vt:i4>
      </vt:variant>
      <vt:variant>
        <vt:i4>755</vt:i4>
      </vt:variant>
      <vt:variant>
        <vt:i4>0</vt:i4>
      </vt:variant>
      <vt:variant>
        <vt:i4>5</vt:i4>
      </vt:variant>
      <vt:variant>
        <vt:lpwstr/>
      </vt:variant>
      <vt:variant>
        <vt:lpwstr>_Toc307009653</vt:lpwstr>
      </vt:variant>
      <vt:variant>
        <vt:i4>1769522</vt:i4>
      </vt:variant>
      <vt:variant>
        <vt:i4>749</vt:i4>
      </vt:variant>
      <vt:variant>
        <vt:i4>0</vt:i4>
      </vt:variant>
      <vt:variant>
        <vt:i4>5</vt:i4>
      </vt:variant>
      <vt:variant>
        <vt:lpwstr/>
      </vt:variant>
      <vt:variant>
        <vt:lpwstr>_Toc307009652</vt:lpwstr>
      </vt:variant>
      <vt:variant>
        <vt:i4>1769522</vt:i4>
      </vt:variant>
      <vt:variant>
        <vt:i4>743</vt:i4>
      </vt:variant>
      <vt:variant>
        <vt:i4>0</vt:i4>
      </vt:variant>
      <vt:variant>
        <vt:i4>5</vt:i4>
      </vt:variant>
      <vt:variant>
        <vt:lpwstr/>
      </vt:variant>
      <vt:variant>
        <vt:lpwstr>_Toc307009651</vt:lpwstr>
      </vt:variant>
      <vt:variant>
        <vt:i4>1769522</vt:i4>
      </vt:variant>
      <vt:variant>
        <vt:i4>737</vt:i4>
      </vt:variant>
      <vt:variant>
        <vt:i4>0</vt:i4>
      </vt:variant>
      <vt:variant>
        <vt:i4>5</vt:i4>
      </vt:variant>
      <vt:variant>
        <vt:lpwstr/>
      </vt:variant>
      <vt:variant>
        <vt:lpwstr>_Toc307009650</vt:lpwstr>
      </vt:variant>
      <vt:variant>
        <vt:i4>1703986</vt:i4>
      </vt:variant>
      <vt:variant>
        <vt:i4>731</vt:i4>
      </vt:variant>
      <vt:variant>
        <vt:i4>0</vt:i4>
      </vt:variant>
      <vt:variant>
        <vt:i4>5</vt:i4>
      </vt:variant>
      <vt:variant>
        <vt:lpwstr/>
      </vt:variant>
      <vt:variant>
        <vt:lpwstr>_Toc307009649</vt:lpwstr>
      </vt:variant>
      <vt:variant>
        <vt:i4>1703986</vt:i4>
      </vt:variant>
      <vt:variant>
        <vt:i4>725</vt:i4>
      </vt:variant>
      <vt:variant>
        <vt:i4>0</vt:i4>
      </vt:variant>
      <vt:variant>
        <vt:i4>5</vt:i4>
      </vt:variant>
      <vt:variant>
        <vt:lpwstr/>
      </vt:variant>
      <vt:variant>
        <vt:lpwstr>_Toc307009648</vt:lpwstr>
      </vt:variant>
      <vt:variant>
        <vt:i4>1703986</vt:i4>
      </vt:variant>
      <vt:variant>
        <vt:i4>719</vt:i4>
      </vt:variant>
      <vt:variant>
        <vt:i4>0</vt:i4>
      </vt:variant>
      <vt:variant>
        <vt:i4>5</vt:i4>
      </vt:variant>
      <vt:variant>
        <vt:lpwstr/>
      </vt:variant>
      <vt:variant>
        <vt:lpwstr>_Toc307009647</vt:lpwstr>
      </vt:variant>
      <vt:variant>
        <vt:i4>1703986</vt:i4>
      </vt:variant>
      <vt:variant>
        <vt:i4>713</vt:i4>
      </vt:variant>
      <vt:variant>
        <vt:i4>0</vt:i4>
      </vt:variant>
      <vt:variant>
        <vt:i4>5</vt:i4>
      </vt:variant>
      <vt:variant>
        <vt:lpwstr/>
      </vt:variant>
      <vt:variant>
        <vt:lpwstr>_Toc307009646</vt:lpwstr>
      </vt:variant>
      <vt:variant>
        <vt:i4>1703986</vt:i4>
      </vt:variant>
      <vt:variant>
        <vt:i4>707</vt:i4>
      </vt:variant>
      <vt:variant>
        <vt:i4>0</vt:i4>
      </vt:variant>
      <vt:variant>
        <vt:i4>5</vt:i4>
      </vt:variant>
      <vt:variant>
        <vt:lpwstr/>
      </vt:variant>
      <vt:variant>
        <vt:lpwstr>_Toc307009645</vt:lpwstr>
      </vt:variant>
      <vt:variant>
        <vt:i4>1703986</vt:i4>
      </vt:variant>
      <vt:variant>
        <vt:i4>701</vt:i4>
      </vt:variant>
      <vt:variant>
        <vt:i4>0</vt:i4>
      </vt:variant>
      <vt:variant>
        <vt:i4>5</vt:i4>
      </vt:variant>
      <vt:variant>
        <vt:lpwstr/>
      </vt:variant>
      <vt:variant>
        <vt:lpwstr>_Toc307009644</vt:lpwstr>
      </vt:variant>
      <vt:variant>
        <vt:i4>1703986</vt:i4>
      </vt:variant>
      <vt:variant>
        <vt:i4>695</vt:i4>
      </vt:variant>
      <vt:variant>
        <vt:i4>0</vt:i4>
      </vt:variant>
      <vt:variant>
        <vt:i4>5</vt:i4>
      </vt:variant>
      <vt:variant>
        <vt:lpwstr/>
      </vt:variant>
      <vt:variant>
        <vt:lpwstr>_Toc307009643</vt:lpwstr>
      </vt:variant>
      <vt:variant>
        <vt:i4>1703986</vt:i4>
      </vt:variant>
      <vt:variant>
        <vt:i4>689</vt:i4>
      </vt:variant>
      <vt:variant>
        <vt:i4>0</vt:i4>
      </vt:variant>
      <vt:variant>
        <vt:i4>5</vt:i4>
      </vt:variant>
      <vt:variant>
        <vt:lpwstr/>
      </vt:variant>
      <vt:variant>
        <vt:lpwstr>_Toc307009642</vt:lpwstr>
      </vt:variant>
      <vt:variant>
        <vt:i4>1703986</vt:i4>
      </vt:variant>
      <vt:variant>
        <vt:i4>683</vt:i4>
      </vt:variant>
      <vt:variant>
        <vt:i4>0</vt:i4>
      </vt:variant>
      <vt:variant>
        <vt:i4>5</vt:i4>
      </vt:variant>
      <vt:variant>
        <vt:lpwstr/>
      </vt:variant>
      <vt:variant>
        <vt:lpwstr>_Toc307009641</vt:lpwstr>
      </vt:variant>
      <vt:variant>
        <vt:i4>1703986</vt:i4>
      </vt:variant>
      <vt:variant>
        <vt:i4>677</vt:i4>
      </vt:variant>
      <vt:variant>
        <vt:i4>0</vt:i4>
      </vt:variant>
      <vt:variant>
        <vt:i4>5</vt:i4>
      </vt:variant>
      <vt:variant>
        <vt:lpwstr/>
      </vt:variant>
      <vt:variant>
        <vt:lpwstr>_Toc307009640</vt:lpwstr>
      </vt:variant>
      <vt:variant>
        <vt:i4>1900594</vt:i4>
      </vt:variant>
      <vt:variant>
        <vt:i4>671</vt:i4>
      </vt:variant>
      <vt:variant>
        <vt:i4>0</vt:i4>
      </vt:variant>
      <vt:variant>
        <vt:i4>5</vt:i4>
      </vt:variant>
      <vt:variant>
        <vt:lpwstr/>
      </vt:variant>
      <vt:variant>
        <vt:lpwstr>_Toc307009639</vt:lpwstr>
      </vt:variant>
      <vt:variant>
        <vt:i4>1900594</vt:i4>
      </vt:variant>
      <vt:variant>
        <vt:i4>665</vt:i4>
      </vt:variant>
      <vt:variant>
        <vt:i4>0</vt:i4>
      </vt:variant>
      <vt:variant>
        <vt:i4>5</vt:i4>
      </vt:variant>
      <vt:variant>
        <vt:lpwstr/>
      </vt:variant>
      <vt:variant>
        <vt:lpwstr>_Toc307009638</vt:lpwstr>
      </vt:variant>
      <vt:variant>
        <vt:i4>1900594</vt:i4>
      </vt:variant>
      <vt:variant>
        <vt:i4>659</vt:i4>
      </vt:variant>
      <vt:variant>
        <vt:i4>0</vt:i4>
      </vt:variant>
      <vt:variant>
        <vt:i4>5</vt:i4>
      </vt:variant>
      <vt:variant>
        <vt:lpwstr/>
      </vt:variant>
      <vt:variant>
        <vt:lpwstr>_Toc307009637</vt:lpwstr>
      </vt:variant>
      <vt:variant>
        <vt:i4>1900594</vt:i4>
      </vt:variant>
      <vt:variant>
        <vt:i4>653</vt:i4>
      </vt:variant>
      <vt:variant>
        <vt:i4>0</vt:i4>
      </vt:variant>
      <vt:variant>
        <vt:i4>5</vt:i4>
      </vt:variant>
      <vt:variant>
        <vt:lpwstr/>
      </vt:variant>
      <vt:variant>
        <vt:lpwstr>_Toc307009636</vt:lpwstr>
      </vt:variant>
      <vt:variant>
        <vt:i4>1900594</vt:i4>
      </vt:variant>
      <vt:variant>
        <vt:i4>647</vt:i4>
      </vt:variant>
      <vt:variant>
        <vt:i4>0</vt:i4>
      </vt:variant>
      <vt:variant>
        <vt:i4>5</vt:i4>
      </vt:variant>
      <vt:variant>
        <vt:lpwstr/>
      </vt:variant>
      <vt:variant>
        <vt:lpwstr>_Toc307009635</vt:lpwstr>
      </vt:variant>
      <vt:variant>
        <vt:i4>1900594</vt:i4>
      </vt:variant>
      <vt:variant>
        <vt:i4>641</vt:i4>
      </vt:variant>
      <vt:variant>
        <vt:i4>0</vt:i4>
      </vt:variant>
      <vt:variant>
        <vt:i4>5</vt:i4>
      </vt:variant>
      <vt:variant>
        <vt:lpwstr/>
      </vt:variant>
      <vt:variant>
        <vt:lpwstr>_Toc307009634</vt:lpwstr>
      </vt:variant>
      <vt:variant>
        <vt:i4>1900594</vt:i4>
      </vt:variant>
      <vt:variant>
        <vt:i4>635</vt:i4>
      </vt:variant>
      <vt:variant>
        <vt:i4>0</vt:i4>
      </vt:variant>
      <vt:variant>
        <vt:i4>5</vt:i4>
      </vt:variant>
      <vt:variant>
        <vt:lpwstr/>
      </vt:variant>
      <vt:variant>
        <vt:lpwstr>_Toc307009633</vt:lpwstr>
      </vt:variant>
      <vt:variant>
        <vt:i4>1900594</vt:i4>
      </vt:variant>
      <vt:variant>
        <vt:i4>629</vt:i4>
      </vt:variant>
      <vt:variant>
        <vt:i4>0</vt:i4>
      </vt:variant>
      <vt:variant>
        <vt:i4>5</vt:i4>
      </vt:variant>
      <vt:variant>
        <vt:lpwstr/>
      </vt:variant>
      <vt:variant>
        <vt:lpwstr>_Toc307009632</vt:lpwstr>
      </vt:variant>
      <vt:variant>
        <vt:i4>1900594</vt:i4>
      </vt:variant>
      <vt:variant>
        <vt:i4>626</vt:i4>
      </vt:variant>
      <vt:variant>
        <vt:i4>0</vt:i4>
      </vt:variant>
      <vt:variant>
        <vt:i4>5</vt:i4>
      </vt:variant>
      <vt:variant>
        <vt:lpwstr/>
      </vt:variant>
      <vt:variant>
        <vt:lpwstr>_Toc307009631</vt:lpwstr>
      </vt:variant>
      <vt:variant>
        <vt:i4>1900594</vt:i4>
      </vt:variant>
      <vt:variant>
        <vt:i4>623</vt:i4>
      </vt:variant>
      <vt:variant>
        <vt:i4>0</vt:i4>
      </vt:variant>
      <vt:variant>
        <vt:i4>5</vt:i4>
      </vt:variant>
      <vt:variant>
        <vt:lpwstr/>
      </vt:variant>
      <vt:variant>
        <vt:lpwstr>_Toc307009630</vt:lpwstr>
      </vt:variant>
      <vt:variant>
        <vt:i4>1835058</vt:i4>
      </vt:variant>
      <vt:variant>
        <vt:i4>617</vt:i4>
      </vt:variant>
      <vt:variant>
        <vt:i4>0</vt:i4>
      </vt:variant>
      <vt:variant>
        <vt:i4>5</vt:i4>
      </vt:variant>
      <vt:variant>
        <vt:lpwstr/>
      </vt:variant>
      <vt:variant>
        <vt:lpwstr>_Toc307009629</vt:lpwstr>
      </vt:variant>
      <vt:variant>
        <vt:i4>1835058</vt:i4>
      </vt:variant>
      <vt:variant>
        <vt:i4>611</vt:i4>
      </vt:variant>
      <vt:variant>
        <vt:i4>0</vt:i4>
      </vt:variant>
      <vt:variant>
        <vt:i4>5</vt:i4>
      </vt:variant>
      <vt:variant>
        <vt:lpwstr/>
      </vt:variant>
      <vt:variant>
        <vt:lpwstr>_Toc307009628</vt:lpwstr>
      </vt:variant>
      <vt:variant>
        <vt:i4>1835058</vt:i4>
      </vt:variant>
      <vt:variant>
        <vt:i4>605</vt:i4>
      </vt:variant>
      <vt:variant>
        <vt:i4>0</vt:i4>
      </vt:variant>
      <vt:variant>
        <vt:i4>5</vt:i4>
      </vt:variant>
      <vt:variant>
        <vt:lpwstr/>
      </vt:variant>
      <vt:variant>
        <vt:lpwstr>_Toc307009627</vt:lpwstr>
      </vt:variant>
      <vt:variant>
        <vt:i4>1835058</vt:i4>
      </vt:variant>
      <vt:variant>
        <vt:i4>599</vt:i4>
      </vt:variant>
      <vt:variant>
        <vt:i4>0</vt:i4>
      </vt:variant>
      <vt:variant>
        <vt:i4>5</vt:i4>
      </vt:variant>
      <vt:variant>
        <vt:lpwstr/>
      </vt:variant>
      <vt:variant>
        <vt:lpwstr>_Toc307009626</vt:lpwstr>
      </vt:variant>
      <vt:variant>
        <vt:i4>1835058</vt:i4>
      </vt:variant>
      <vt:variant>
        <vt:i4>593</vt:i4>
      </vt:variant>
      <vt:variant>
        <vt:i4>0</vt:i4>
      </vt:variant>
      <vt:variant>
        <vt:i4>5</vt:i4>
      </vt:variant>
      <vt:variant>
        <vt:lpwstr/>
      </vt:variant>
      <vt:variant>
        <vt:lpwstr>_Toc307009625</vt:lpwstr>
      </vt:variant>
      <vt:variant>
        <vt:i4>1835058</vt:i4>
      </vt:variant>
      <vt:variant>
        <vt:i4>587</vt:i4>
      </vt:variant>
      <vt:variant>
        <vt:i4>0</vt:i4>
      </vt:variant>
      <vt:variant>
        <vt:i4>5</vt:i4>
      </vt:variant>
      <vt:variant>
        <vt:lpwstr/>
      </vt:variant>
      <vt:variant>
        <vt:lpwstr>_Toc307009624</vt:lpwstr>
      </vt:variant>
      <vt:variant>
        <vt:i4>1835058</vt:i4>
      </vt:variant>
      <vt:variant>
        <vt:i4>581</vt:i4>
      </vt:variant>
      <vt:variant>
        <vt:i4>0</vt:i4>
      </vt:variant>
      <vt:variant>
        <vt:i4>5</vt:i4>
      </vt:variant>
      <vt:variant>
        <vt:lpwstr/>
      </vt:variant>
      <vt:variant>
        <vt:lpwstr>_Toc307009623</vt:lpwstr>
      </vt:variant>
      <vt:variant>
        <vt:i4>1835058</vt:i4>
      </vt:variant>
      <vt:variant>
        <vt:i4>575</vt:i4>
      </vt:variant>
      <vt:variant>
        <vt:i4>0</vt:i4>
      </vt:variant>
      <vt:variant>
        <vt:i4>5</vt:i4>
      </vt:variant>
      <vt:variant>
        <vt:lpwstr/>
      </vt:variant>
      <vt:variant>
        <vt:lpwstr>_Toc307009622</vt:lpwstr>
      </vt:variant>
      <vt:variant>
        <vt:i4>1835058</vt:i4>
      </vt:variant>
      <vt:variant>
        <vt:i4>569</vt:i4>
      </vt:variant>
      <vt:variant>
        <vt:i4>0</vt:i4>
      </vt:variant>
      <vt:variant>
        <vt:i4>5</vt:i4>
      </vt:variant>
      <vt:variant>
        <vt:lpwstr/>
      </vt:variant>
      <vt:variant>
        <vt:lpwstr>_Toc307009621</vt:lpwstr>
      </vt:variant>
      <vt:variant>
        <vt:i4>1835058</vt:i4>
      </vt:variant>
      <vt:variant>
        <vt:i4>563</vt:i4>
      </vt:variant>
      <vt:variant>
        <vt:i4>0</vt:i4>
      </vt:variant>
      <vt:variant>
        <vt:i4>5</vt:i4>
      </vt:variant>
      <vt:variant>
        <vt:lpwstr/>
      </vt:variant>
      <vt:variant>
        <vt:lpwstr>_Toc307009620</vt:lpwstr>
      </vt:variant>
      <vt:variant>
        <vt:i4>2031666</vt:i4>
      </vt:variant>
      <vt:variant>
        <vt:i4>557</vt:i4>
      </vt:variant>
      <vt:variant>
        <vt:i4>0</vt:i4>
      </vt:variant>
      <vt:variant>
        <vt:i4>5</vt:i4>
      </vt:variant>
      <vt:variant>
        <vt:lpwstr/>
      </vt:variant>
      <vt:variant>
        <vt:lpwstr>_Toc307009619</vt:lpwstr>
      </vt:variant>
      <vt:variant>
        <vt:i4>2031666</vt:i4>
      </vt:variant>
      <vt:variant>
        <vt:i4>551</vt:i4>
      </vt:variant>
      <vt:variant>
        <vt:i4>0</vt:i4>
      </vt:variant>
      <vt:variant>
        <vt:i4>5</vt:i4>
      </vt:variant>
      <vt:variant>
        <vt:lpwstr/>
      </vt:variant>
      <vt:variant>
        <vt:lpwstr>_Toc307009618</vt:lpwstr>
      </vt:variant>
      <vt:variant>
        <vt:i4>2031666</vt:i4>
      </vt:variant>
      <vt:variant>
        <vt:i4>545</vt:i4>
      </vt:variant>
      <vt:variant>
        <vt:i4>0</vt:i4>
      </vt:variant>
      <vt:variant>
        <vt:i4>5</vt:i4>
      </vt:variant>
      <vt:variant>
        <vt:lpwstr/>
      </vt:variant>
      <vt:variant>
        <vt:lpwstr>_Toc307009617</vt:lpwstr>
      </vt:variant>
      <vt:variant>
        <vt:i4>2031666</vt:i4>
      </vt:variant>
      <vt:variant>
        <vt:i4>539</vt:i4>
      </vt:variant>
      <vt:variant>
        <vt:i4>0</vt:i4>
      </vt:variant>
      <vt:variant>
        <vt:i4>5</vt:i4>
      </vt:variant>
      <vt:variant>
        <vt:lpwstr/>
      </vt:variant>
      <vt:variant>
        <vt:lpwstr>_Toc307009616</vt:lpwstr>
      </vt:variant>
      <vt:variant>
        <vt:i4>2031666</vt:i4>
      </vt:variant>
      <vt:variant>
        <vt:i4>533</vt:i4>
      </vt:variant>
      <vt:variant>
        <vt:i4>0</vt:i4>
      </vt:variant>
      <vt:variant>
        <vt:i4>5</vt:i4>
      </vt:variant>
      <vt:variant>
        <vt:lpwstr/>
      </vt:variant>
      <vt:variant>
        <vt:lpwstr>_Toc307009615</vt:lpwstr>
      </vt:variant>
      <vt:variant>
        <vt:i4>2031666</vt:i4>
      </vt:variant>
      <vt:variant>
        <vt:i4>527</vt:i4>
      </vt:variant>
      <vt:variant>
        <vt:i4>0</vt:i4>
      </vt:variant>
      <vt:variant>
        <vt:i4>5</vt:i4>
      </vt:variant>
      <vt:variant>
        <vt:lpwstr/>
      </vt:variant>
      <vt:variant>
        <vt:lpwstr>_Toc307009614</vt:lpwstr>
      </vt:variant>
      <vt:variant>
        <vt:i4>2031666</vt:i4>
      </vt:variant>
      <vt:variant>
        <vt:i4>521</vt:i4>
      </vt:variant>
      <vt:variant>
        <vt:i4>0</vt:i4>
      </vt:variant>
      <vt:variant>
        <vt:i4>5</vt:i4>
      </vt:variant>
      <vt:variant>
        <vt:lpwstr/>
      </vt:variant>
      <vt:variant>
        <vt:lpwstr>_Toc307009613</vt:lpwstr>
      </vt:variant>
      <vt:variant>
        <vt:i4>2031666</vt:i4>
      </vt:variant>
      <vt:variant>
        <vt:i4>515</vt:i4>
      </vt:variant>
      <vt:variant>
        <vt:i4>0</vt:i4>
      </vt:variant>
      <vt:variant>
        <vt:i4>5</vt:i4>
      </vt:variant>
      <vt:variant>
        <vt:lpwstr/>
      </vt:variant>
      <vt:variant>
        <vt:lpwstr>_Toc307009612</vt:lpwstr>
      </vt:variant>
      <vt:variant>
        <vt:i4>2031666</vt:i4>
      </vt:variant>
      <vt:variant>
        <vt:i4>509</vt:i4>
      </vt:variant>
      <vt:variant>
        <vt:i4>0</vt:i4>
      </vt:variant>
      <vt:variant>
        <vt:i4>5</vt:i4>
      </vt:variant>
      <vt:variant>
        <vt:lpwstr/>
      </vt:variant>
      <vt:variant>
        <vt:lpwstr>_Toc307009611</vt:lpwstr>
      </vt:variant>
      <vt:variant>
        <vt:i4>2031666</vt:i4>
      </vt:variant>
      <vt:variant>
        <vt:i4>503</vt:i4>
      </vt:variant>
      <vt:variant>
        <vt:i4>0</vt:i4>
      </vt:variant>
      <vt:variant>
        <vt:i4>5</vt:i4>
      </vt:variant>
      <vt:variant>
        <vt:lpwstr/>
      </vt:variant>
      <vt:variant>
        <vt:lpwstr>_Toc307009610</vt:lpwstr>
      </vt:variant>
      <vt:variant>
        <vt:i4>1966130</vt:i4>
      </vt:variant>
      <vt:variant>
        <vt:i4>497</vt:i4>
      </vt:variant>
      <vt:variant>
        <vt:i4>0</vt:i4>
      </vt:variant>
      <vt:variant>
        <vt:i4>5</vt:i4>
      </vt:variant>
      <vt:variant>
        <vt:lpwstr/>
      </vt:variant>
      <vt:variant>
        <vt:lpwstr>_Toc307009609</vt:lpwstr>
      </vt:variant>
      <vt:variant>
        <vt:i4>1966130</vt:i4>
      </vt:variant>
      <vt:variant>
        <vt:i4>494</vt:i4>
      </vt:variant>
      <vt:variant>
        <vt:i4>0</vt:i4>
      </vt:variant>
      <vt:variant>
        <vt:i4>5</vt:i4>
      </vt:variant>
      <vt:variant>
        <vt:lpwstr/>
      </vt:variant>
      <vt:variant>
        <vt:lpwstr>_Toc307009608</vt:lpwstr>
      </vt:variant>
      <vt:variant>
        <vt:i4>1966130</vt:i4>
      </vt:variant>
      <vt:variant>
        <vt:i4>488</vt:i4>
      </vt:variant>
      <vt:variant>
        <vt:i4>0</vt:i4>
      </vt:variant>
      <vt:variant>
        <vt:i4>5</vt:i4>
      </vt:variant>
      <vt:variant>
        <vt:lpwstr/>
      </vt:variant>
      <vt:variant>
        <vt:lpwstr>_Toc307009607</vt:lpwstr>
      </vt:variant>
      <vt:variant>
        <vt:i4>1966130</vt:i4>
      </vt:variant>
      <vt:variant>
        <vt:i4>482</vt:i4>
      </vt:variant>
      <vt:variant>
        <vt:i4>0</vt:i4>
      </vt:variant>
      <vt:variant>
        <vt:i4>5</vt:i4>
      </vt:variant>
      <vt:variant>
        <vt:lpwstr/>
      </vt:variant>
      <vt:variant>
        <vt:lpwstr>_Toc307009606</vt:lpwstr>
      </vt:variant>
      <vt:variant>
        <vt:i4>1966130</vt:i4>
      </vt:variant>
      <vt:variant>
        <vt:i4>476</vt:i4>
      </vt:variant>
      <vt:variant>
        <vt:i4>0</vt:i4>
      </vt:variant>
      <vt:variant>
        <vt:i4>5</vt:i4>
      </vt:variant>
      <vt:variant>
        <vt:lpwstr/>
      </vt:variant>
      <vt:variant>
        <vt:lpwstr>_Toc307009605</vt:lpwstr>
      </vt:variant>
      <vt:variant>
        <vt:i4>1966130</vt:i4>
      </vt:variant>
      <vt:variant>
        <vt:i4>470</vt:i4>
      </vt:variant>
      <vt:variant>
        <vt:i4>0</vt:i4>
      </vt:variant>
      <vt:variant>
        <vt:i4>5</vt:i4>
      </vt:variant>
      <vt:variant>
        <vt:lpwstr/>
      </vt:variant>
      <vt:variant>
        <vt:lpwstr>_Toc307009604</vt:lpwstr>
      </vt:variant>
      <vt:variant>
        <vt:i4>1966130</vt:i4>
      </vt:variant>
      <vt:variant>
        <vt:i4>464</vt:i4>
      </vt:variant>
      <vt:variant>
        <vt:i4>0</vt:i4>
      </vt:variant>
      <vt:variant>
        <vt:i4>5</vt:i4>
      </vt:variant>
      <vt:variant>
        <vt:lpwstr/>
      </vt:variant>
      <vt:variant>
        <vt:lpwstr>_Toc307009603</vt:lpwstr>
      </vt:variant>
      <vt:variant>
        <vt:i4>1966130</vt:i4>
      </vt:variant>
      <vt:variant>
        <vt:i4>458</vt:i4>
      </vt:variant>
      <vt:variant>
        <vt:i4>0</vt:i4>
      </vt:variant>
      <vt:variant>
        <vt:i4>5</vt:i4>
      </vt:variant>
      <vt:variant>
        <vt:lpwstr/>
      </vt:variant>
      <vt:variant>
        <vt:lpwstr>_Toc307009602</vt:lpwstr>
      </vt:variant>
      <vt:variant>
        <vt:i4>1966130</vt:i4>
      </vt:variant>
      <vt:variant>
        <vt:i4>452</vt:i4>
      </vt:variant>
      <vt:variant>
        <vt:i4>0</vt:i4>
      </vt:variant>
      <vt:variant>
        <vt:i4>5</vt:i4>
      </vt:variant>
      <vt:variant>
        <vt:lpwstr/>
      </vt:variant>
      <vt:variant>
        <vt:lpwstr>_Toc307009601</vt:lpwstr>
      </vt:variant>
      <vt:variant>
        <vt:i4>1966130</vt:i4>
      </vt:variant>
      <vt:variant>
        <vt:i4>446</vt:i4>
      </vt:variant>
      <vt:variant>
        <vt:i4>0</vt:i4>
      </vt:variant>
      <vt:variant>
        <vt:i4>5</vt:i4>
      </vt:variant>
      <vt:variant>
        <vt:lpwstr/>
      </vt:variant>
      <vt:variant>
        <vt:lpwstr>_Toc307009600</vt:lpwstr>
      </vt:variant>
      <vt:variant>
        <vt:i4>1507377</vt:i4>
      </vt:variant>
      <vt:variant>
        <vt:i4>440</vt:i4>
      </vt:variant>
      <vt:variant>
        <vt:i4>0</vt:i4>
      </vt:variant>
      <vt:variant>
        <vt:i4>5</vt:i4>
      </vt:variant>
      <vt:variant>
        <vt:lpwstr/>
      </vt:variant>
      <vt:variant>
        <vt:lpwstr>_Toc307009599</vt:lpwstr>
      </vt:variant>
      <vt:variant>
        <vt:i4>1507377</vt:i4>
      </vt:variant>
      <vt:variant>
        <vt:i4>434</vt:i4>
      </vt:variant>
      <vt:variant>
        <vt:i4>0</vt:i4>
      </vt:variant>
      <vt:variant>
        <vt:i4>5</vt:i4>
      </vt:variant>
      <vt:variant>
        <vt:lpwstr/>
      </vt:variant>
      <vt:variant>
        <vt:lpwstr>_Toc307009598</vt:lpwstr>
      </vt:variant>
      <vt:variant>
        <vt:i4>1507377</vt:i4>
      </vt:variant>
      <vt:variant>
        <vt:i4>428</vt:i4>
      </vt:variant>
      <vt:variant>
        <vt:i4>0</vt:i4>
      </vt:variant>
      <vt:variant>
        <vt:i4>5</vt:i4>
      </vt:variant>
      <vt:variant>
        <vt:lpwstr/>
      </vt:variant>
      <vt:variant>
        <vt:lpwstr>_Toc307009597</vt:lpwstr>
      </vt:variant>
      <vt:variant>
        <vt:i4>1507377</vt:i4>
      </vt:variant>
      <vt:variant>
        <vt:i4>422</vt:i4>
      </vt:variant>
      <vt:variant>
        <vt:i4>0</vt:i4>
      </vt:variant>
      <vt:variant>
        <vt:i4>5</vt:i4>
      </vt:variant>
      <vt:variant>
        <vt:lpwstr/>
      </vt:variant>
      <vt:variant>
        <vt:lpwstr>_Toc307009596</vt:lpwstr>
      </vt:variant>
      <vt:variant>
        <vt:i4>1507377</vt:i4>
      </vt:variant>
      <vt:variant>
        <vt:i4>416</vt:i4>
      </vt:variant>
      <vt:variant>
        <vt:i4>0</vt:i4>
      </vt:variant>
      <vt:variant>
        <vt:i4>5</vt:i4>
      </vt:variant>
      <vt:variant>
        <vt:lpwstr/>
      </vt:variant>
      <vt:variant>
        <vt:lpwstr>_Toc307009595</vt:lpwstr>
      </vt:variant>
      <vt:variant>
        <vt:i4>1507377</vt:i4>
      </vt:variant>
      <vt:variant>
        <vt:i4>413</vt:i4>
      </vt:variant>
      <vt:variant>
        <vt:i4>0</vt:i4>
      </vt:variant>
      <vt:variant>
        <vt:i4>5</vt:i4>
      </vt:variant>
      <vt:variant>
        <vt:lpwstr/>
      </vt:variant>
      <vt:variant>
        <vt:lpwstr>_Toc307009594</vt:lpwstr>
      </vt:variant>
      <vt:variant>
        <vt:i4>1507377</vt:i4>
      </vt:variant>
      <vt:variant>
        <vt:i4>410</vt:i4>
      </vt:variant>
      <vt:variant>
        <vt:i4>0</vt:i4>
      </vt:variant>
      <vt:variant>
        <vt:i4>5</vt:i4>
      </vt:variant>
      <vt:variant>
        <vt:lpwstr/>
      </vt:variant>
      <vt:variant>
        <vt:lpwstr>_Toc307009593</vt:lpwstr>
      </vt:variant>
      <vt:variant>
        <vt:i4>1507377</vt:i4>
      </vt:variant>
      <vt:variant>
        <vt:i4>404</vt:i4>
      </vt:variant>
      <vt:variant>
        <vt:i4>0</vt:i4>
      </vt:variant>
      <vt:variant>
        <vt:i4>5</vt:i4>
      </vt:variant>
      <vt:variant>
        <vt:lpwstr/>
      </vt:variant>
      <vt:variant>
        <vt:lpwstr>_Toc307009592</vt:lpwstr>
      </vt:variant>
      <vt:variant>
        <vt:i4>1507377</vt:i4>
      </vt:variant>
      <vt:variant>
        <vt:i4>398</vt:i4>
      </vt:variant>
      <vt:variant>
        <vt:i4>0</vt:i4>
      </vt:variant>
      <vt:variant>
        <vt:i4>5</vt:i4>
      </vt:variant>
      <vt:variant>
        <vt:lpwstr/>
      </vt:variant>
      <vt:variant>
        <vt:lpwstr>_Toc307009591</vt:lpwstr>
      </vt:variant>
      <vt:variant>
        <vt:i4>1507377</vt:i4>
      </vt:variant>
      <vt:variant>
        <vt:i4>392</vt:i4>
      </vt:variant>
      <vt:variant>
        <vt:i4>0</vt:i4>
      </vt:variant>
      <vt:variant>
        <vt:i4>5</vt:i4>
      </vt:variant>
      <vt:variant>
        <vt:lpwstr/>
      </vt:variant>
      <vt:variant>
        <vt:lpwstr>_Toc307009590</vt:lpwstr>
      </vt:variant>
      <vt:variant>
        <vt:i4>1441841</vt:i4>
      </vt:variant>
      <vt:variant>
        <vt:i4>386</vt:i4>
      </vt:variant>
      <vt:variant>
        <vt:i4>0</vt:i4>
      </vt:variant>
      <vt:variant>
        <vt:i4>5</vt:i4>
      </vt:variant>
      <vt:variant>
        <vt:lpwstr/>
      </vt:variant>
      <vt:variant>
        <vt:lpwstr>_Toc307009589</vt:lpwstr>
      </vt:variant>
      <vt:variant>
        <vt:i4>1441841</vt:i4>
      </vt:variant>
      <vt:variant>
        <vt:i4>380</vt:i4>
      </vt:variant>
      <vt:variant>
        <vt:i4>0</vt:i4>
      </vt:variant>
      <vt:variant>
        <vt:i4>5</vt:i4>
      </vt:variant>
      <vt:variant>
        <vt:lpwstr/>
      </vt:variant>
      <vt:variant>
        <vt:lpwstr>_Toc307009588</vt:lpwstr>
      </vt:variant>
      <vt:variant>
        <vt:i4>1441841</vt:i4>
      </vt:variant>
      <vt:variant>
        <vt:i4>374</vt:i4>
      </vt:variant>
      <vt:variant>
        <vt:i4>0</vt:i4>
      </vt:variant>
      <vt:variant>
        <vt:i4>5</vt:i4>
      </vt:variant>
      <vt:variant>
        <vt:lpwstr/>
      </vt:variant>
      <vt:variant>
        <vt:lpwstr>_Toc307009587</vt:lpwstr>
      </vt:variant>
      <vt:variant>
        <vt:i4>1441841</vt:i4>
      </vt:variant>
      <vt:variant>
        <vt:i4>368</vt:i4>
      </vt:variant>
      <vt:variant>
        <vt:i4>0</vt:i4>
      </vt:variant>
      <vt:variant>
        <vt:i4>5</vt:i4>
      </vt:variant>
      <vt:variant>
        <vt:lpwstr/>
      </vt:variant>
      <vt:variant>
        <vt:lpwstr>_Toc307009586</vt:lpwstr>
      </vt:variant>
      <vt:variant>
        <vt:i4>1441841</vt:i4>
      </vt:variant>
      <vt:variant>
        <vt:i4>362</vt:i4>
      </vt:variant>
      <vt:variant>
        <vt:i4>0</vt:i4>
      </vt:variant>
      <vt:variant>
        <vt:i4>5</vt:i4>
      </vt:variant>
      <vt:variant>
        <vt:lpwstr/>
      </vt:variant>
      <vt:variant>
        <vt:lpwstr>_Toc307009585</vt:lpwstr>
      </vt:variant>
      <vt:variant>
        <vt:i4>1441841</vt:i4>
      </vt:variant>
      <vt:variant>
        <vt:i4>356</vt:i4>
      </vt:variant>
      <vt:variant>
        <vt:i4>0</vt:i4>
      </vt:variant>
      <vt:variant>
        <vt:i4>5</vt:i4>
      </vt:variant>
      <vt:variant>
        <vt:lpwstr/>
      </vt:variant>
      <vt:variant>
        <vt:lpwstr>_Toc307009584</vt:lpwstr>
      </vt:variant>
      <vt:variant>
        <vt:i4>1441841</vt:i4>
      </vt:variant>
      <vt:variant>
        <vt:i4>353</vt:i4>
      </vt:variant>
      <vt:variant>
        <vt:i4>0</vt:i4>
      </vt:variant>
      <vt:variant>
        <vt:i4>5</vt:i4>
      </vt:variant>
      <vt:variant>
        <vt:lpwstr/>
      </vt:variant>
      <vt:variant>
        <vt:lpwstr>_Toc307009583</vt:lpwstr>
      </vt:variant>
      <vt:variant>
        <vt:i4>1441841</vt:i4>
      </vt:variant>
      <vt:variant>
        <vt:i4>350</vt:i4>
      </vt:variant>
      <vt:variant>
        <vt:i4>0</vt:i4>
      </vt:variant>
      <vt:variant>
        <vt:i4>5</vt:i4>
      </vt:variant>
      <vt:variant>
        <vt:lpwstr/>
      </vt:variant>
      <vt:variant>
        <vt:lpwstr>_Toc307009582</vt:lpwstr>
      </vt:variant>
      <vt:variant>
        <vt:i4>1441841</vt:i4>
      </vt:variant>
      <vt:variant>
        <vt:i4>344</vt:i4>
      </vt:variant>
      <vt:variant>
        <vt:i4>0</vt:i4>
      </vt:variant>
      <vt:variant>
        <vt:i4>5</vt:i4>
      </vt:variant>
      <vt:variant>
        <vt:lpwstr/>
      </vt:variant>
      <vt:variant>
        <vt:lpwstr>_Toc307009581</vt:lpwstr>
      </vt:variant>
      <vt:variant>
        <vt:i4>1441841</vt:i4>
      </vt:variant>
      <vt:variant>
        <vt:i4>338</vt:i4>
      </vt:variant>
      <vt:variant>
        <vt:i4>0</vt:i4>
      </vt:variant>
      <vt:variant>
        <vt:i4>5</vt:i4>
      </vt:variant>
      <vt:variant>
        <vt:lpwstr/>
      </vt:variant>
      <vt:variant>
        <vt:lpwstr>_Toc307009580</vt:lpwstr>
      </vt:variant>
      <vt:variant>
        <vt:i4>1638449</vt:i4>
      </vt:variant>
      <vt:variant>
        <vt:i4>332</vt:i4>
      </vt:variant>
      <vt:variant>
        <vt:i4>0</vt:i4>
      </vt:variant>
      <vt:variant>
        <vt:i4>5</vt:i4>
      </vt:variant>
      <vt:variant>
        <vt:lpwstr/>
      </vt:variant>
      <vt:variant>
        <vt:lpwstr>_Toc307009579</vt:lpwstr>
      </vt:variant>
      <vt:variant>
        <vt:i4>1638449</vt:i4>
      </vt:variant>
      <vt:variant>
        <vt:i4>326</vt:i4>
      </vt:variant>
      <vt:variant>
        <vt:i4>0</vt:i4>
      </vt:variant>
      <vt:variant>
        <vt:i4>5</vt:i4>
      </vt:variant>
      <vt:variant>
        <vt:lpwstr/>
      </vt:variant>
      <vt:variant>
        <vt:lpwstr>_Toc307009578</vt:lpwstr>
      </vt:variant>
      <vt:variant>
        <vt:i4>1638449</vt:i4>
      </vt:variant>
      <vt:variant>
        <vt:i4>320</vt:i4>
      </vt:variant>
      <vt:variant>
        <vt:i4>0</vt:i4>
      </vt:variant>
      <vt:variant>
        <vt:i4>5</vt:i4>
      </vt:variant>
      <vt:variant>
        <vt:lpwstr/>
      </vt:variant>
      <vt:variant>
        <vt:lpwstr>_Toc307009577</vt:lpwstr>
      </vt:variant>
      <vt:variant>
        <vt:i4>1638449</vt:i4>
      </vt:variant>
      <vt:variant>
        <vt:i4>314</vt:i4>
      </vt:variant>
      <vt:variant>
        <vt:i4>0</vt:i4>
      </vt:variant>
      <vt:variant>
        <vt:i4>5</vt:i4>
      </vt:variant>
      <vt:variant>
        <vt:lpwstr/>
      </vt:variant>
      <vt:variant>
        <vt:lpwstr>_Toc307009576</vt:lpwstr>
      </vt:variant>
      <vt:variant>
        <vt:i4>1638449</vt:i4>
      </vt:variant>
      <vt:variant>
        <vt:i4>308</vt:i4>
      </vt:variant>
      <vt:variant>
        <vt:i4>0</vt:i4>
      </vt:variant>
      <vt:variant>
        <vt:i4>5</vt:i4>
      </vt:variant>
      <vt:variant>
        <vt:lpwstr/>
      </vt:variant>
      <vt:variant>
        <vt:lpwstr>_Toc307009575</vt:lpwstr>
      </vt:variant>
      <vt:variant>
        <vt:i4>1638449</vt:i4>
      </vt:variant>
      <vt:variant>
        <vt:i4>302</vt:i4>
      </vt:variant>
      <vt:variant>
        <vt:i4>0</vt:i4>
      </vt:variant>
      <vt:variant>
        <vt:i4>5</vt:i4>
      </vt:variant>
      <vt:variant>
        <vt:lpwstr/>
      </vt:variant>
      <vt:variant>
        <vt:lpwstr>_Toc307009574</vt:lpwstr>
      </vt:variant>
      <vt:variant>
        <vt:i4>1638449</vt:i4>
      </vt:variant>
      <vt:variant>
        <vt:i4>296</vt:i4>
      </vt:variant>
      <vt:variant>
        <vt:i4>0</vt:i4>
      </vt:variant>
      <vt:variant>
        <vt:i4>5</vt:i4>
      </vt:variant>
      <vt:variant>
        <vt:lpwstr/>
      </vt:variant>
      <vt:variant>
        <vt:lpwstr>_Toc307009573</vt:lpwstr>
      </vt:variant>
      <vt:variant>
        <vt:i4>1638449</vt:i4>
      </vt:variant>
      <vt:variant>
        <vt:i4>290</vt:i4>
      </vt:variant>
      <vt:variant>
        <vt:i4>0</vt:i4>
      </vt:variant>
      <vt:variant>
        <vt:i4>5</vt:i4>
      </vt:variant>
      <vt:variant>
        <vt:lpwstr/>
      </vt:variant>
      <vt:variant>
        <vt:lpwstr>_Toc307009572</vt:lpwstr>
      </vt:variant>
      <vt:variant>
        <vt:i4>1638449</vt:i4>
      </vt:variant>
      <vt:variant>
        <vt:i4>287</vt:i4>
      </vt:variant>
      <vt:variant>
        <vt:i4>0</vt:i4>
      </vt:variant>
      <vt:variant>
        <vt:i4>5</vt:i4>
      </vt:variant>
      <vt:variant>
        <vt:lpwstr/>
      </vt:variant>
      <vt:variant>
        <vt:lpwstr>_Toc307009571</vt:lpwstr>
      </vt:variant>
      <vt:variant>
        <vt:i4>1638449</vt:i4>
      </vt:variant>
      <vt:variant>
        <vt:i4>281</vt:i4>
      </vt:variant>
      <vt:variant>
        <vt:i4>0</vt:i4>
      </vt:variant>
      <vt:variant>
        <vt:i4>5</vt:i4>
      </vt:variant>
      <vt:variant>
        <vt:lpwstr/>
      </vt:variant>
      <vt:variant>
        <vt:lpwstr>_Toc307009570</vt:lpwstr>
      </vt:variant>
      <vt:variant>
        <vt:i4>1572913</vt:i4>
      </vt:variant>
      <vt:variant>
        <vt:i4>275</vt:i4>
      </vt:variant>
      <vt:variant>
        <vt:i4>0</vt:i4>
      </vt:variant>
      <vt:variant>
        <vt:i4>5</vt:i4>
      </vt:variant>
      <vt:variant>
        <vt:lpwstr/>
      </vt:variant>
      <vt:variant>
        <vt:lpwstr>_Toc307009569</vt:lpwstr>
      </vt:variant>
      <vt:variant>
        <vt:i4>1572913</vt:i4>
      </vt:variant>
      <vt:variant>
        <vt:i4>269</vt:i4>
      </vt:variant>
      <vt:variant>
        <vt:i4>0</vt:i4>
      </vt:variant>
      <vt:variant>
        <vt:i4>5</vt:i4>
      </vt:variant>
      <vt:variant>
        <vt:lpwstr/>
      </vt:variant>
      <vt:variant>
        <vt:lpwstr>_Toc307009568</vt:lpwstr>
      </vt:variant>
      <vt:variant>
        <vt:i4>1572913</vt:i4>
      </vt:variant>
      <vt:variant>
        <vt:i4>263</vt:i4>
      </vt:variant>
      <vt:variant>
        <vt:i4>0</vt:i4>
      </vt:variant>
      <vt:variant>
        <vt:i4>5</vt:i4>
      </vt:variant>
      <vt:variant>
        <vt:lpwstr/>
      </vt:variant>
      <vt:variant>
        <vt:lpwstr>_Toc307009567</vt:lpwstr>
      </vt:variant>
      <vt:variant>
        <vt:i4>1572913</vt:i4>
      </vt:variant>
      <vt:variant>
        <vt:i4>257</vt:i4>
      </vt:variant>
      <vt:variant>
        <vt:i4>0</vt:i4>
      </vt:variant>
      <vt:variant>
        <vt:i4>5</vt:i4>
      </vt:variant>
      <vt:variant>
        <vt:lpwstr/>
      </vt:variant>
      <vt:variant>
        <vt:lpwstr>_Toc307009566</vt:lpwstr>
      </vt:variant>
      <vt:variant>
        <vt:i4>1572913</vt:i4>
      </vt:variant>
      <vt:variant>
        <vt:i4>251</vt:i4>
      </vt:variant>
      <vt:variant>
        <vt:i4>0</vt:i4>
      </vt:variant>
      <vt:variant>
        <vt:i4>5</vt:i4>
      </vt:variant>
      <vt:variant>
        <vt:lpwstr/>
      </vt:variant>
      <vt:variant>
        <vt:lpwstr>_Toc307009565</vt:lpwstr>
      </vt:variant>
      <vt:variant>
        <vt:i4>1572913</vt:i4>
      </vt:variant>
      <vt:variant>
        <vt:i4>245</vt:i4>
      </vt:variant>
      <vt:variant>
        <vt:i4>0</vt:i4>
      </vt:variant>
      <vt:variant>
        <vt:i4>5</vt:i4>
      </vt:variant>
      <vt:variant>
        <vt:lpwstr/>
      </vt:variant>
      <vt:variant>
        <vt:lpwstr>_Toc307009564</vt:lpwstr>
      </vt:variant>
      <vt:variant>
        <vt:i4>1572913</vt:i4>
      </vt:variant>
      <vt:variant>
        <vt:i4>239</vt:i4>
      </vt:variant>
      <vt:variant>
        <vt:i4>0</vt:i4>
      </vt:variant>
      <vt:variant>
        <vt:i4>5</vt:i4>
      </vt:variant>
      <vt:variant>
        <vt:lpwstr/>
      </vt:variant>
      <vt:variant>
        <vt:lpwstr>_Toc307009563</vt:lpwstr>
      </vt:variant>
      <vt:variant>
        <vt:i4>1572913</vt:i4>
      </vt:variant>
      <vt:variant>
        <vt:i4>233</vt:i4>
      </vt:variant>
      <vt:variant>
        <vt:i4>0</vt:i4>
      </vt:variant>
      <vt:variant>
        <vt:i4>5</vt:i4>
      </vt:variant>
      <vt:variant>
        <vt:lpwstr/>
      </vt:variant>
      <vt:variant>
        <vt:lpwstr>_Toc307009562</vt:lpwstr>
      </vt:variant>
      <vt:variant>
        <vt:i4>1572913</vt:i4>
      </vt:variant>
      <vt:variant>
        <vt:i4>227</vt:i4>
      </vt:variant>
      <vt:variant>
        <vt:i4>0</vt:i4>
      </vt:variant>
      <vt:variant>
        <vt:i4>5</vt:i4>
      </vt:variant>
      <vt:variant>
        <vt:lpwstr/>
      </vt:variant>
      <vt:variant>
        <vt:lpwstr>_Toc307009561</vt:lpwstr>
      </vt:variant>
      <vt:variant>
        <vt:i4>1572913</vt:i4>
      </vt:variant>
      <vt:variant>
        <vt:i4>224</vt:i4>
      </vt:variant>
      <vt:variant>
        <vt:i4>0</vt:i4>
      </vt:variant>
      <vt:variant>
        <vt:i4>5</vt:i4>
      </vt:variant>
      <vt:variant>
        <vt:lpwstr/>
      </vt:variant>
      <vt:variant>
        <vt:lpwstr>_Toc307009560</vt:lpwstr>
      </vt:variant>
      <vt:variant>
        <vt:i4>1769521</vt:i4>
      </vt:variant>
      <vt:variant>
        <vt:i4>221</vt:i4>
      </vt:variant>
      <vt:variant>
        <vt:i4>0</vt:i4>
      </vt:variant>
      <vt:variant>
        <vt:i4>5</vt:i4>
      </vt:variant>
      <vt:variant>
        <vt:lpwstr/>
      </vt:variant>
      <vt:variant>
        <vt:lpwstr>_Toc307009559</vt:lpwstr>
      </vt:variant>
      <vt:variant>
        <vt:i4>1769521</vt:i4>
      </vt:variant>
      <vt:variant>
        <vt:i4>215</vt:i4>
      </vt:variant>
      <vt:variant>
        <vt:i4>0</vt:i4>
      </vt:variant>
      <vt:variant>
        <vt:i4>5</vt:i4>
      </vt:variant>
      <vt:variant>
        <vt:lpwstr/>
      </vt:variant>
      <vt:variant>
        <vt:lpwstr>_Toc307009558</vt:lpwstr>
      </vt:variant>
      <vt:variant>
        <vt:i4>1769521</vt:i4>
      </vt:variant>
      <vt:variant>
        <vt:i4>209</vt:i4>
      </vt:variant>
      <vt:variant>
        <vt:i4>0</vt:i4>
      </vt:variant>
      <vt:variant>
        <vt:i4>5</vt:i4>
      </vt:variant>
      <vt:variant>
        <vt:lpwstr/>
      </vt:variant>
      <vt:variant>
        <vt:lpwstr>_Toc307009557</vt:lpwstr>
      </vt:variant>
      <vt:variant>
        <vt:i4>1769521</vt:i4>
      </vt:variant>
      <vt:variant>
        <vt:i4>203</vt:i4>
      </vt:variant>
      <vt:variant>
        <vt:i4>0</vt:i4>
      </vt:variant>
      <vt:variant>
        <vt:i4>5</vt:i4>
      </vt:variant>
      <vt:variant>
        <vt:lpwstr/>
      </vt:variant>
      <vt:variant>
        <vt:lpwstr>_Toc307009556</vt:lpwstr>
      </vt:variant>
      <vt:variant>
        <vt:i4>1769521</vt:i4>
      </vt:variant>
      <vt:variant>
        <vt:i4>197</vt:i4>
      </vt:variant>
      <vt:variant>
        <vt:i4>0</vt:i4>
      </vt:variant>
      <vt:variant>
        <vt:i4>5</vt:i4>
      </vt:variant>
      <vt:variant>
        <vt:lpwstr/>
      </vt:variant>
      <vt:variant>
        <vt:lpwstr>_Toc307009555</vt:lpwstr>
      </vt:variant>
      <vt:variant>
        <vt:i4>1769521</vt:i4>
      </vt:variant>
      <vt:variant>
        <vt:i4>191</vt:i4>
      </vt:variant>
      <vt:variant>
        <vt:i4>0</vt:i4>
      </vt:variant>
      <vt:variant>
        <vt:i4>5</vt:i4>
      </vt:variant>
      <vt:variant>
        <vt:lpwstr/>
      </vt:variant>
      <vt:variant>
        <vt:lpwstr>_Toc307009554</vt:lpwstr>
      </vt:variant>
      <vt:variant>
        <vt:i4>1769521</vt:i4>
      </vt:variant>
      <vt:variant>
        <vt:i4>185</vt:i4>
      </vt:variant>
      <vt:variant>
        <vt:i4>0</vt:i4>
      </vt:variant>
      <vt:variant>
        <vt:i4>5</vt:i4>
      </vt:variant>
      <vt:variant>
        <vt:lpwstr/>
      </vt:variant>
      <vt:variant>
        <vt:lpwstr>_Toc307009553</vt:lpwstr>
      </vt:variant>
      <vt:variant>
        <vt:i4>1769521</vt:i4>
      </vt:variant>
      <vt:variant>
        <vt:i4>179</vt:i4>
      </vt:variant>
      <vt:variant>
        <vt:i4>0</vt:i4>
      </vt:variant>
      <vt:variant>
        <vt:i4>5</vt:i4>
      </vt:variant>
      <vt:variant>
        <vt:lpwstr/>
      </vt:variant>
      <vt:variant>
        <vt:lpwstr>_Toc307009552</vt:lpwstr>
      </vt:variant>
      <vt:variant>
        <vt:i4>1769521</vt:i4>
      </vt:variant>
      <vt:variant>
        <vt:i4>173</vt:i4>
      </vt:variant>
      <vt:variant>
        <vt:i4>0</vt:i4>
      </vt:variant>
      <vt:variant>
        <vt:i4>5</vt:i4>
      </vt:variant>
      <vt:variant>
        <vt:lpwstr/>
      </vt:variant>
      <vt:variant>
        <vt:lpwstr>_Toc307009551</vt:lpwstr>
      </vt:variant>
      <vt:variant>
        <vt:i4>1769521</vt:i4>
      </vt:variant>
      <vt:variant>
        <vt:i4>167</vt:i4>
      </vt:variant>
      <vt:variant>
        <vt:i4>0</vt:i4>
      </vt:variant>
      <vt:variant>
        <vt:i4>5</vt:i4>
      </vt:variant>
      <vt:variant>
        <vt:lpwstr/>
      </vt:variant>
      <vt:variant>
        <vt:lpwstr>_Toc307009550</vt:lpwstr>
      </vt:variant>
      <vt:variant>
        <vt:i4>1703985</vt:i4>
      </vt:variant>
      <vt:variant>
        <vt:i4>161</vt:i4>
      </vt:variant>
      <vt:variant>
        <vt:i4>0</vt:i4>
      </vt:variant>
      <vt:variant>
        <vt:i4>5</vt:i4>
      </vt:variant>
      <vt:variant>
        <vt:lpwstr/>
      </vt:variant>
      <vt:variant>
        <vt:lpwstr>_Toc307009549</vt:lpwstr>
      </vt:variant>
      <vt:variant>
        <vt:i4>1703985</vt:i4>
      </vt:variant>
      <vt:variant>
        <vt:i4>155</vt:i4>
      </vt:variant>
      <vt:variant>
        <vt:i4>0</vt:i4>
      </vt:variant>
      <vt:variant>
        <vt:i4>5</vt:i4>
      </vt:variant>
      <vt:variant>
        <vt:lpwstr/>
      </vt:variant>
      <vt:variant>
        <vt:lpwstr>_Toc307009548</vt:lpwstr>
      </vt:variant>
      <vt:variant>
        <vt:i4>1703985</vt:i4>
      </vt:variant>
      <vt:variant>
        <vt:i4>149</vt:i4>
      </vt:variant>
      <vt:variant>
        <vt:i4>0</vt:i4>
      </vt:variant>
      <vt:variant>
        <vt:i4>5</vt:i4>
      </vt:variant>
      <vt:variant>
        <vt:lpwstr/>
      </vt:variant>
      <vt:variant>
        <vt:lpwstr>_Toc307009547</vt:lpwstr>
      </vt:variant>
      <vt:variant>
        <vt:i4>1703985</vt:i4>
      </vt:variant>
      <vt:variant>
        <vt:i4>143</vt:i4>
      </vt:variant>
      <vt:variant>
        <vt:i4>0</vt:i4>
      </vt:variant>
      <vt:variant>
        <vt:i4>5</vt:i4>
      </vt:variant>
      <vt:variant>
        <vt:lpwstr/>
      </vt:variant>
      <vt:variant>
        <vt:lpwstr>_Toc307009546</vt:lpwstr>
      </vt:variant>
      <vt:variant>
        <vt:i4>1703985</vt:i4>
      </vt:variant>
      <vt:variant>
        <vt:i4>137</vt:i4>
      </vt:variant>
      <vt:variant>
        <vt:i4>0</vt:i4>
      </vt:variant>
      <vt:variant>
        <vt:i4>5</vt:i4>
      </vt:variant>
      <vt:variant>
        <vt:lpwstr/>
      </vt:variant>
      <vt:variant>
        <vt:lpwstr>_Toc307009545</vt:lpwstr>
      </vt:variant>
      <vt:variant>
        <vt:i4>1703985</vt:i4>
      </vt:variant>
      <vt:variant>
        <vt:i4>131</vt:i4>
      </vt:variant>
      <vt:variant>
        <vt:i4>0</vt:i4>
      </vt:variant>
      <vt:variant>
        <vt:i4>5</vt:i4>
      </vt:variant>
      <vt:variant>
        <vt:lpwstr/>
      </vt:variant>
      <vt:variant>
        <vt:lpwstr>_Toc307009544</vt:lpwstr>
      </vt:variant>
      <vt:variant>
        <vt:i4>1703985</vt:i4>
      </vt:variant>
      <vt:variant>
        <vt:i4>125</vt:i4>
      </vt:variant>
      <vt:variant>
        <vt:i4>0</vt:i4>
      </vt:variant>
      <vt:variant>
        <vt:i4>5</vt:i4>
      </vt:variant>
      <vt:variant>
        <vt:lpwstr/>
      </vt:variant>
      <vt:variant>
        <vt:lpwstr>_Toc307009543</vt:lpwstr>
      </vt:variant>
      <vt:variant>
        <vt:i4>1703985</vt:i4>
      </vt:variant>
      <vt:variant>
        <vt:i4>119</vt:i4>
      </vt:variant>
      <vt:variant>
        <vt:i4>0</vt:i4>
      </vt:variant>
      <vt:variant>
        <vt:i4>5</vt:i4>
      </vt:variant>
      <vt:variant>
        <vt:lpwstr/>
      </vt:variant>
      <vt:variant>
        <vt:lpwstr>_Toc307009542</vt:lpwstr>
      </vt:variant>
      <vt:variant>
        <vt:i4>1703985</vt:i4>
      </vt:variant>
      <vt:variant>
        <vt:i4>113</vt:i4>
      </vt:variant>
      <vt:variant>
        <vt:i4>0</vt:i4>
      </vt:variant>
      <vt:variant>
        <vt:i4>5</vt:i4>
      </vt:variant>
      <vt:variant>
        <vt:lpwstr/>
      </vt:variant>
      <vt:variant>
        <vt:lpwstr>_Toc307009541</vt:lpwstr>
      </vt:variant>
      <vt:variant>
        <vt:i4>1703985</vt:i4>
      </vt:variant>
      <vt:variant>
        <vt:i4>107</vt:i4>
      </vt:variant>
      <vt:variant>
        <vt:i4>0</vt:i4>
      </vt:variant>
      <vt:variant>
        <vt:i4>5</vt:i4>
      </vt:variant>
      <vt:variant>
        <vt:lpwstr/>
      </vt:variant>
      <vt:variant>
        <vt:lpwstr>_Toc307009540</vt:lpwstr>
      </vt:variant>
      <vt:variant>
        <vt:i4>1900593</vt:i4>
      </vt:variant>
      <vt:variant>
        <vt:i4>101</vt:i4>
      </vt:variant>
      <vt:variant>
        <vt:i4>0</vt:i4>
      </vt:variant>
      <vt:variant>
        <vt:i4>5</vt:i4>
      </vt:variant>
      <vt:variant>
        <vt:lpwstr/>
      </vt:variant>
      <vt:variant>
        <vt:lpwstr>_Toc307009539</vt:lpwstr>
      </vt:variant>
      <vt:variant>
        <vt:i4>1900593</vt:i4>
      </vt:variant>
      <vt:variant>
        <vt:i4>95</vt:i4>
      </vt:variant>
      <vt:variant>
        <vt:i4>0</vt:i4>
      </vt:variant>
      <vt:variant>
        <vt:i4>5</vt:i4>
      </vt:variant>
      <vt:variant>
        <vt:lpwstr/>
      </vt:variant>
      <vt:variant>
        <vt:lpwstr>_Toc307009538</vt:lpwstr>
      </vt:variant>
      <vt:variant>
        <vt:i4>1900593</vt:i4>
      </vt:variant>
      <vt:variant>
        <vt:i4>89</vt:i4>
      </vt:variant>
      <vt:variant>
        <vt:i4>0</vt:i4>
      </vt:variant>
      <vt:variant>
        <vt:i4>5</vt:i4>
      </vt:variant>
      <vt:variant>
        <vt:lpwstr/>
      </vt:variant>
      <vt:variant>
        <vt:lpwstr>_Toc307009537</vt:lpwstr>
      </vt:variant>
      <vt:variant>
        <vt:i4>1900593</vt:i4>
      </vt:variant>
      <vt:variant>
        <vt:i4>83</vt:i4>
      </vt:variant>
      <vt:variant>
        <vt:i4>0</vt:i4>
      </vt:variant>
      <vt:variant>
        <vt:i4>5</vt:i4>
      </vt:variant>
      <vt:variant>
        <vt:lpwstr/>
      </vt:variant>
      <vt:variant>
        <vt:lpwstr>_Toc307009536</vt:lpwstr>
      </vt:variant>
      <vt:variant>
        <vt:i4>1900593</vt:i4>
      </vt:variant>
      <vt:variant>
        <vt:i4>77</vt:i4>
      </vt:variant>
      <vt:variant>
        <vt:i4>0</vt:i4>
      </vt:variant>
      <vt:variant>
        <vt:i4>5</vt:i4>
      </vt:variant>
      <vt:variant>
        <vt:lpwstr/>
      </vt:variant>
      <vt:variant>
        <vt:lpwstr>_Toc307009535</vt:lpwstr>
      </vt:variant>
      <vt:variant>
        <vt:i4>1900593</vt:i4>
      </vt:variant>
      <vt:variant>
        <vt:i4>71</vt:i4>
      </vt:variant>
      <vt:variant>
        <vt:i4>0</vt:i4>
      </vt:variant>
      <vt:variant>
        <vt:i4>5</vt:i4>
      </vt:variant>
      <vt:variant>
        <vt:lpwstr/>
      </vt:variant>
      <vt:variant>
        <vt:lpwstr>_Toc307009534</vt:lpwstr>
      </vt:variant>
      <vt:variant>
        <vt:i4>1900593</vt:i4>
      </vt:variant>
      <vt:variant>
        <vt:i4>65</vt:i4>
      </vt:variant>
      <vt:variant>
        <vt:i4>0</vt:i4>
      </vt:variant>
      <vt:variant>
        <vt:i4>5</vt:i4>
      </vt:variant>
      <vt:variant>
        <vt:lpwstr/>
      </vt:variant>
      <vt:variant>
        <vt:lpwstr>_Toc307009533</vt:lpwstr>
      </vt:variant>
      <vt:variant>
        <vt:i4>1900593</vt:i4>
      </vt:variant>
      <vt:variant>
        <vt:i4>59</vt:i4>
      </vt:variant>
      <vt:variant>
        <vt:i4>0</vt:i4>
      </vt:variant>
      <vt:variant>
        <vt:i4>5</vt:i4>
      </vt:variant>
      <vt:variant>
        <vt:lpwstr/>
      </vt:variant>
      <vt:variant>
        <vt:lpwstr>_Toc307009532</vt:lpwstr>
      </vt:variant>
      <vt:variant>
        <vt:i4>1900593</vt:i4>
      </vt:variant>
      <vt:variant>
        <vt:i4>53</vt:i4>
      </vt:variant>
      <vt:variant>
        <vt:i4>0</vt:i4>
      </vt:variant>
      <vt:variant>
        <vt:i4>5</vt:i4>
      </vt:variant>
      <vt:variant>
        <vt:lpwstr/>
      </vt:variant>
      <vt:variant>
        <vt:lpwstr>_Toc307009531</vt:lpwstr>
      </vt:variant>
      <vt:variant>
        <vt:i4>1900593</vt:i4>
      </vt:variant>
      <vt:variant>
        <vt:i4>47</vt:i4>
      </vt:variant>
      <vt:variant>
        <vt:i4>0</vt:i4>
      </vt:variant>
      <vt:variant>
        <vt:i4>5</vt:i4>
      </vt:variant>
      <vt:variant>
        <vt:lpwstr/>
      </vt:variant>
      <vt:variant>
        <vt:lpwstr>_Toc307009530</vt:lpwstr>
      </vt:variant>
      <vt:variant>
        <vt:i4>1835057</vt:i4>
      </vt:variant>
      <vt:variant>
        <vt:i4>41</vt:i4>
      </vt:variant>
      <vt:variant>
        <vt:i4>0</vt:i4>
      </vt:variant>
      <vt:variant>
        <vt:i4>5</vt:i4>
      </vt:variant>
      <vt:variant>
        <vt:lpwstr/>
      </vt:variant>
      <vt:variant>
        <vt:lpwstr>_Toc307009529</vt:lpwstr>
      </vt:variant>
      <vt:variant>
        <vt:i4>1835057</vt:i4>
      </vt:variant>
      <vt:variant>
        <vt:i4>35</vt:i4>
      </vt:variant>
      <vt:variant>
        <vt:i4>0</vt:i4>
      </vt:variant>
      <vt:variant>
        <vt:i4>5</vt:i4>
      </vt:variant>
      <vt:variant>
        <vt:lpwstr/>
      </vt:variant>
      <vt:variant>
        <vt:lpwstr>_Toc307009528</vt:lpwstr>
      </vt:variant>
      <vt:variant>
        <vt:i4>1835057</vt:i4>
      </vt:variant>
      <vt:variant>
        <vt:i4>29</vt:i4>
      </vt:variant>
      <vt:variant>
        <vt:i4>0</vt:i4>
      </vt:variant>
      <vt:variant>
        <vt:i4>5</vt:i4>
      </vt:variant>
      <vt:variant>
        <vt:lpwstr/>
      </vt:variant>
      <vt:variant>
        <vt:lpwstr>_Toc307009527</vt:lpwstr>
      </vt:variant>
      <vt:variant>
        <vt:i4>1835057</vt:i4>
      </vt:variant>
      <vt:variant>
        <vt:i4>23</vt:i4>
      </vt:variant>
      <vt:variant>
        <vt:i4>0</vt:i4>
      </vt:variant>
      <vt:variant>
        <vt:i4>5</vt:i4>
      </vt:variant>
      <vt:variant>
        <vt:lpwstr/>
      </vt:variant>
      <vt:variant>
        <vt:lpwstr>_Toc307009526</vt:lpwstr>
      </vt:variant>
      <vt:variant>
        <vt:i4>1835057</vt:i4>
      </vt:variant>
      <vt:variant>
        <vt:i4>17</vt:i4>
      </vt:variant>
      <vt:variant>
        <vt:i4>0</vt:i4>
      </vt:variant>
      <vt:variant>
        <vt:i4>5</vt:i4>
      </vt:variant>
      <vt:variant>
        <vt:lpwstr/>
      </vt:variant>
      <vt:variant>
        <vt:lpwstr>_Toc307009525</vt:lpwstr>
      </vt:variant>
      <vt:variant>
        <vt:i4>1835057</vt:i4>
      </vt:variant>
      <vt:variant>
        <vt:i4>11</vt:i4>
      </vt:variant>
      <vt:variant>
        <vt:i4>0</vt:i4>
      </vt:variant>
      <vt:variant>
        <vt:i4>5</vt:i4>
      </vt:variant>
      <vt:variant>
        <vt:lpwstr/>
      </vt:variant>
      <vt:variant>
        <vt:lpwstr>_Toc307009524</vt:lpwstr>
      </vt:variant>
      <vt:variant>
        <vt:i4>1835057</vt:i4>
      </vt:variant>
      <vt:variant>
        <vt:i4>5</vt:i4>
      </vt:variant>
      <vt:variant>
        <vt:i4>0</vt:i4>
      </vt:variant>
      <vt:variant>
        <vt:i4>5</vt:i4>
      </vt:variant>
      <vt:variant>
        <vt:lpwstr/>
      </vt:variant>
      <vt:variant>
        <vt:lpwstr>_Toc307009523</vt:lpwstr>
      </vt:variant>
      <vt:variant>
        <vt:i4>1835057</vt:i4>
      </vt:variant>
      <vt:variant>
        <vt:i4>2</vt:i4>
      </vt:variant>
      <vt:variant>
        <vt:i4>0</vt:i4>
      </vt:variant>
      <vt:variant>
        <vt:i4>5</vt:i4>
      </vt:variant>
      <vt:variant>
        <vt:lpwstr/>
      </vt:variant>
      <vt:variant>
        <vt:lpwstr>_Toc307009522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فقه الاحتكار في الشريعة الإسلامية</dc:title>
  <dc:subject/>
  <dc:creator>Ali</dc:creator>
  <cp:keywords/>
  <dc:description/>
  <cp:lastModifiedBy>Haidar Hobballah</cp:lastModifiedBy>
  <cp:revision>67</cp:revision>
  <cp:lastPrinted>2023-09-03T16:56:00Z</cp:lastPrinted>
  <dcterms:created xsi:type="dcterms:W3CDTF">2023-08-24T18:19:00Z</dcterms:created>
  <dcterms:modified xsi:type="dcterms:W3CDTF">2026-08-20T12:11:00Z</dcterms:modified>
</cp:coreProperties>
</file>